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09727" w14:textId="77777777" w:rsidR="00BA5F5F" w:rsidRPr="00A50082" w:rsidRDefault="00BA5F5F" w:rsidP="00BA5F5F">
      <w:pPr>
        <w:jc w:val="center"/>
        <w:rPr>
          <w:rFonts w:ascii="Times New Roman" w:hAnsi="Times New Roman" w:cs="Times New Roman"/>
          <w:b/>
          <w:sz w:val="30"/>
          <w:szCs w:val="30"/>
          <w:u w:val="single"/>
        </w:rPr>
      </w:pPr>
      <w:r w:rsidRPr="00A50082">
        <w:rPr>
          <w:rFonts w:ascii="Times New Roman" w:hAnsi="Times New Roman" w:cs="Times New Roman"/>
          <w:b/>
          <w:sz w:val="30"/>
          <w:szCs w:val="30"/>
          <w:u w:val="single"/>
        </w:rPr>
        <w:t>NOTE ON BENAMI TRANSACTIONS (PROHIBITION) ACT, 2017</w:t>
      </w:r>
    </w:p>
    <w:p w14:paraId="7B937759" w14:textId="77777777" w:rsidR="00BA5F5F"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This note provides brief understanding of the Benami Act 2017. This is one of the most important legislation recently introduced in the country and will have far reaching consequences inter alia in the fields of finance, tax and banking sectors.</w:t>
      </w:r>
    </w:p>
    <w:p w14:paraId="63569CC6" w14:textId="77777777" w:rsidR="00726AB6" w:rsidRPr="00A50082" w:rsidRDefault="00726AB6" w:rsidP="00BA5F5F">
      <w:pPr>
        <w:jc w:val="both"/>
        <w:rPr>
          <w:rFonts w:ascii="Times New Roman" w:hAnsi="Times New Roman" w:cs="Times New Roman"/>
          <w:sz w:val="30"/>
          <w:szCs w:val="30"/>
        </w:rPr>
      </w:pPr>
      <w:r w:rsidRPr="00A50082">
        <w:rPr>
          <w:rFonts w:ascii="Times New Roman" w:hAnsi="Times New Roman" w:cs="Times New Roman"/>
          <w:b/>
          <w:sz w:val="30"/>
          <w:szCs w:val="30"/>
        </w:rPr>
        <w:t>DEFINITION</w:t>
      </w:r>
      <w:r w:rsidRPr="00A50082">
        <w:rPr>
          <w:rFonts w:ascii="Times New Roman" w:hAnsi="Times New Roman" w:cs="Times New Roman"/>
          <w:sz w:val="30"/>
          <w:szCs w:val="30"/>
        </w:rPr>
        <w:t>:</w:t>
      </w:r>
      <w:r w:rsidR="00A86C03" w:rsidRPr="00A50082">
        <w:rPr>
          <w:rFonts w:ascii="Times New Roman" w:hAnsi="Times New Roman" w:cs="Times New Roman"/>
          <w:sz w:val="30"/>
          <w:szCs w:val="30"/>
        </w:rPr>
        <w:t xml:space="preserve"> Benami is a Persian/</w:t>
      </w:r>
      <w:r w:rsidRPr="00A50082">
        <w:rPr>
          <w:rFonts w:ascii="Times New Roman" w:hAnsi="Times New Roman" w:cs="Times New Roman"/>
          <w:sz w:val="30"/>
          <w:szCs w:val="30"/>
        </w:rPr>
        <w:t>Urdu language word which means anything ‘without name’. In the context of property, this means use and benefit by the person other than the person who is fictitiously and without substance, in form, reflected as the owner.</w:t>
      </w:r>
      <w:bookmarkStart w:id="0" w:name="_GoBack"/>
      <w:bookmarkEnd w:id="0"/>
    </w:p>
    <w:p w14:paraId="0CC9331F" w14:textId="77777777" w:rsidR="005B4B31" w:rsidRPr="00A50082" w:rsidRDefault="005B4B31" w:rsidP="00BA5F5F">
      <w:pPr>
        <w:jc w:val="both"/>
        <w:rPr>
          <w:rFonts w:ascii="Times New Roman" w:hAnsi="Times New Roman" w:cs="Times New Roman"/>
          <w:sz w:val="30"/>
          <w:szCs w:val="30"/>
        </w:rPr>
      </w:pPr>
      <w:r w:rsidRPr="00A50082">
        <w:rPr>
          <w:rFonts w:ascii="Times New Roman" w:hAnsi="Times New Roman" w:cs="Times New Roman"/>
          <w:b/>
          <w:sz w:val="30"/>
          <w:szCs w:val="30"/>
        </w:rPr>
        <w:t xml:space="preserve">OBJECTIVES: </w:t>
      </w:r>
      <w:r w:rsidR="00BA5F5F" w:rsidRPr="00A50082">
        <w:rPr>
          <w:rFonts w:ascii="Times New Roman" w:hAnsi="Times New Roman" w:cs="Times New Roman"/>
          <w:sz w:val="30"/>
          <w:szCs w:val="30"/>
        </w:rPr>
        <w:t xml:space="preserve">The purpose of this legislation is to prohibit holding property in ‘benami’. The objective of this law is to: </w:t>
      </w:r>
    </w:p>
    <w:p w14:paraId="1DBAE1EA" w14:textId="77777777" w:rsidR="005B4B31"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 xml:space="preserve">(a) </w:t>
      </w:r>
      <w:r w:rsidR="006B41B7" w:rsidRPr="00A50082">
        <w:rPr>
          <w:rFonts w:ascii="Times New Roman" w:hAnsi="Times New Roman" w:cs="Times New Roman"/>
          <w:sz w:val="30"/>
          <w:szCs w:val="30"/>
        </w:rPr>
        <w:t>Government’s efforts to curb tax evasion by way of prohibit holding property in benami.</w:t>
      </w:r>
    </w:p>
    <w:p w14:paraId="25798395" w14:textId="77777777" w:rsidR="005B4B31"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 xml:space="preserve">(b) Restrict the right to </w:t>
      </w:r>
      <w:r w:rsidR="006B41B7" w:rsidRPr="00A50082">
        <w:rPr>
          <w:rFonts w:ascii="Times New Roman" w:hAnsi="Times New Roman" w:cs="Times New Roman"/>
          <w:sz w:val="30"/>
          <w:szCs w:val="30"/>
        </w:rPr>
        <w:t>transfer benami properties.</w:t>
      </w:r>
    </w:p>
    <w:p w14:paraId="41B9C019" w14:textId="77777777" w:rsidR="005B4B31"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(c) Provide mechanism t</w:t>
      </w:r>
      <w:r w:rsidR="000B1961" w:rsidRPr="00A50082">
        <w:rPr>
          <w:rFonts w:ascii="Times New Roman" w:hAnsi="Times New Roman" w:cs="Times New Roman"/>
          <w:sz w:val="30"/>
          <w:szCs w:val="30"/>
        </w:rPr>
        <w:t>o confiscate benami properties.</w:t>
      </w:r>
    </w:p>
    <w:p w14:paraId="0E0B582D" w14:textId="77777777" w:rsidR="000B1961" w:rsidRPr="00A50082" w:rsidRDefault="000B1961" w:rsidP="00BA5F5F">
      <w:pPr>
        <w:jc w:val="both"/>
        <w:rPr>
          <w:rFonts w:ascii="Times New Roman" w:hAnsi="Times New Roman" w:cs="Times New Roman"/>
          <w:sz w:val="30"/>
          <w:szCs w:val="30"/>
        </w:rPr>
      </w:pPr>
      <w:r w:rsidRPr="00A50082">
        <w:rPr>
          <w:rFonts w:ascii="Times New Roman" w:hAnsi="Times New Roman" w:cs="Times New Roman"/>
          <w:sz w:val="30"/>
          <w:szCs w:val="30"/>
        </w:rPr>
        <w:t>(d) Provide the right to the Government to identify benami transactions and to ‘confiscate’ the properties held in benami</w:t>
      </w:r>
    </w:p>
    <w:p w14:paraId="644268B3" w14:textId="77777777" w:rsidR="005B4B31" w:rsidRPr="00A50082" w:rsidRDefault="005B4B31" w:rsidP="00BA5F5F">
      <w:pPr>
        <w:jc w:val="both"/>
        <w:rPr>
          <w:rFonts w:ascii="Times New Roman" w:hAnsi="Times New Roman" w:cs="Times New Roman"/>
          <w:sz w:val="30"/>
          <w:szCs w:val="30"/>
        </w:rPr>
      </w:pPr>
      <w:r w:rsidRPr="00A50082">
        <w:rPr>
          <w:rFonts w:ascii="Times New Roman" w:hAnsi="Times New Roman" w:cs="Times New Roman"/>
          <w:b/>
          <w:sz w:val="30"/>
          <w:szCs w:val="30"/>
        </w:rPr>
        <w:t xml:space="preserve">FACTORS: </w:t>
      </w:r>
      <w:r w:rsidR="00BA5F5F" w:rsidRPr="00A50082">
        <w:rPr>
          <w:rFonts w:ascii="Times New Roman" w:hAnsi="Times New Roman" w:cs="Times New Roman"/>
          <w:sz w:val="30"/>
          <w:szCs w:val="30"/>
        </w:rPr>
        <w:t>Benami transactio</w:t>
      </w:r>
      <w:r w:rsidR="00A86C03" w:rsidRPr="00A50082">
        <w:rPr>
          <w:rFonts w:ascii="Times New Roman" w:hAnsi="Times New Roman" w:cs="Times New Roman"/>
          <w:sz w:val="30"/>
          <w:szCs w:val="30"/>
        </w:rPr>
        <w:t>ns are generally undertaken to:</w:t>
      </w:r>
    </w:p>
    <w:p w14:paraId="62B77743" w14:textId="77777777" w:rsidR="005B4B31" w:rsidRPr="00A50082" w:rsidRDefault="005B4B31" w:rsidP="005B4B31">
      <w:pPr>
        <w:pStyle w:val="ListParagraph"/>
        <w:numPr>
          <w:ilvl w:val="0"/>
          <w:numId w:val="20"/>
        </w:numPr>
        <w:jc w:val="both"/>
        <w:rPr>
          <w:rFonts w:ascii="Times New Roman" w:hAnsi="Times New Roman" w:cs="Times New Roman"/>
          <w:sz w:val="30"/>
          <w:szCs w:val="30"/>
        </w:rPr>
      </w:pPr>
      <w:r w:rsidRPr="00A50082">
        <w:rPr>
          <w:rFonts w:ascii="Times New Roman" w:hAnsi="Times New Roman" w:cs="Times New Roman"/>
          <w:sz w:val="30"/>
          <w:szCs w:val="30"/>
        </w:rPr>
        <w:t>Fraud on creditors;</w:t>
      </w:r>
    </w:p>
    <w:p w14:paraId="3367362F" w14:textId="77777777" w:rsidR="005B4B31" w:rsidRPr="00A50082" w:rsidRDefault="00BA5F5F" w:rsidP="005B4B31">
      <w:pPr>
        <w:pStyle w:val="ListParagraph"/>
        <w:numPr>
          <w:ilvl w:val="0"/>
          <w:numId w:val="20"/>
        </w:numPr>
        <w:jc w:val="both"/>
        <w:rPr>
          <w:rFonts w:ascii="Times New Roman" w:hAnsi="Times New Roman" w:cs="Times New Roman"/>
          <w:sz w:val="30"/>
          <w:szCs w:val="30"/>
        </w:rPr>
      </w:pPr>
      <w:r w:rsidRPr="00A50082">
        <w:rPr>
          <w:rFonts w:ascii="Times New Roman" w:hAnsi="Times New Roman" w:cs="Times New Roman"/>
          <w:sz w:val="30"/>
          <w:szCs w:val="30"/>
        </w:rPr>
        <w:t xml:space="preserve">Evade taxes; and Avoid social and political risk in holding property. </w:t>
      </w:r>
    </w:p>
    <w:p w14:paraId="199671AF" w14:textId="77777777" w:rsidR="00726AB6" w:rsidRPr="00A50082" w:rsidRDefault="00A86C03" w:rsidP="00BA5F5F">
      <w:pPr>
        <w:jc w:val="both"/>
        <w:rPr>
          <w:rFonts w:ascii="Times New Roman" w:hAnsi="Times New Roman" w:cs="Times New Roman"/>
          <w:sz w:val="30"/>
          <w:szCs w:val="30"/>
        </w:rPr>
      </w:pPr>
      <w:r w:rsidRPr="00A50082">
        <w:rPr>
          <w:rFonts w:ascii="Times New Roman" w:hAnsi="Times New Roman" w:cs="Times New Roman"/>
          <w:b/>
          <w:sz w:val="30"/>
          <w:szCs w:val="30"/>
        </w:rPr>
        <w:t>SIGNIFICANCE AND RELEVANCE:</w:t>
      </w:r>
      <w:r w:rsidR="00BA5F5F" w:rsidRPr="00A50082">
        <w:rPr>
          <w:rFonts w:ascii="Times New Roman" w:hAnsi="Times New Roman" w:cs="Times New Roman"/>
          <w:sz w:val="30"/>
          <w:szCs w:val="30"/>
        </w:rPr>
        <w:t xml:space="preserve"> Benami transactions in Pakistan are generally undertaken to park untaxed money. Accordingly, in such cases, the immediate and future, direct and indirect benefit of the property acquired from untaxed money lies with a person other than the person reflected as owner, whereas the consideration for the acquisition of the property is paid out of untaxed money by the person holding beneficial rights other than the person who is reflected as having ostensible right in the property. ‘Benami’ also includes cases where owner in form is fictitious. </w:t>
      </w:r>
      <w:r w:rsidR="000B0122" w:rsidRPr="00A50082">
        <w:rPr>
          <w:rFonts w:ascii="Times New Roman" w:hAnsi="Times New Roman" w:cs="Times New Roman"/>
          <w:sz w:val="30"/>
          <w:szCs w:val="30"/>
        </w:rPr>
        <w:t>W</w:t>
      </w:r>
      <w:r w:rsidR="00BA5F5F" w:rsidRPr="00A50082">
        <w:rPr>
          <w:rFonts w:ascii="Times New Roman" w:hAnsi="Times New Roman" w:cs="Times New Roman"/>
          <w:sz w:val="30"/>
          <w:szCs w:val="30"/>
        </w:rPr>
        <w:t xml:space="preserve">here tax compliance is </w:t>
      </w:r>
      <w:proofErr w:type="gramStart"/>
      <w:r w:rsidR="000B1961" w:rsidRPr="00A50082">
        <w:rPr>
          <w:rFonts w:ascii="Times New Roman" w:hAnsi="Times New Roman" w:cs="Times New Roman"/>
          <w:sz w:val="30"/>
          <w:szCs w:val="30"/>
        </w:rPr>
        <w:t>weaken</w:t>
      </w:r>
      <w:proofErr w:type="gramEnd"/>
      <w:r w:rsidR="00BA5F5F" w:rsidRPr="00A50082">
        <w:rPr>
          <w:rFonts w:ascii="Times New Roman" w:hAnsi="Times New Roman" w:cs="Times New Roman"/>
          <w:sz w:val="30"/>
          <w:szCs w:val="30"/>
        </w:rPr>
        <w:t xml:space="preserve">, benami transactions are used to </w:t>
      </w:r>
      <w:r w:rsidR="000B1961" w:rsidRPr="00A50082">
        <w:rPr>
          <w:rFonts w:ascii="Times New Roman" w:hAnsi="Times New Roman" w:cs="Times New Roman"/>
          <w:sz w:val="30"/>
          <w:szCs w:val="30"/>
        </w:rPr>
        <w:t>conceal</w:t>
      </w:r>
      <w:r w:rsidR="00BA5F5F" w:rsidRPr="00A50082">
        <w:rPr>
          <w:rFonts w:ascii="Times New Roman" w:hAnsi="Times New Roman" w:cs="Times New Roman"/>
          <w:sz w:val="30"/>
          <w:szCs w:val="30"/>
        </w:rPr>
        <w:t xml:space="preserve"> untaxed money in the form of benami real estates, bank accounts, stocks &amp; shares </w:t>
      </w:r>
      <w:r w:rsidR="00502385" w:rsidRPr="00A50082">
        <w:rPr>
          <w:rFonts w:ascii="Times New Roman" w:hAnsi="Times New Roman" w:cs="Times New Roman"/>
          <w:sz w:val="30"/>
          <w:szCs w:val="30"/>
        </w:rPr>
        <w:t>and other forms of assets</w:t>
      </w:r>
      <w:r w:rsidR="00BA5F5F" w:rsidRPr="00A50082">
        <w:rPr>
          <w:rFonts w:ascii="Times New Roman" w:hAnsi="Times New Roman" w:cs="Times New Roman"/>
          <w:sz w:val="30"/>
          <w:szCs w:val="30"/>
        </w:rPr>
        <w:t xml:space="preserve">. This is a step to </w:t>
      </w:r>
      <w:r w:rsidR="00502385" w:rsidRPr="00A50082">
        <w:rPr>
          <w:rFonts w:ascii="Times New Roman" w:hAnsi="Times New Roman" w:cs="Times New Roman"/>
          <w:sz w:val="30"/>
          <w:szCs w:val="30"/>
        </w:rPr>
        <w:t xml:space="preserve">restraining persons to utilizing </w:t>
      </w:r>
      <w:r w:rsidR="00BA5F5F" w:rsidRPr="00A50082">
        <w:rPr>
          <w:rFonts w:ascii="Times New Roman" w:hAnsi="Times New Roman" w:cs="Times New Roman"/>
          <w:sz w:val="30"/>
          <w:szCs w:val="30"/>
        </w:rPr>
        <w:t>untaxed income. In the absence of benami laws, there can be actions against the income that is not taxed, including charge over properties; however, there is no direct right of the State to confiscate the properties held in benami. This step was essential as ot</w:t>
      </w:r>
      <w:r w:rsidR="006B41B7" w:rsidRPr="00A50082">
        <w:rPr>
          <w:rFonts w:ascii="Times New Roman" w:hAnsi="Times New Roman" w:cs="Times New Roman"/>
          <w:sz w:val="30"/>
          <w:szCs w:val="30"/>
        </w:rPr>
        <w:t>herwise the valuable properties created through</w:t>
      </w:r>
      <w:r w:rsidR="00BA5F5F" w:rsidRPr="00A50082">
        <w:rPr>
          <w:rFonts w:ascii="Times New Roman" w:hAnsi="Times New Roman" w:cs="Times New Roman"/>
          <w:sz w:val="30"/>
          <w:szCs w:val="30"/>
        </w:rPr>
        <w:t xml:space="preserve"> untaxed money are held in benami and there is no direct State’s r</w:t>
      </w:r>
      <w:r w:rsidR="006B41B7" w:rsidRPr="00A50082">
        <w:rPr>
          <w:rFonts w:ascii="Times New Roman" w:hAnsi="Times New Roman" w:cs="Times New Roman"/>
          <w:sz w:val="30"/>
          <w:szCs w:val="30"/>
        </w:rPr>
        <w:t xml:space="preserve">ight to confiscate such assets. </w:t>
      </w:r>
    </w:p>
    <w:p w14:paraId="36FAF5C0" w14:textId="23F3AEF9" w:rsidR="00726AB6"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lastRenderedPageBreak/>
        <w:t>It is important to note that under the ‘transfer of property’ laws, transfer of property in ‘</w:t>
      </w:r>
      <w:r w:rsidR="00726AB6" w:rsidRPr="00A50082">
        <w:rPr>
          <w:rFonts w:ascii="Times New Roman" w:hAnsi="Times New Roman" w:cs="Times New Roman"/>
          <w:sz w:val="30"/>
          <w:szCs w:val="30"/>
        </w:rPr>
        <w:t>benami’ is not illegal. This law</w:t>
      </w:r>
      <w:r w:rsidR="000B0122" w:rsidRPr="00A50082">
        <w:rPr>
          <w:rFonts w:ascii="Times New Roman" w:hAnsi="Times New Roman" w:cs="Times New Roman"/>
          <w:sz w:val="30"/>
          <w:szCs w:val="30"/>
        </w:rPr>
        <w:t xml:space="preserve"> has</w:t>
      </w:r>
      <w:r w:rsidRPr="00A50082">
        <w:rPr>
          <w:rFonts w:ascii="Times New Roman" w:hAnsi="Times New Roman" w:cs="Times New Roman"/>
          <w:sz w:val="30"/>
          <w:szCs w:val="30"/>
        </w:rPr>
        <w:t xml:space="preserve"> a concurrent application in a particular context.</w:t>
      </w:r>
    </w:p>
    <w:p w14:paraId="54B28B89" w14:textId="568C4F5C" w:rsidR="000B0122" w:rsidRPr="00A50082" w:rsidRDefault="000B0122" w:rsidP="004F5C6F">
      <w:pPr>
        <w:jc w:val="both"/>
        <w:rPr>
          <w:rFonts w:ascii="Times New Roman" w:hAnsi="Times New Roman" w:cs="Times New Roman"/>
          <w:sz w:val="30"/>
          <w:szCs w:val="30"/>
        </w:rPr>
      </w:pPr>
      <w:r w:rsidRPr="00A50082">
        <w:rPr>
          <w:rFonts w:ascii="Times New Roman" w:hAnsi="Times New Roman" w:cs="Times New Roman"/>
          <w:b/>
          <w:sz w:val="30"/>
          <w:szCs w:val="30"/>
        </w:rPr>
        <w:t>BENAMI’ TRANSACTION &amp; ITS ESSENTIALS,</w:t>
      </w:r>
      <w:r w:rsidR="00BA5F5F" w:rsidRPr="00A50082">
        <w:rPr>
          <w:rFonts w:ascii="Times New Roman" w:hAnsi="Times New Roman" w:cs="Times New Roman"/>
          <w:sz w:val="30"/>
          <w:szCs w:val="30"/>
        </w:rPr>
        <w:t xml:space="preserve"> </w:t>
      </w:r>
      <w:r w:rsidR="004F5C6F" w:rsidRPr="00A50082">
        <w:rPr>
          <w:rFonts w:ascii="Times New Roman" w:hAnsi="Times New Roman" w:cs="Times New Roman"/>
          <w:sz w:val="30"/>
          <w:szCs w:val="30"/>
        </w:rPr>
        <w:t>as per this legislation, means:</w:t>
      </w:r>
    </w:p>
    <w:p w14:paraId="609FD6DE" w14:textId="77777777" w:rsidR="000B0122" w:rsidRPr="00A50082" w:rsidRDefault="00BA5F5F" w:rsidP="004F5C6F">
      <w:pPr>
        <w:jc w:val="both"/>
        <w:rPr>
          <w:rFonts w:ascii="Times New Roman" w:hAnsi="Times New Roman" w:cs="Times New Roman"/>
          <w:sz w:val="30"/>
          <w:szCs w:val="30"/>
        </w:rPr>
      </w:pPr>
      <w:r w:rsidRPr="00A50082">
        <w:rPr>
          <w:rFonts w:ascii="Times New Roman" w:hAnsi="Times New Roman" w:cs="Times New Roman"/>
          <w:sz w:val="30"/>
          <w:szCs w:val="30"/>
        </w:rPr>
        <w:t>1. A transaction or arrangement where a property is transferred to or held by a person and the consideration for such property have been provided or paid by another person ‘and’ the property is held for the immediate or future benefit, direct or indirect, of the pers</w:t>
      </w:r>
      <w:r w:rsidR="004F5C6F" w:rsidRPr="00A50082">
        <w:rPr>
          <w:rFonts w:ascii="Times New Roman" w:hAnsi="Times New Roman" w:cs="Times New Roman"/>
          <w:sz w:val="30"/>
          <w:szCs w:val="30"/>
        </w:rPr>
        <w:t>on providing the consideration;</w:t>
      </w:r>
    </w:p>
    <w:p w14:paraId="6F02E327" w14:textId="77777777" w:rsidR="000B0122" w:rsidRPr="00A50082" w:rsidRDefault="00BA5F5F" w:rsidP="004F5C6F">
      <w:pPr>
        <w:jc w:val="both"/>
        <w:rPr>
          <w:rFonts w:ascii="Times New Roman" w:hAnsi="Times New Roman" w:cs="Times New Roman"/>
          <w:sz w:val="30"/>
          <w:szCs w:val="30"/>
        </w:rPr>
      </w:pPr>
      <w:r w:rsidRPr="00A50082">
        <w:rPr>
          <w:rFonts w:ascii="Times New Roman" w:hAnsi="Times New Roman" w:cs="Times New Roman"/>
          <w:sz w:val="30"/>
          <w:szCs w:val="30"/>
        </w:rPr>
        <w:t xml:space="preserve">2. Transaction or arrangement in respect of property carried out in fictitious name; </w:t>
      </w:r>
    </w:p>
    <w:p w14:paraId="5CD14D92" w14:textId="77777777" w:rsidR="000B0122" w:rsidRPr="00A50082" w:rsidRDefault="00BA5F5F" w:rsidP="004F5C6F">
      <w:pPr>
        <w:jc w:val="both"/>
        <w:rPr>
          <w:rFonts w:ascii="Times New Roman" w:hAnsi="Times New Roman" w:cs="Times New Roman"/>
          <w:sz w:val="30"/>
          <w:szCs w:val="30"/>
        </w:rPr>
      </w:pPr>
      <w:r w:rsidRPr="00A50082">
        <w:rPr>
          <w:rFonts w:ascii="Times New Roman" w:hAnsi="Times New Roman" w:cs="Times New Roman"/>
          <w:sz w:val="30"/>
          <w:szCs w:val="30"/>
        </w:rPr>
        <w:t xml:space="preserve">3. Transaction or arrangement where owner of property denies property’s ownership; and </w:t>
      </w:r>
    </w:p>
    <w:p w14:paraId="6499C45C" w14:textId="77777777" w:rsidR="000B0122" w:rsidRPr="00A50082" w:rsidRDefault="004F5C6F" w:rsidP="004F5C6F">
      <w:pPr>
        <w:jc w:val="both"/>
        <w:rPr>
          <w:rFonts w:ascii="Times New Roman" w:hAnsi="Times New Roman" w:cs="Times New Roman"/>
          <w:sz w:val="30"/>
          <w:szCs w:val="30"/>
        </w:rPr>
      </w:pPr>
      <w:r w:rsidRPr="00A50082">
        <w:rPr>
          <w:rFonts w:ascii="Times New Roman" w:hAnsi="Times New Roman" w:cs="Times New Roman"/>
          <w:sz w:val="30"/>
          <w:szCs w:val="30"/>
        </w:rPr>
        <w:t xml:space="preserve">4. </w:t>
      </w:r>
      <w:r w:rsidR="00BA5F5F" w:rsidRPr="00A50082">
        <w:rPr>
          <w:rFonts w:ascii="Times New Roman" w:hAnsi="Times New Roman" w:cs="Times New Roman"/>
          <w:sz w:val="30"/>
          <w:szCs w:val="30"/>
        </w:rPr>
        <w:t xml:space="preserve">Transaction or arrangement where the payer of consideration of property is fictitious or untraceable. Except for 2 to 4 above, </w:t>
      </w:r>
      <w:r w:rsidR="00BA5F5F" w:rsidRPr="00A50082">
        <w:rPr>
          <w:rFonts w:ascii="Times New Roman" w:hAnsi="Times New Roman" w:cs="Times New Roman"/>
          <w:b/>
          <w:sz w:val="30"/>
          <w:szCs w:val="30"/>
        </w:rPr>
        <w:t>it is essential in all benami transactions to prove two ingredients.</w:t>
      </w:r>
      <w:r w:rsidR="00BA5F5F" w:rsidRPr="00A50082">
        <w:rPr>
          <w:rFonts w:ascii="Times New Roman" w:hAnsi="Times New Roman" w:cs="Times New Roman"/>
          <w:sz w:val="30"/>
          <w:szCs w:val="30"/>
        </w:rPr>
        <w:t xml:space="preserve"> First condition is that the consideration has been paid or provided by a person other than the person who is the legal owner. </w:t>
      </w:r>
    </w:p>
    <w:p w14:paraId="7A0EF3F5" w14:textId="77777777" w:rsidR="000B0122"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 xml:space="preserve">Secondly, the immediate or future, direct or indirect benefit from that property lies with the person who has paid or provided the consideration not the person who appears, in form, as the owner. The first part is a question of fact. The second is a difficult question that requires circumstantial evidences. Immediate and future benefits, directly or indirectly will have to be proved to be derived by the person who has provided the consideration not being the person who is owner on record. </w:t>
      </w:r>
    </w:p>
    <w:p w14:paraId="2AB1E57B" w14:textId="77777777" w:rsidR="000B0122" w:rsidRPr="00A50082" w:rsidRDefault="000B0122" w:rsidP="00BA5F5F">
      <w:pPr>
        <w:jc w:val="both"/>
        <w:rPr>
          <w:rFonts w:ascii="Times New Roman" w:hAnsi="Times New Roman" w:cs="Times New Roman"/>
          <w:sz w:val="30"/>
          <w:szCs w:val="30"/>
        </w:rPr>
      </w:pPr>
      <w:r w:rsidRPr="00A50082">
        <w:rPr>
          <w:rFonts w:ascii="Times New Roman" w:hAnsi="Times New Roman" w:cs="Times New Roman"/>
          <w:b/>
          <w:sz w:val="30"/>
          <w:szCs w:val="30"/>
        </w:rPr>
        <w:t>ILLUSTRATION</w:t>
      </w:r>
      <w:r w:rsidRPr="00A50082">
        <w:rPr>
          <w:rFonts w:ascii="Times New Roman" w:hAnsi="Times New Roman" w:cs="Times New Roman"/>
          <w:sz w:val="30"/>
          <w:szCs w:val="30"/>
        </w:rPr>
        <w:t>:</w:t>
      </w:r>
      <w:r w:rsidR="00BA5F5F" w:rsidRPr="00A50082">
        <w:rPr>
          <w:rFonts w:ascii="Times New Roman" w:hAnsi="Times New Roman" w:cs="Times New Roman"/>
          <w:sz w:val="30"/>
          <w:szCs w:val="30"/>
        </w:rPr>
        <w:t xml:space="preserve"> if Mr. B, being a servant of Mr. A, acquires a house which is registered in the name of Mr. B and the consideration is paid by Mr. A. This transaction will not qualify to be called as benami unless it is proved that the house is for immediate or future benefit directly or indirectly of Mr. A and not Mr. B. The second condition is essential to prove a benami transaction. </w:t>
      </w:r>
    </w:p>
    <w:p w14:paraId="500BA570" w14:textId="77777777" w:rsidR="00D74973"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 xml:space="preserve">Following transactions and arrangements have been excluded from the purview of benami transactions and arrangements: </w:t>
      </w:r>
    </w:p>
    <w:p w14:paraId="69D6A19C" w14:textId="77777777" w:rsidR="00D74973"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 xml:space="preserve">1. Properties held by a person in fiduciary capacity; </w:t>
      </w:r>
    </w:p>
    <w:p w14:paraId="6A02DB66" w14:textId="1CF08CC3" w:rsidR="00D74973"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2.</w:t>
      </w:r>
      <w:r w:rsidR="006B392E" w:rsidRPr="00A50082">
        <w:rPr>
          <w:rFonts w:ascii="Times New Roman" w:hAnsi="Times New Roman" w:cs="Times New Roman"/>
          <w:sz w:val="30"/>
          <w:szCs w:val="30"/>
        </w:rPr>
        <w:t xml:space="preserve"> </w:t>
      </w:r>
      <w:r w:rsidRPr="00A50082">
        <w:rPr>
          <w:rFonts w:ascii="Times New Roman" w:hAnsi="Times New Roman" w:cs="Times New Roman"/>
          <w:sz w:val="30"/>
          <w:szCs w:val="30"/>
        </w:rPr>
        <w:t>Properties acquired out of the known sources of income by an individual in the name of spouse or in the name of an</w:t>
      </w:r>
      <w:r w:rsidR="00F80123" w:rsidRPr="00A50082">
        <w:rPr>
          <w:rFonts w:ascii="Times New Roman" w:hAnsi="Times New Roman" w:cs="Times New Roman"/>
          <w:sz w:val="30"/>
          <w:szCs w:val="30"/>
        </w:rPr>
        <w:t>y child of such individual; and</w:t>
      </w:r>
    </w:p>
    <w:p w14:paraId="10935D62" w14:textId="77777777" w:rsidR="000F016A" w:rsidRPr="00A50082" w:rsidRDefault="000F016A" w:rsidP="00BA5F5F">
      <w:pPr>
        <w:jc w:val="both"/>
        <w:rPr>
          <w:sz w:val="30"/>
          <w:szCs w:val="30"/>
        </w:rPr>
      </w:pPr>
      <w:r w:rsidRPr="00A50082">
        <w:rPr>
          <w:sz w:val="30"/>
          <w:szCs w:val="30"/>
        </w:rPr>
        <w:lastRenderedPageBreak/>
        <w:t xml:space="preserve">3. </w:t>
      </w:r>
      <w:r w:rsidR="00F80123" w:rsidRPr="00A50082">
        <w:rPr>
          <w:sz w:val="30"/>
          <w:szCs w:val="30"/>
        </w:rPr>
        <w:t xml:space="preserve">Properties acquired in the joint name of an individual and his brother or sister or lineal ascendant or descendent and acquired from the know sources of income of the individual. </w:t>
      </w:r>
    </w:p>
    <w:p w14:paraId="0AA7D051" w14:textId="547B12F7" w:rsidR="00F80123" w:rsidRPr="00A50082" w:rsidRDefault="00F80123" w:rsidP="00BA5F5F">
      <w:pPr>
        <w:jc w:val="both"/>
        <w:rPr>
          <w:rFonts w:ascii="Times New Roman" w:hAnsi="Times New Roman" w:cs="Times New Roman"/>
          <w:sz w:val="30"/>
          <w:szCs w:val="30"/>
        </w:rPr>
      </w:pPr>
      <w:r w:rsidRPr="00A50082">
        <w:rPr>
          <w:sz w:val="30"/>
          <w:szCs w:val="30"/>
        </w:rPr>
        <w:t>Any property held under a benami arrangement or transaction (including proceeds from such property) is treated as ‘benami property’.</w:t>
      </w:r>
    </w:p>
    <w:p w14:paraId="394B73E1" w14:textId="7BDE6FE8" w:rsidR="00BB45A2" w:rsidRPr="00A50082" w:rsidRDefault="00DA6EEC" w:rsidP="00BA5F5F">
      <w:pPr>
        <w:jc w:val="both"/>
        <w:rPr>
          <w:rFonts w:ascii="Times New Roman" w:hAnsi="Times New Roman" w:cs="Times New Roman"/>
          <w:sz w:val="30"/>
          <w:szCs w:val="30"/>
        </w:rPr>
      </w:pPr>
      <w:r w:rsidRPr="00A50082">
        <w:rPr>
          <w:rFonts w:ascii="Times New Roman" w:hAnsi="Times New Roman" w:cs="Times New Roman"/>
          <w:b/>
          <w:sz w:val="30"/>
          <w:szCs w:val="30"/>
        </w:rPr>
        <w:t>KIND OF PROPERTIES:</w:t>
      </w:r>
      <w:r w:rsidR="00BA5F5F" w:rsidRPr="00A50082">
        <w:rPr>
          <w:rFonts w:ascii="Times New Roman" w:hAnsi="Times New Roman" w:cs="Times New Roman"/>
          <w:sz w:val="30"/>
          <w:szCs w:val="30"/>
        </w:rPr>
        <w:t xml:space="preserve"> for the Benami Law For the purposes of benami law, ‘Property’ </w:t>
      </w:r>
      <w:proofErr w:type="gramStart"/>
      <w:r w:rsidR="00BA5F5F" w:rsidRPr="00A50082">
        <w:rPr>
          <w:rFonts w:ascii="Times New Roman" w:hAnsi="Times New Roman" w:cs="Times New Roman"/>
          <w:sz w:val="30"/>
          <w:szCs w:val="30"/>
        </w:rPr>
        <w:t>means:-</w:t>
      </w:r>
      <w:proofErr w:type="gramEnd"/>
      <w:r w:rsidR="00BA5F5F" w:rsidRPr="00A50082">
        <w:rPr>
          <w:rFonts w:ascii="Times New Roman" w:hAnsi="Times New Roman" w:cs="Times New Roman"/>
          <w:sz w:val="30"/>
          <w:szCs w:val="30"/>
        </w:rPr>
        <w:t xml:space="preserve">  Asset of any kind, movable or immovable, tangible or intangible, corporeal or incorporeal, and includes rights or interest or legal document evidencing ownership of property.</w:t>
      </w:r>
    </w:p>
    <w:p w14:paraId="22E5FE29" w14:textId="77777777" w:rsidR="00BB45A2"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Property in the converted form (if the property in converted into any other form) and also the proceeds from the property. Person holding the benami property is termed as ‘</w:t>
      </w:r>
      <w:proofErr w:type="spellStart"/>
      <w:r w:rsidRPr="00A50082">
        <w:rPr>
          <w:rFonts w:ascii="Times New Roman" w:hAnsi="Times New Roman" w:cs="Times New Roman"/>
          <w:sz w:val="30"/>
          <w:szCs w:val="30"/>
        </w:rPr>
        <w:t>benamidar</w:t>
      </w:r>
      <w:proofErr w:type="spellEnd"/>
      <w:r w:rsidRPr="00A50082">
        <w:rPr>
          <w:rFonts w:ascii="Times New Roman" w:hAnsi="Times New Roman" w:cs="Times New Roman"/>
          <w:sz w:val="30"/>
          <w:szCs w:val="30"/>
        </w:rPr>
        <w:t xml:space="preserve">’ and person for whose benefit such property is held is called ‘beneficial owner’. </w:t>
      </w:r>
    </w:p>
    <w:p w14:paraId="7A6394F0" w14:textId="4839B4C1" w:rsidR="00AF557D" w:rsidRPr="00A50082" w:rsidRDefault="00DA6EEC" w:rsidP="00BA5F5F">
      <w:pPr>
        <w:jc w:val="both"/>
        <w:rPr>
          <w:rFonts w:ascii="Times New Roman" w:hAnsi="Times New Roman" w:cs="Times New Roman"/>
          <w:sz w:val="30"/>
          <w:szCs w:val="30"/>
        </w:rPr>
      </w:pPr>
      <w:r w:rsidRPr="00A50082">
        <w:rPr>
          <w:rFonts w:ascii="Times New Roman" w:hAnsi="Times New Roman" w:cs="Times New Roman"/>
          <w:b/>
          <w:sz w:val="30"/>
          <w:szCs w:val="30"/>
        </w:rPr>
        <w:t>PROHIBITION AND CONFISCATION:</w:t>
      </w:r>
      <w:r w:rsidR="00BA5F5F" w:rsidRPr="00A50082">
        <w:rPr>
          <w:rFonts w:ascii="Times New Roman" w:hAnsi="Times New Roman" w:cs="Times New Roman"/>
          <w:sz w:val="30"/>
          <w:szCs w:val="30"/>
        </w:rPr>
        <w:t xml:space="preserve"> After the promulgation of the Act</w:t>
      </w:r>
      <w:r w:rsidR="00BB45A2" w:rsidRPr="00A50082">
        <w:rPr>
          <w:rFonts w:ascii="Times New Roman" w:hAnsi="Times New Roman" w:cs="Times New Roman"/>
          <w:sz w:val="30"/>
          <w:szCs w:val="30"/>
        </w:rPr>
        <w:t xml:space="preserve"> 2017</w:t>
      </w:r>
      <w:r w:rsidR="00BA5F5F" w:rsidRPr="00A50082">
        <w:rPr>
          <w:rFonts w:ascii="Times New Roman" w:hAnsi="Times New Roman" w:cs="Times New Roman"/>
          <w:sz w:val="30"/>
          <w:szCs w:val="30"/>
        </w:rPr>
        <w:t xml:space="preserve">, all benami transactions </w:t>
      </w:r>
      <w:r w:rsidR="00BB45A2" w:rsidRPr="00A50082">
        <w:rPr>
          <w:rFonts w:ascii="Times New Roman" w:hAnsi="Times New Roman" w:cs="Times New Roman"/>
          <w:sz w:val="30"/>
          <w:szCs w:val="30"/>
        </w:rPr>
        <w:t>now</w:t>
      </w:r>
      <w:r w:rsidR="00BA5F5F" w:rsidRPr="00A50082">
        <w:rPr>
          <w:rFonts w:ascii="Times New Roman" w:hAnsi="Times New Roman" w:cs="Times New Roman"/>
          <w:sz w:val="30"/>
          <w:szCs w:val="30"/>
        </w:rPr>
        <w:t xml:space="preserve"> punishable crime in the manner laid down in </w:t>
      </w:r>
      <w:r w:rsidR="00BB45A2" w:rsidRPr="00A50082">
        <w:rPr>
          <w:rFonts w:ascii="Times New Roman" w:hAnsi="Times New Roman" w:cs="Times New Roman"/>
          <w:sz w:val="30"/>
          <w:szCs w:val="30"/>
        </w:rPr>
        <w:t>Chapter VIII, section 51</w:t>
      </w:r>
      <w:r w:rsidR="00BA5F5F" w:rsidRPr="00A50082">
        <w:rPr>
          <w:rFonts w:ascii="Times New Roman" w:hAnsi="Times New Roman" w:cs="Times New Roman"/>
          <w:sz w:val="30"/>
          <w:szCs w:val="30"/>
        </w:rPr>
        <w:t xml:space="preserve"> and all benami properties can be confiscated by the Federal Government,</w:t>
      </w:r>
      <w:r w:rsidR="00BB45A2" w:rsidRPr="00A50082">
        <w:rPr>
          <w:rFonts w:ascii="Times New Roman" w:hAnsi="Times New Roman" w:cs="Times New Roman"/>
          <w:sz w:val="30"/>
          <w:szCs w:val="30"/>
        </w:rPr>
        <w:t xml:space="preserve"> in the manner prescribed in Chapter V</w:t>
      </w:r>
      <w:r w:rsidR="00BA5F5F" w:rsidRPr="00A50082">
        <w:rPr>
          <w:rFonts w:ascii="Times New Roman" w:hAnsi="Times New Roman" w:cs="Times New Roman"/>
          <w:sz w:val="30"/>
          <w:szCs w:val="30"/>
        </w:rPr>
        <w:t xml:space="preserve"> after due process of law. Furthermore, there will be prohibition on the re-transfer of benami property held by </w:t>
      </w:r>
      <w:proofErr w:type="spellStart"/>
      <w:r w:rsidR="00BA5F5F" w:rsidRPr="00A50082">
        <w:rPr>
          <w:rFonts w:ascii="Times New Roman" w:hAnsi="Times New Roman" w:cs="Times New Roman"/>
          <w:sz w:val="30"/>
          <w:szCs w:val="30"/>
        </w:rPr>
        <w:t>benamidar</w:t>
      </w:r>
      <w:proofErr w:type="spellEnd"/>
      <w:r w:rsidR="00BA5F5F" w:rsidRPr="00A50082">
        <w:rPr>
          <w:rFonts w:ascii="Times New Roman" w:hAnsi="Times New Roman" w:cs="Times New Roman"/>
          <w:sz w:val="30"/>
          <w:szCs w:val="30"/>
        </w:rPr>
        <w:t xml:space="preserve"> to the beneficial owner. </w:t>
      </w:r>
      <w:r w:rsidR="00BA5F5F" w:rsidRPr="00A50082">
        <w:rPr>
          <w:rFonts w:ascii="Times New Roman" w:hAnsi="Times New Roman" w:cs="Times New Roman"/>
          <w:i/>
          <w:sz w:val="30"/>
          <w:szCs w:val="30"/>
        </w:rPr>
        <w:t xml:space="preserve">It is </w:t>
      </w:r>
      <w:r w:rsidR="006A673A" w:rsidRPr="00A50082">
        <w:rPr>
          <w:rFonts w:ascii="Times New Roman" w:hAnsi="Times New Roman" w:cs="Times New Roman"/>
          <w:i/>
          <w:sz w:val="30"/>
          <w:szCs w:val="30"/>
        </w:rPr>
        <w:t>important to consider that</w:t>
      </w:r>
      <w:r w:rsidR="00BA5F5F" w:rsidRPr="00A50082">
        <w:rPr>
          <w:rFonts w:ascii="Times New Roman" w:hAnsi="Times New Roman" w:cs="Times New Roman"/>
          <w:i/>
          <w:sz w:val="30"/>
          <w:szCs w:val="30"/>
        </w:rPr>
        <w:t>, the right to confiscate benami properties will also apply to properties already acquired in the past</w:t>
      </w:r>
      <w:r w:rsidR="00BA5F5F" w:rsidRPr="00A50082">
        <w:rPr>
          <w:rFonts w:ascii="Times New Roman" w:hAnsi="Times New Roman" w:cs="Times New Roman"/>
          <w:sz w:val="30"/>
          <w:szCs w:val="30"/>
        </w:rPr>
        <w:t xml:space="preserve">. </w:t>
      </w:r>
    </w:p>
    <w:p w14:paraId="1F99FC1B" w14:textId="06D4DB67" w:rsidR="007B3A31" w:rsidRPr="00A50082" w:rsidRDefault="00DA6EEC" w:rsidP="00BA5F5F">
      <w:pPr>
        <w:jc w:val="both"/>
        <w:rPr>
          <w:rFonts w:ascii="Times New Roman" w:hAnsi="Times New Roman" w:cs="Times New Roman"/>
          <w:sz w:val="30"/>
          <w:szCs w:val="30"/>
        </w:rPr>
      </w:pPr>
      <w:r w:rsidRPr="00A50082">
        <w:rPr>
          <w:rFonts w:ascii="Times New Roman" w:hAnsi="Times New Roman" w:cs="Times New Roman"/>
          <w:b/>
          <w:sz w:val="30"/>
          <w:szCs w:val="30"/>
        </w:rPr>
        <w:t>ASSETS HELD OUTSIDE PAKISTAN:</w:t>
      </w:r>
      <w:r w:rsidRPr="00A50082">
        <w:rPr>
          <w:rFonts w:ascii="Times New Roman" w:hAnsi="Times New Roman" w:cs="Times New Roman"/>
          <w:sz w:val="30"/>
          <w:szCs w:val="30"/>
        </w:rPr>
        <w:t xml:space="preserve"> </w:t>
      </w:r>
      <w:r w:rsidR="00BA5F5F" w:rsidRPr="00A50082">
        <w:rPr>
          <w:rFonts w:ascii="Times New Roman" w:hAnsi="Times New Roman" w:cs="Times New Roman"/>
          <w:sz w:val="30"/>
          <w:szCs w:val="30"/>
        </w:rPr>
        <w:t xml:space="preserve">There is no exception in the law to the effect that benami arrangement by Pakistani residents or citizens cannot apply on properties situated outside Pakistan. Accordingly, as per our understanding, this law </w:t>
      </w:r>
      <w:r w:rsidR="007C280A" w:rsidRPr="00A50082">
        <w:rPr>
          <w:rFonts w:ascii="Times New Roman" w:hAnsi="Times New Roman" w:cs="Times New Roman"/>
          <w:sz w:val="30"/>
          <w:szCs w:val="30"/>
        </w:rPr>
        <w:t>applicable</w:t>
      </w:r>
      <w:r w:rsidR="00BA5F5F" w:rsidRPr="00A50082">
        <w:rPr>
          <w:rFonts w:ascii="Times New Roman" w:hAnsi="Times New Roman" w:cs="Times New Roman"/>
          <w:sz w:val="30"/>
          <w:szCs w:val="30"/>
        </w:rPr>
        <w:t xml:space="preserve"> to benami properties ‘situated abroad’. For example, if shares in a Pakistani company are held in benami where the beneficial owner is a Pakistani, the right of remittance of dividend will face the consequences equivalent to confiscation etc. Process of Implementation of law A three tier process has been laid down for initiation and confiscation of benami properties. The process is: </w:t>
      </w:r>
    </w:p>
    <w:p w14:paraId="57F9B950" w14:textId="1B752506" w:rsidR="007B3A31"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 xml:space="preserve">Identification of benami properties and notice and action against the </w:t>
      </w:r>
      <w:proofErr w:type="spellStart"/>
      <w:r w:rsidRPr="00A50082">
        <w:rPr>
          <w:rFonts w:ascii="Times New Roman" w:hAnsi="Times New Roman" w:cs="Times New Roman"/>
          <w:sz w:val="30"/>
          <w:szCs w:val="30"/>
        </w:rPr>
        <w:t>benamidar</w:t>
      </w:r>
      <w:proofErr w:type="spellEnd"/>
      <w:r w:rsidRPr="00A50082">
        <w:rPr>
          <w:rFonts w:ascii="Times New Roman" w:hAnsi="Times New Roman" w:cs="Times New Roman"/>
          <w:sz w:val="30"/>
          <w:szCs w:val="30"/>
        </w:rPr>
        <w:t xml:space="preserve"> resulting in a reference to the ‘Adjudicating Authority’ by the ‘Initiating Officer’. This action is hereinafter referred to as </w:t>
      </w:r>
      <w:r w:rsidRPr="00A50082">
        <w:rPr>
          <w:rFonts w:ascii="Times New Roman" w:hAnsi="Times New Roman" w:cs="Times New Roman"/>
          <w:b/>
          <w:sz w:val="30"/>
          <w:szCs w:val="30"/>
        </w:rPr>
        <w:t>‘Reference’</w:t>
      </w:r>
      <w:r w:rsidRPr="00A50082">
        <w:rPr>
          <w:rFonts w:ascii="Times New Roman" w:hAnsi="Times New Roman" w:cs="Times New Roman"/>
          <w:sz w:val="30"/>
          <w:szCs w:val="30"/>
        </w:rPr>
        <w:t xml:space="preserve">; </w:t>
      </w:r>
    </w:p>
    <w:p w14:paraId="7337D450" w14:textId="0B113B0C" w:rsidR="00FD4210" w:rsidRPr="00A50082" w:rsidRDefault="00BA5F5F" w:rsidP="00BA5F5F">
      <w:pPr>
        <w:jc w:val="both"/>
        <w:rPr>
          <w:rFonts w:ascii="Times New Roman" w:hAnsi="Times New Roman" w:cs="Times New Roman"/>
          <w:sz w:val="30"/>
          <w:szCs w:val="30"/>
        </w:rPr>
      </w:pPr>
      <w:r w:rsidRPr="00A50082">
        <w:rPr>
          <w:rFonts w:ascii="Times New Roman" w:hAnsi="Times New Roman" w:cs="Times New Roman"/>
          <w:sz w:val="30"/>
          <w:szCs w:val="30"/>
        </w:rPr>
        <w:t>Proceeding by the Adjudicating Authority being the order for confiscation of the benami property. This act is hereafter as ‘Confiscation Proceeding;</w:t>
      </w:r>
      <w:r w:rsidR="00FD4210" w:rsidRPr="00A50082">
        <w:rPr>
          <w:rFonts w:ascii="Times New Roman" w:hAnsi="Times New Roman" w:cs="Times New Roman"/>
          <w:sz w:val="30"/>
          <w:szCs w:val="30"/>
        </w:rPr>
        <w:t xml:space="preserve"> and the p</w:t>
      </w:r>
      <w:r w:rsidRPr="00A50082">
        <w:rPr>
          <w:rFonts w:ascii="Times New Roman" w:hAnsi="Times New Roman" w:cs="Times New Roman"/>
          <w:sz w:val="30"/>
          <w:szCs w:val="30"/>
        </w:rPr>
        <w:t xml:space="preserve">ossession of confiscated property by the Administrator. </w:t>
      </w:r>
    </w:p>
    <w:p w14:paraId="7C98DF48" w14:textId="68B7E5F2" w:rsidR="00F825EE" w:rsidRPr="00A50082" w:rsidRDefault="00DA6EEC" w:rsidP="00BA5F5F">
      <w:pPr>
        <w:jc w:val="both"/>
        <w:rPr>
          <w:rFonts w:ascii="Times New Roman" w:hAnsi="Times New Roman" w:cs="Times New Roman"/>
          <w:sz w:val="30"/>
          <w:szCs w:val="30"/>
        </w:rPr>
      </w:pPr>
      <w:r w:rsidRPr="00A50082">
        <w:rPr>
          <w:rFonts w:ascii="Times New Roman" w:hAnsi="Times New Roman" w:cs="Times New Roman"/>
          <w:b/>
          <w:sz w:val="30"/>
          <w:szCs w:val="30"/>
        </w:rPr>
        <w:t>ADJUDICATING AUTHORITY:</w:t>
      </w:r>
      <w:r w:rsidR="00FD4210" w:rsidRPr="00A50082">
        <w:rPr>
          <w:rFonts w:ascii="Times New Roman" w:hAnsi="Times New Roman" w:cs="Times New Roman"/>
          <w:b/>
          <w:sz w:val="30"/>
          <w:szCs w:val="30"/>
        </w:rPr>
        <w:t xml:space="preserve"> </w:t>
      </w:r>
      <w:r w:rsidR="00FD4210" w:rsidRPr="00A50082">
        <w:rPr>
          <w:rFonts w:ascii="Times New Roman" w:hAnsi="Times New Roman" w:cs="Times New Roman"/>
          <w:sz w:val="30"/>
          <w:szCs w:val="30"/>
        </w:rPr>
        <w:t>L</w:t>
      </w:r>
      <w:r w:rsidR="00BA5F5F" w:rsidRPr="00A50082">
        <w:rPr>
          <w:rFonts w:ascii="Times New Roman" w:hAnsi="Times New Roman" w:cs="Times New Roman"/>
          <w:sz w:val="30"/>
          <w:szCs w:val="30"/>
        </w:rPr>
        <w:t xml:space="preserve">aw has provided a comprehensive mechanism for the formation of Adjudicating Authority under the Act that </w:t>
      </w:r>
      <w:r w:rsidR="00BA5F5F" w:rsidRPr="00A50082">
        <w:rPr>
          <w:rFonts w:ascii="Times New Roman" w:hAnsi="Times New Roman" w:cs="Times New Roman"/>
          <w:sz w:val="30"/>
          <w:szCs w:val="30"/>
        </w:rPr>
        <w:lastRenderedPageBreak/>
        <w:t xml:space="preserve">shall consist of a Chairman and at least two Members to be appointed by the Federal Government. </w:t>
      </w:r>
    </w:p>
    <w:p w14:paraId="387EF4B5" w14:textId="3154FE8D" w:rsidR="00F825EE" w:rsidRPr="00A50082" w:rsidRDefault="00DA6EEC" w:rsidP="00BA5F5F">
      <w:pPr>
        <w:jc w:val="both"/>
        <w:rPr>
          <w:rFonts w:ascii="Times New Roman" w:hAnsi="Times New Roman" w:cs="Times New Roman"/>
          <w:sz w:val="30"/>
          <w:szCs w:val="30"/>
        </w:rPr>
      </w:pPr>
      <w:r w:rsidRPr="00A50082">
        <w:rPr>
          <w:rFonts w:ascii="Times New Roman" w:hAnsi="Times New Roman" w:cs="Times New Roman"/>
          <w:b/>
          <w:sz w:val="30"/>
          <w:szCs w:val="30"/>
        </w:rPr>
        <w:t>INITIATING AUTHORITY:</w:t>
      </w:r>
      <w:r w:rsidR="00BA5F5F" w:rsidRPr="00A50082">
        <w:rPr>
          <w:rFonts w:ascii="Times New Roman" w:hAnsi="Times New Roman" w:cs="Times New Roman"/>
          <w:sz w:val="30"/>
          <w:szCs w:val="30"/>
        </w:rPr>
        <w:t xml:space="preserve"> shall be Deputy Commissioner Inland Revenue appointed under Section 208 of the Income Tax Ordinance, 2001. Approving Authority shall be the Commissioner Inland Revenue as defined under Section 2(13) of the Income Tax Ordinance, 2001. Administrator shall be the Assistant Commissioner of Inland Revenue appointed under Section 208 of the Income Tax Ordinance, 2001. </w:t>
      </w:r>
    </w:p>
    <w:p w14:paraId="62EF7B5B" w14:textId="09C8FDAC" w:rsidR="00BF65BA" w:rsidRPr="00A50082" w:rsidRDefault="00DA6EEC" w:rsidP="00BA5F5F">
      <w:pPr>
        <w:jc w:val="both"/>
        <w:rPr>
          <w:rFonts w:ascii="Times New Roman" w:hAnsi="Times New Roman" w:cs="Times New Roman"/>
          <w:sz w:val="30"/>
          <w:szCs w:val="30"/>
        </w:rPr>
      </w:pPr>
      <w:r w:rsidRPr="00A50082">
        <w:rPr>
          <w:rFonts w:ascii="Times New Roman" w:hAnsi="Times New Roman" w:cs="Times New Roman"/>
          <w:b/>
          <w:sz w:val="30"/>
          <w:szCs w:val="30"/>
        </w:rPr>
        <w:t>APPEALS</w:t>
      </w:r>
      <w:r w:rsidRPr="00A50082">
        <w:rPr>
          <w:rFonts w:ascii="Times New Roman" w:hAnsi="Times New Roman" w:cs="Times New Roman"/>
          <w:sz w:val="30"/>
          <w:szCs w:val="30"/>
        </w:rPr>
        <w:t>:</w:t>
      </w:r>
      <w:r w:rsidR="00BA5F5F" w:rsidRPr="00A50082">
        <w:rPr>
          <w:rFonts w:ascii="Times New Roman" w:hAnsi="Times New Roman" w:cs="Times New Roman"/>
          <w:sz w:val="30"/>
          <w:szCs w:val="30"/>
        </w:rPr>
        <w:t xml:space="preserve"> The action of the Adjudicating Officer can be challenged before the Federal Appellate Tribunal to be formed under the Act. The Tribunal shall, in principle, operate in the manner similar to the Tribunal dealing with the case of Inland Revenue and the departmental representative shall be termed as ‘presenting officer’. </w:t>
      </w:r>
      <w:r w:rsidR="00BA5F5F" w:rsidRPr="00A50082">
        <w:rPr>
          <w:rFonts w:ascii="Times New Roman" w:hAnsi="Times New Roman" w:cs="Times New Roman"/>
          <w:i/>
          <w:sz w:val="30"/>
          <w:szCs w:val="30"/>
        </w:rPr>
        <w:t>A Chartered Accountant shall inter alia be entitled to appear before the Federal Appellate Tribunal.</w:t>
      </w:r>
      <w:r w:rsidR="00BA5F5F" w:rsidRPr="00A50082">
        <w:rPr>
          <w:rFonts w:ascii="Times New Roman" w:hAnsi="Times New Roman" w:cs="Times New Roman"/>
          <w:sz w:val="30"/>
          <w:szCs w:val="30"/>
        </w:rPr>
        <w:t xml:space="preserve"> Order of the Federal Appellate Tribunal can be challenged before the High Court. Special Courts Federal Government shall constitute Special Courts to deal with the persons punishable under this Act. Other laws There is a need to review the relevance and amendments required to be made in other laws to avoid conflicting positions (if any). Such laws include Trust Act, Protection of Economic Reform Act; Income Tax Ordinance, 2001; Transfer of property Act; Registration Act and others.</w:t>
      </w:r>
    </w:p>
    <w:p w14:paraId="6A1A5731" w14:textId="6146E87C" w:rsidR="00282052" w:rsidRPr="00A50082" w:rsidRDefault="00DA6EEC" w:rsidP="00282052">
      <w:pPr>
        <w:spacing w:after="0" w:line="384" w:lineRule="atLeast"/>
        <w:jc w:val="both"/>
        <w:rPr>
          <w:rFonts w:ascii="Times New Roman" w:eastAsia="Times New Roman" w:hAnsi="Times New Roman" w:cs="Times New Roman"/>
          <w:sz w:val="30"/>
          <w:szCs w:val="30"/>
        </w:rPr>
      </w:pPr>
      <w:r w:rsidRPr="00A50082">
        <w:rPr>
          <w:rFonts w:ascii="Times New Roman" w:eastAsia="Times New Roman" w:hAnsi="Times New Roman" w:cs="Times New Roman"/>
          <w:b/>
          <w:sz w:val="30"/>
          <w:szCs w:val="30"/>
          <w:lang w:val="en-GB"/>
        </w:rPr>
        <w:t>PUNISHMENT:</w:t>
      </w:r>
      <w:r w:rsidR="00282052" w:rsidRPr="00A50082">
        <w:rPr>
          <w:rFonts w:ascii="Times New Roman" w:eastAsia="Times New Roman" w:hAnsi="Times New Roman" w:cs="Times New Roman"/>
          <w:b/>
          <w:sz w:val="30"/>
          <w:szCs w:val="30"/>
          <w:lang w:val="en-GB"/>
        </w:rPr>
        <w:t xml:space="preserve"> </w:t>
      </w:r>
      <w:r w:rsidR="00282052" w:rsidRPr="00A50082">
        <w:rPr>
          <w:rFonts w:ascii="Times New Roman" w:eastAsia="Times New Roman" w:hAnsi="Times New Roman" w:cs="Times New Roman"/>
          <w:sz w:val="30"/>
          <w:szCs w:val="30"/>
          <w:lang w:val="en-GB"/>
        </w:rPr>
        <w:t>Where a person enters into a benami transactions to avoid payment of statutory dues or to creditors such a person shall be punishable with rigorous imprisonment for a term not less than 1 year up to 7 years and shall also be liable to find up to 25% of the fair market value of the property.</w:t>
      </w:r>
    </w:p>
    <w:p w14:paraId="0F8FD928" w14:textId="77777777" w:rsidR="00282052" w:rsidRPr="00A50082" w:rsidRDefault="00282052" w:rsidP="00282052">
      <w:pPr>
        <w:spacing w:after="0" w:line="384" w:lineRule="atLeast"/>
        <w:jc w:val="both"/>
        <w:rPr>
          <w:rFonts w:ascii="Times New Roman" w:eastAsia="Times New Roman" w:hAnsi="Times New Roman" w:cs="Times New Roman"/>
          <w:sz w:val="30"/>
          <w:szCs w:val="30"/>
        </w:rPr>
      </w:pPr>
    </w:p>
    <w:p w14:paraId="1C8A8BA8" w14:textId="6041B063" w:rsidR="00282052" w:rsidRPr="00A50082" w:rsidRDefault="00DA6EEC" w:rsidP="00282052">
      <w:pPr>
        <w:spacing w:after="0" w:line="384" w:lineRule="atLeast"/>
        <w:jc w:val="both"/>
        <w:rPr>
          <w:rFonts w:ascii="Times New Roman" w:eastAsia="Times New Roman" w:hAnsi="Times New Roman" w:cs="Times New Roman"/>
          <w:sz w:val="30"/>
          <w:szCs w:val="30"/>
        </w:rPr>
      </w:pPr>
      <w:r w:rsidRPr="00A50082">
        <w:rPr>
          <w:rFonts w:ascii="Times New Roman" w:eastAsia="Times New Roman" w:hAnsi="Times New Roman" w:cs="Times New Roman"/>
          <w:b/>
          <w:sz w:val="30"/>
          <w:szCs w:val="30"/>
          <w:lang w:val="en-GB"/>
        </w:rPr>
        <w:t>FALSE INFORMATION:</w:t>
      </w:r>
      <w:r w:rsidR="006A0919" w:rsidRPr="00A50082">
        <w:rPr>
          <w:rFonts w:ascii="Times New Roman" w:eastAsia="Times New Roman" w:hAnsi="Times New Roman" w:cs="Times New Roman"/>
          <w:b/>
          <w:sz w:val="30"/>
          <w:szCs w:val="30"/>
          <w:lang w:val="en-GB"/>
        </w:rPr>
        <w:t xml:space="preserve"> </w:t>
      </w:r>
      <w:r w:rsidR="006A0919" w:rsidRPr="00A50082">
        <w:rPr>
          <w:rFonts w:ascii="Times New Roman" w:eastAsia="Times New Roman" w:hAnsi="Times New Roman" w:cs="Times New Roman"/>
          <w:sz w:val="30"/>
          <w:szCs w:val="30"/>
          <w:lang w:val="en-GB"/>
        </w:rPr>
        <w:t xml:space="preserve"> </w:t>
      </w:r>
      <w:r w:rsidR="00282052" w:rsidRPr="00A50082">
        <w:rPr>
          <w:rFonts w:ascii="Times New Roman" w:eastAsia="Times New Roman" w:hAnsi="Times New Roman" w:cs="Times New Roman"/>
          <w:sz w:val="30"/>
          <w:szCs w:val="30"/>
          <w:lang w:val="en-GB"/>
        </w:rPr>
        <w:t xml:space="preserve">Furthermore, in case of submission of false information the person shall be punishable for rigorous imprisonment between 6 months to 5 years and shall also be liable to a fine </w:t>
      </w:r>
      <w:proofErr w:type="spellStart"/>
      <w:r w:rsidR="00282052" w:rsidRPr="00A50082">
        <w:rPr>
          <w:rFonts w:ascii="Times New Roman" w:eastAsia="Times New Roman" w:hAnsi="Times New Roman" w:cs="Times New Roman"/>
          <w:sz w:val="30"/>
          <w:szCs w:val="30"/>
          <w:lang w:val="en-GB"/>
        </w:rPr>
        <w:t>upto</w:t>
      </w:r>
      <w:proofErr w:type="spellEnd"/>
      <w:r w:rsidR="00282052" w:rsidRPr="00A50082">
        <w:rPr>
          <w:rFonts w:ascii="Times New Roman" w:eastAsia="Times New Roman" w:hAnsi="Times New Roman" w:cs="Times New Roman"/>
          <w:sz w:val="30"/>
          <w:szCs w:val="30"/>
          <w:lang w:val="en-GB"/>
        </w:rPr>
        <w:t xml:space="preserve"> 10% of the fair market value of the property.</w:t>
      </w:r>
    </w:p>
    <w:p w14:paraId="0A1C6162" w14:textId="77777777" w:rsidR="00282052" w:rsidRPr="00A50082" w:rsidRDefault="00282052" w:rsidP="00282052">
      <w:pPr>
        <w:spacing w:after="0" w:line="384" w:lineRule="atLeast"/>
        <w:jc w:val="both"/>
        <w:rPr>
          <w:rFonts w:ascii="Times New Roman" w:eastAsia="Times New Roman" w:hAnsi="Times New Roman" w:cs="Times New Roman"/>
          <w:sz w:val="30"/>
          <w:szCs w:val="30"/>
        </w:rPr>
      </w:pPr>
    </w:p>
    <w:p w14:paraId="7DD0ACA9" w14:textId="61283FDA" w:rsidR="00282052" w:rsidRPr="00A50082" w:rsidRDefault="00DA6EEC" w:rsidP="00282052">
      <w:pPr>
        <w:spacing w:line="384" w:lineRule="atLeast"/>
        <w:jc w:val="both"/>
        <w:rPr>
          <w:rFonts w:ascii="Times New Roman" w:eastAsia="Times New Roman" w:hAnsi="Times New Roman" w:cs="Times New Roman"/>
          <w:sz w:val="30"/>
          <w:szCs w:val="30"/>
        </w:rPr>
      </w:pPr>
      <w:r w:rsidRPr="00A50082">
        <w:rPr>
          <w:rFonts w:ascii="Times New Roman" w:eastAsia="Times New Roman" w:hAnsi="Times New Roman" w:cs="Times New Roman"/>
          <w:b/>
          <w:sz w:val="30"/>
          <w:szCs w:val="30"/>
        </w:rPr>
        <w:t>WHISTLEBLOWER</w:t>
      </w:r>
      <w:r w:rsidRPr="00A50082">
        <w:rPr>
          <w:rFonts w:ascii="Times New Roman" w:eastAsia="Times New Roman" w:hAnsi="Times New Roman" w:cs="Times New Roman"/>
          <w:sz w:val="30"/>
          <w:szCs w:val="30"/>
        </w:rPr>
        <w:t xml:space="preserve">: </w:t>
      </w:r>
      <w:r w:rsidR="00282052" w:rsidRPr="00A50082">
        <w:rPr>
          <w:rFonts w:ascii="Times New Roman" w:eastAsia="Times New Roman" w:hAnsi="Times New Roman" w:cs="Times New Roman"/>
          <w:sz w:val="30"/>
          <w:szCs w:val="30"/>
        </w:rPr>
        <w:t>In order to successfully identify the benami transactions the government has also announced appropriate rewards for the whistleblower as prescribed by the board in notification of the official gazette.</w:t>
      </w:r>
    </w:p>
    <w:p w14:paraId="0A7D5584" w14:textId="42E8EE7B" w:rsidR="00282052" w:rsidRPr="00A50082" w:rsidRDefault="00282052" w:rsidP="00BA5F5F">
      <w:pPr>
        <w:jc w:val="both"/>
        <w:rPr>
          <w:rFonts w:ascii="Times New Roman" w:hAnsi="Times New Roman" w:cs="Times New Roman"/>
          <w:sz w:val="30"/>
          <w:szCs w:val="30"/>
        </w:rPr>
      </w:pPr>
    </w:p>
    <w:p w14:paraId="7D11CF14" w14:textId="1D40CA3D" w:rsidR="009247A5" w:rsidRPr="00A50082" w:rsidRDefault="009247A5" w:rsidP="009247A5">
      <w:pPr>
        <w:jc w:val="right"/>
        <w:rPr>
          <w:rFonts w:ascii="Times New Roman" w:hAnsi="Times New Roman" w:cs="Times New Roman"/>
          <w:b/>
          <w:sz w:val="30"/>
          <w:szCs w:val="30"/>
        </w:rPr>
      </w:pPr>
      <w:r w:rsidRPr="00A50082">
        <w:rPr>
          <w:rFonts w:ascii="Times New Roman" w:hAnsi="Times New Roman" w:cs="Times New Roman"/>
          <w:sz w:val="30"/>
          <w:szCs w:val="30"/>
        </w:rPr>
        <w:t xml:space="preserve">Prepared by </w:t>
      </w:r>
      <w:proofErr w:type="spellStart"/>
      <w:r w:rsidRPr="00A50082">
        <w:rPr>
          <w:rFonts w:ascii="Times New Roman" w:hAnsi="Times New Roman" w:cs="Times New Roman"/>
          <w:b/>
          <w:sz w:val="30"/>
          <w:szCs w:val="30"/>
        </w:rPr>
        <w:t>Mian</w:t>
      </w:r>
      <w:proofErr w:type="spellEnd"/>
      <w:r w:rsidRPr="00A50082">
        <w:rPr>
          <w:rFonts w:ascii="Times New Roman" w:hAnsi="Times New Roman" w:cs="Times New Roman"/>
          <w:b/>
          <w:sz w:val="30"/>
          <w:szCs w:val="30"/>
        </w:rPr>
        <w:t xml:space="preserve"> Abid Qayyum Adv.</w:t>
      </w:r>
    </w:p>
    <w:p w14:paraId="599B4014" w14:textId="64D20DD5" w:rsidR="009247A5" w:rsidRPr="00A50082" w:rsidRDefault="009247A5" w:rsidP="009247A5">
      <w:pPr>
        <w:jc w:val="right"/>
        <w:rPr>
          <w:rFonts w:ascii="Times New Roman" w:hAnsi="Times New Roman" w:cs="Times New Roman"/>
          <w:sz w:val="30"/>
          <w:szCs w:val="30"/>
        </w:rPr>
      </w:pPr>
      <w:r w:rsidRPr="00A50082">
        <w:rPr>
          <w:rFonts w:ascii="Times New Roman" w:hAnsi="Times New Roman" w:cs="Times New Roman"/>
          <w:sz w:val="30"/>
          <w:szCs w:val="30"/>
        </w:rPr>
        <w:t>Date 17.01.2019</w:t>
      </w:r>
    </w:p>
    <w:sectPr w:rsidR="009247A5" w:rsidRPr="00A50082" w:rsidSect="00DA6EE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B"/>
    <w:multiLevelType w:val="multilevel"/>
    <w:tmpl w:val="E536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81D70"/>
    <w:multiLevelType w:val="hybridMultilevel"/>
    <w:tmpl w:val="1B74B788"/>
    <w:lvl w:ilvl="0" w:tplc="133A1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A19C5"/>
    <w:multiLevelType w:val="hybridMultilevel"/>
    <w:tmpl w:val="91FC0408"/>
    <w:lvl w:ilvl="0" w:tplc="133A1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47E8"/>
    <w:multiLevelType w:val="hybridMultilevel"/>
    <w:tmpl w:val="8086F1E6"/>
    <w:lvl w:ilvl="0" w:tplc="133A1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47AEA"/>
    <w:multiLevelType w:val="multilevel"/>
    <w:tmpl w:val="4DA66C0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8B4636C"/>
    <w:multiLevelType w:val="multilevel"/>
    <w:tmpl w:val="FEEC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861BC"/>
    <w:multiLevelType w:val="hybridMultilevel"/>
    <w:tmpl w:val="87C2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60C3F"/>
    <w:multiLevelType w:val="multilevel"/>
    <w:tmpl w:val="1D78E1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04C21AC"/>
    <w:multiLevelType w:val="multilevel"/>
    <w:tmpl w:val="17DA7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BBC4FB7"/>
    <w:multiLevelType w:val="multilevel"/>
    <w:tmpl w:val="D2A215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30825FA"/>
    <w:multiLevelType w:val="multilevel"/>
    <w:tmpl w:val="217E42C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3105F90"/>
    <w:multiLevelType w:val="multilevel"/>
    <w:tmpl w:val="CA6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857EA"/>
    <w:multiLevelType w:val="multilevel"/>
    <w:tmpl w:val="FC9EE6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D3D406E"/>
    <w:multiLevelType w:val="multilevel"/>
    <w:tmpl w:val="DAB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202D8C"/>
    <w:multiLevelType w:val="multilevel"/>
    <w:tmpl w:val="31B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B296D"/>
    <w:multiLevelType w:val="multilevel"/>
    <w:tmpl w:val="F2AE93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FCD6253"/>
    <w:multiLevelType w:val="hybridMultilevel"/>
    <w:tmpl w:val="8F7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37AC3"/>
    <w:multiLevelType w:val="multilevel"/>
    <w:tmpl w:val="C31E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172E6"/>
    <w:multiLevelType w:val="hybridMultilevel"/>
    <w:tmpl w:val="67C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10AA3"/>
    <w:multiLevelType w:val="hybridMultilevel"/>
    <w:tmpl w:val="9C68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1"/>
  </w:num>
  <w:num w:numId="5">
    <w:abstractNumId w:val="16"/>
  </w:num>
  <w:num w:numId="6">
    <w:abstractNumId w:val="3"/>
  </w:num>
  <w:num w:numId="7">
    <w:abstractNumId w:val="9"/>
  </w:num>
  <w:num w:numId="8">
    <w:abstractNumId w:val="15"/>
  </w:num>
  <w:num w:numId="9">
    <w:abstractNumId w:val="10"/>
  </w:num>
  <w:num w:numId="10">
    <w:abstractNumId w:val="4"/>
  </w:num>
  <w:num w:numId="11">
    <w:abstractNumId w:val="12"/>
  </w:num>
  <w:num w:numId="12">
    <w:abstractNumId w:val="7"/>
  </w:num>
  <w:num w:numId="13">
    <w:abstractNumId w:val="8"/>
  </w:num>
  <w:num w:numId="14">
    <w:abstractNumId w:val="5"/>
  </w:num>
  <w:num w:numId="15">
    <w:abstractNumId w:val="0"/>
  </w:num>
  <w:num w:numId="16">
    <w:abstractNumId w:val="13"/>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BBD"/>
    <w:rsid w:val="000523DC"/>
    <w:rsid w:val="00067DD1"/>
    <w:rsid w:val="00072D69"/>
    <w:rsid w:val="00077A6F"/>
    <w:rsid w:val="000A38A9"/>
    <w:rsid w:val="000A3A7D"/>
    <w:rsid w:val="000B0122"/>
    <w:rsid w:val="000B1961"/>
    <w:rsid w:val="000D25FF"/>
    <w:rsid w:val="000F016A"/>
    <w:rsid w:val="00117BBD"/>
    <w:rsid w:val="00123AF7"/>
    <w:rsid w:val="00164F1C"/>
    <w:rsid w:val="001E11B7"/>
    <w:rsid w:val="002125D2"/>
    <w:rsid w:val="00246E74"/>
    <w:rsid w:val="0027624D"/>
    <w:rsid w:val="00282052"/>
    <w:rsid w:val="00285D95"/>
    <w:rsid w:val="00317D59"/>
    <w:rsid w:val="00360EB9"/>
    <w:rsid w:val="003625A1"/>
    <w:rsid w:val="003764EF"/>
    <w:rsid w:val="003A7E36"/>
    <w:rsid w:val="003F33C7"/>
    <w:rsid w:val="00421012"/>
    <w:rsid w:val="004576E2"/>
    <w:rsid w:val="00475425"/>
    <w:rsid w:val="004D4A63"/>
    <w:rsid w:val="004F5C6F"/>
    <w:rsid w:val="00502385"/>
    <w:rsid w:val="005123E0"/>
    <w:rsid w:val="0055063C"/>
    <w:rsid w:val="00560F9C"/>
    <w:rsid w:val="005A752B"/>
    <w:rsid w:val="005B06DB"/>
    <w:rsid w:val="005B4B31"/>
    <w:rsid w:val="005F25C9"/>
    <w:rsid w:val="00605071"/>
    <w:rsid w:val="006156BD"/>
    <w:rsid w:val="00644495"/>
    <w:rsid w:val="0067403B"/>
    <w:rsid w:val="006A0919"/>
    <w:rsid w:val="006A673A"/>
    <w:rsid w:val="006B392E"/>
    <w:rsid w:val="006B41B7"/>
    <w:rsid w:val="006C61E3"/>
    <w:rsid w:val="006F185B"/>
    <w:rsid w:val="00724DFD"/>
    <w:rsid w:val="00726AB6"/>
    <w:rsid w:val="007302E6"/>
    <w:rsid w:val="0076615E"/>
    <w:rsid w:val="007B3A31"/>
    <w:rsid w:val="007B596A"/>
    <w:rsid w:val="007C280A"/>
    <w:rsid w:val="007F43B6"/>
    <w:rsid w:val="0086505E"/>
    <w:rsid w:val="00877646"/>
    <w:rsid w:val="00902E5C"/>
    <w:rsid w:val="009247A5"/>
    <w:rsid w:val="0094797E"/>
    <w:rsid w:val="009C1ADD"/>
    <w:rsid w:val="009F56B6"/>
    <w:rsid w:val="00A14380"/>
    <w:rsid w:val="00A40B95"/>
    <w:rsid w:val="00A50082"/>
    <w:rsid w:val="00A53008"/>
    <w:rsid w:val="00A86C03"/>
    <w:rsid w:val="00AF557D"/>
    <w:rsid w:val="00B061CD"/>
    <w:rsid w:val="00B11C2C"/>
    <w:rsid w:val="00B320B5"/>
    <w:rsid w:val="00B57585"/>
    <w:rsid w:val="00BA5F5F"/>
    <w:rsid w:val="00BB45A2"/>
    <w:rsid w:val="00BF65BA"/>
    <w:rsid w:val="00CD3B84"/>
    <w:rsid w:val="00CD49A2"/>
    <w:rsid w:val="00CD6278"/>
    <w:rsid w:val="00CE0427"/>
    <w:rsid w:val="00D53EFD"/>
    <w:rsid w:val="00D73054"/>
    <w:rsid w:val="00D74973"/>
    <w:rsid w:val="00DA6EEC"/>
    <w:rsid w:val="00DF7307"/>
    <w:rsid w:val="00EB46C5"/>
    <w:rsid w:val="00EC35DE"/>
    <w:rsid w:val="00EE646D"/>
    <w:rsid w:val="00F20DF4"/>
    <w:rsid w:val="00F369D5"/>
    <w:rsid w:val="00F80123"/>
    <w:rsid w:val="00F825EE"/>
    <w:rsid w:val="00F931DB"/>
    <w:rsid w:val="00FD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F66"/>
  <w15:docId w15:val="{DBEBD9C2-353F-4288-8490-C7DEE37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BBD"/>
    <w:pPr>
      <w:ind w:left="720"/>
      <w:contextualSpacing/>
    </w:pPr>
  </w:style>
  <w:style w:type="table" w:styleId="TableGrid">
    <w:name w:val="Table Grid"/>
    <w:basedOn w:val="TableNormal"/>
    <w:uiPriority w:val="59"/>
    <w:rsid w:val="00A1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65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5BA"/>
    <w:rPr>
      <w:b/>
      <w:bCs/>
    </w:rPr>
  </w:style>
  <w:style w:type="character" w:customStyle="1" w:styleId="Heading1Char">
    <w:name w:val="Heading 1 Char"/>
    <w:basedOn w:val="DefaultParagraphFont"/>
    <w:link w:val="Heading1"/>
    <w:uiPriority w:val="9"/>
    <w:rsid w:val="00EC35D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0744">
      <w:bodyDiv w:val="1"/>
      <w:marLeft w:val="0"/>
      <w:marRight w:val="0"/>
      <w:marTop w:val="0"/>
      <w:marBottom w:val="0"/>
      <w:divBdr>
        <w:top w:val="none" w:sz="0" w:space="0" w:color="auto"/>
        <w:left w:val="none" w:sz="0" w:space="0" w:color="auto"/>
        <w:bottom w:val="none" w:sz="0" w:space="0" w:color="auto"/>
        <w:right w:val="none" w:sz="0" w:space="0" w:color="auto"/>
      </w:divBdr>
      <w:divsChild>
        <w:div w:id="2098549766">
          <w:marLeft w:val="0"/>
          <w:marRight w:val="0"/>
          <w:marTop w:val="360"/>
          <w:marBottom w:val="480"/>
          <w:divBdr>
            <w:top w:val="none" w:sz="0" w:space="0" w:color="auto"/>
            <w:left w:val="none" w:sz="0" w:space="0" w:color="auto"/>
            <w:bottom w:val="none" w:sz="0" w:space="0" w:color="auto"/>
            <w:right w:val="none" w:sz="0" w:space="0" w:color="auto"/>
          </w:divBdr>
          <w:divsChild>
            <w:div w:id="1266304197">
              <w:marLeft w:val="0"/>
              <w:marRight w:val="0"/>
              <w:marTop w:val="0"/>
              <w:marBottom w:val="0"/>
              <w:divBdr>
                <w:top w:val="none" w:sz="0" w:space="0" w:color="auto"/>
                <w:left w:val="none" w:sz="0" w:space="0" w:color="auto"/>
                <w:bottom w:val="none" w:sz="0" w:space="0" w:color="auto"/>
                <w:right w:val="none" w:sz="0" w:space="0" w:color="auto"/>
              </w:divBdr>
            </w:div>
            <w:div w:id="1526209551">
              <w:marLeft w:val="0"/>
              <w:marRight w:val="0"/>
              <w:marTop w:val="0"/>
              <w:marBottom w:val="0"/>
              <w:divBdr>
                <w:top w:val="none" w:sz="0" w:space="0" w:color="auto"/>
                <w:left w:val="none" w:sz="0" w:space="0" w:color="auto"/>
                <w:bottom w:val="none" w:sz="0" w:space="0" w:color="auto"/>
                <w:right w:val="none" w:sz="0" w:space="0" w:color="auto"/>
              </w:divBdr>
            </w:div>
            <w:div w:id="18092598">
              <w:marLeft w:val="0"/>
              <w:marRight w:val="0"/>
              <w:marTop w:val="0"/>
              <w:marBottom w:val="0"/>
              <w:divBdr>
                <w:top w:val="none" w:sz="0" w:space="0" w:color="auto"/>
                <w:left w:val="none" w:sz="0" w:space="0" w:color="auto"/>
                <w:bottom w:val="none" w:sz="0" w:space="0" w:color="auto"/>
                <w:right w:val="none" w:sz="0" w:space="0" w:color="auto"/>
              </w:divBdr>
            </w:div>
            <w:div w:id="5090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6175">
      <w:bodyDiv w:val="1"/>
      <w:marLeft w:val="0"/>
      <w:marRight w:val="0"/>
      <w:marTop w:val="0"/>
      <w:marBottom w:val="0"/>
      <w:divBdr>
        <w:top w:val="none" w:sz="0" w:space="0" w:color="auto"/>
        <w:left w:val="none" w:sz="0" w:space="0" w:color="auto"/>
        <w:bottom w:val="none" w:sz="0" w:space="0" w:color="auto"/>
        <w:right w:val="none" w:sz="0" w:space="0" w:color="auto"/>
      </w:divBdr>
    </w:div>
    <w:div w:id="1696539691">
      <w:bodyDiv w:val="1"/>
      <w:marLeft w:val="0"/>
      <w:marRight w:val="0"/>
      <w:marTop w:val="0"/>
      <w:marBottom w:val="0"/>
      <w:divBdr>
        <w:top w:val="none" w:sz="0" w:space="0" w:color="auto"/>
        <w:left w:val="none" w:sz="0" w:space="0" w:color="auto"/>
        <w:bottom w:val="none" w:sz="0" w:space="0" w:color="auto"/>
        <w:right w:val="none" w:sz="0" w:space="0" w:color="auto"/>
      </w:divBdr>
      <w:divsChild>
        <w:div w:id="567543525">
          <w:marLeft w:val="0"/>
          <w:marRight w:val="0"/>
          <w:marTop w:val="0"/>
          <w:marBottom w:val="150"/>
          <w:divBdr>
            <w:top w:val="none" w:sz="0" w:space="0" w:color="auto"/>
            <w:left w:val="none" w:sz="0" w:space="0" w:color="auto"/>
            <w:bottom w:val="none" w:sz="0" w:space="0" w:color="auto"/>
            <w:right w:val="none" w:sz="0" w:space="0" w:color="auto"/>
          </w:divBdr>
        </w:div>
        <w:div w:id="2045715354">
          <w:marLeft w:val="0"/>
          <w:marRight w:val="0"/>
          <w:marTop w:val="0"/>
          <w:marBottom w:val="0"/>
          <w:divBdr>
            <w:top w:val="none" w:sz="0" w:space="0" w:color="auto"/>
            <w:left w:val="none" w:sz="0" w:space="0" w:color="auto"/>
            <w:bottom w:val="none" w:sz="0" w:space="0" w:color="auto"/>
            <w:right w:val="none" w:sz="0" w:space="0" w:color="auto"/>
          </w:divBdr>
          <w:divsChild>
            <w:div w:id="13266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cp:revision>
  <dcterms:created xsi:type="dcterms:W3CDTF">2019-01-16T11:50:00Z</dcterms:created>
  <dcterms:modified xsi:type="dcterms:W3CDTF">2019-01-21T07:33:00Z</dcterms:modified>
</cp:coreProperties>
</file>