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6CAD" w14:textId="77777777" w:rsidR="00FC267F" w:rsidRPr="00E44D1B" w:rsidRDefault="00FC267F">
      <w:pPr>
        <w:pStyle w:val="BodyText"/>
        <w:spacing w:before="7"/>
        <w:rPr>
          <w:rFonts w:ascii="Times New Roman"/>
          <w:lang w:val="vi-VN"/>
        </w:rPr>
      </w:pPr>
      <w:bookmarkStart w:id="0" w:name="_Hlk135662794"/>
    </w:p>
    <w:p w14:paraId="4421D594" w14:textId="77777777" w:rsidR="00E1519D" w:rsidRPr="00E1519D" w:rsidRDefault="00E1519D" w:rsidP="00E1519D">
      <w:pPr>
        <w:pStyle w:val="Heading1"/>
        <w:spacing w:before="99"/>
        <w:ind w:left="6521" w:right="233" w:hanging="274"/>
        <w:jc w:val="right"/>
        <w:rPr>
          <w:lang w:val="vi-VN"/>
        </w:rPr>
      </w:pPr>
      <w:bookmarkStart w:id="1" w:name="BẢN_TIN_PHÁP_LUẬT"/>
      <w:bookmarkEnd w:id="1"/>
      <w:r w:rsidRPr="00E1519D">
        <w:rPr>
          <w:lang w:val="vi-VN"/>
        </w:rPr>
        <w:t>LEGAL UPDATE</w:t>
      </w:r>
    </w:p>
    <w:p w14:paraId="296DE252" w14:textId="5224A6AC" w:rsidR="004F31D2" w:rsidRPr="00E44D1B" w:rsidRDefault="00E1519D" w:rsidP="00E1519D">
      <w:pPr>
        <w:pStyle w:val="Heading1"/>
        <w:spacing w:before="99"/>
        <w:ind w:left="6521" w:right="233" w:hanging="274"/>
        <w:jc w:val="right"/>
        <w:rPr>
          <w:lang w:val="vi-VN"/>
        </w:rPr>
      </w:pPr>
      <w:r w:rsidRPr="00E1519D">
        <w:rPr>
          <w:lang w:val="vi-VN"/>
        </w:rPr>
        <w:t>VOL 6</w:t>
      </w:r>
      <w:r>
        <w:rPr>
          <w:lang w:val="vi-VN"/>
        </w:rPr>
        <w:t>2</w:t>
      </w:r>
      <w:r w:rsidRPr="00E1519D">
        <w:rPr>
          <w:lang w:val="vi-VN"/>
        </w:rPr>
        <w:t xml:space="preserve">, </w:t>
      </w:r>
      <w:r>
        <w:rPr>
          <w:lang w:val="vi-VN"/>
        </w:rPr>
        <w:t>January</w:t>
      </w:r>
      <w:r w:rsidRPr="00E1519D">
        <w:rPr>
          <w:lang w:val="vi-VN"/>
        </w:rPr>
        <w:t xml:space="preserve"> 202</w:t>
      </w:r>
      <w:r>
        <w:rPr>
          <w:lang w:val="vi-VN"/>
        </w:rPr>
        <w:t>5</w:t>
      </w:r>
    </w:p>
    <w:p w14:paraId="296DE253" w14:textId="77777777" w:rsidR="004F31D2" w:rsidRPr="00E44D1B" w:rsidRDefault="004F31D2">
      <w:pPr>
        <w:pStyle w:val="BodyText"/>
        <w:spacing w:before="6"/>
        <w:rPr>
          <w:b/>
          <w:lang w:val="vi-VN"/>
        </w:rPr>
      </w:pPr>
    </w:p>
    <w:p w14:paraId="6255A94E" w14:textId="77777777" w:rsidR="00E1519D" w:rsidRPr="00E1519D" w:rsidRDefault="00E1519D" w:rsidP="00E1519D">
      <w:pPr>
        <w:spacing w:before="100"/>
        <w:ind w:left="229"/>
        <w:rPr>
          <w:b/>
          <w:lang w:val="vi-VN"/>
        </w:rPr>
      </w:pPr>
      <w:r w:rsidRPr="00E1519D">
        <w:rPr>
          <w:b/>
          <w:lang w:val="vi-VN"/>
        </w:rPr>
        <w:t>Dear Valued Clients and Partners,</w:t>
      </w:r>
    </w:p>
    <w:p w14:paraId="0B4D110C" w14:textId="77777777" w:rsidR="00E1519D" w:rsidRPr="00E1519D" w:rsidRDefault="00E1519D" w:rsidP="00E1519D">
      <w:pPr>
        <w:spacing w:before="100"/>
        <w:ind w:left="229"/>
        <w:rPr>
          <w:b/>
          <w:lang w:val="vi-VN"/>
        </w:rPr>
      </w:pPr>
    </w:p>
    <w:p w14:paraId="212130A3" w14:textId="712013ED" w:rsidR="00AF79BA" w:rsidRPr="00E44D1B" w:rsidRDefault="00E1519D" w:rsidP="00E1519D">
      <w:pPr>
        <w:spacing w:before="100"/>
        <w:ind w:left="229"/>
        <w:rPr>
          <w:bCs/>
          <w:lang w:val="vi-VN"/>
        </w:rPr>
      </w:pPr>
      <w:r w:rsidRPr="00E1519D">
        <w:rPr>
          <w:b/>
          <w:lang w:val="vi-VN"/>
        </w:rPr>
        <w:t>ADK Vietnam Lawyers would like to introduce to you the Legal Update vol 6</w:t>
      </w:r>
      <w:r>
        <w:rPr>
          <w:b/>
          <w:lang w:val="vi-VN"/>
        </w:rPr>
        <w:t>2</w:t>
      </w:r>
      <w:r w:rsidRPr="00E1519D">
        <w:rPr>
          <w:b/>
          <w:lang w:val="vi-VN"/>
        </w:rPr>
        <w:t xml:space="preserve"> of </w:t>
      </w:r>
      <w:r>
        <w:rPr>
          <w:b/>
          <w:lang w:val="vi-VN"/>
        </w:rPr>
        <w:t>January</w:t>
      </w:r>
      <w:r w:rsidRPr="00E1519D">
        <w:rPr>
          <w:b/>
          <w:lang w:val="vi-VN"/>
        </w:rPr>
        <w:t xml:space="preserve"> 202</w:t>
      </w:r>
      <w:r>
        <w:rPr>
          <w:b/>
          <w:lang w:val="vi-VN"/>
        </w:rPr>
        <w:t>5</w:t>
      </w:r>
      <w:r w:rsidRPr="00E1519D">
        <w:rPr>
          <w:b/>
          <w:lang w:val="vi-VN"/>
        </w:rPr>
        <w:t xml:space="preserve"> with the following main contents:</w:t>
      </w:r>
    </w:p>
    <w:p w14:paraId="5D02B46C" w14:textId="5FE209AA" w:rsidR="00A11F06" w:rsidRPr="00E44D1B" w:rsidRDefault="00A11F06">
      <w:pPr>
        <w:pStyle w:val="BodyText"/>
        <w:rPr>
          <w:b/>
          <w:lang w:val="vi-VN"/>
        </w:rPr>
      </w:pPr>
    </w:p>
    <w:p w14:paraId="76A40DED" w14:textId="5CFC75EC" w:rsidR="007F45D2" w:rsidRPr="00E44D1B" w:rsidRDefault="00E1519D" w:rsidP="003F03F7">
      <w:pPr>
        <w:pStyle w:val="Heading1"/>
        <w:numPr>
          <w:ilvl w:val="0"/>
          <w:numId w:val="1"/>
        </w:numPr>
        <w:tabs>
          <w:tab w:val="left" w:pos="709"/>
        </w:tabs>
        <w:ind w:right="119" w:hanging="651"/>
        <w:jc w:val="left"/>
        <w:rPr>
          <w:lang w:val="vi-VN"/>
        </w:rPr>
      </w:pPr>
      <w:bookmarkStart w:id="2" w:name="1._Quy_định_mới_về_lãi_suất_tái_cấp_vốn,"/>
      <w:bookmarkStart w:id="3" w:name="_Hlk164384608"/>
      <w:bookmarkEnd w:id="2"/>
      <w:r>
        <w:t xml:space="preserve">New </w:t>
      </w:r>
      <w:r w:rsidR="0062449D">
        <w:rPr>
          <w:lang w:val="en-US"/>
        </w:rPr>
        <w:t>r</w:t>
      </w:r>
      <w:r>
        <w:t>egulations on the Investment Support Fund</w:t>
      </w:r>
    </w:p>
    <w:p w14:paraId="6BD2B070" w14:textId="0CC7AEB4" w:rsidR="00E85105" w:rsidRPr="00E44D1B" w:rsidRDefault="00E85105" w:rsidP="003F03F7">
      <w:pPr>
        <w:pStyle w:val="Heading1"/>
        <w:tabs>
          <w:tab w:val="left" w:pos="709"/>
        </w:tabs>
        <w:ind w:left="0" w:right="119"/>
        <w:jc w:val="both"/>
        <w:rPr>
          <w:b w:val="0"/>
          <w:bCs w:val="0"/>
          <w:lang w:val="vi-VN"/>
        </w:rPr>
      </w:pPr>
    </w:p>
    <w:p w14:paraId="09C4B9BE" w14:textId="35D05781" w:rsidR="005F45AA" w:rsidRDefault="00E1519D" w:rsidP="003F03F7">
      <w:pPr>
        <w:pStyle w:val="Heading1"/>
        <w:tabs>
          <w:tab w:val="left" w:pos="709"/>
        </w:tabs>
        <w:ind w:left="709" w:right="119"/>
        <w:jc w:val="both"/>
        <w:rPr>
          <w:b w:val="0"/>
          <w:bCs w:val="0"/>
          <w:lang w:val="vi-VN"/>
        </w:rPr>
      </w:pPr>
      <w:r w:rsidRPr="00E1519D">
        <w:rPr>
          <w:b w:val="0"/>
          <w:bCs w:val="0"/>
          <w:lang w:val="vi-VN"/>
        </w:rPr>
        <w:t>On December 31, 2024, the Government officially issued Decree No. 182/2024/ND-CP (“</w:t>
      </w:r>
      <w:r w:rsidRPr="00E1519D">
        <w:rPr>
          <w:lang w:val="vi-VN"/>
        </w:rPr>
        <w:t>Decree 182</w:t>
      </w:r>
      <w:r w:rsidRPr="00E1519D">
        <w:rPr>
          <w:b w:val="0"/>
          <w:bCs w:val="0"/>
          <w:lang w:val="vi-VN"/>
        </w:rPr>
        <w:t>”), marking a significant milestone in the nation’s journey toward high-tech development. Decree 182 provides for the establishment, management, and use of the Investment Support Fund—a cutting-edge financial instrument aimed at empowering high-tech enterprises.</w:t>
      </w:r>
      <w:r w:rsidR="005F45AA" w:rsidRPr="005F45AA">
        <w:rPr>
          <w:b w:val="0"/>
          <w:bCs w:val="0"/>
          <w:lang w:val="vi-VN"/>
        </w:rPr>
        <w:t xml:space="preserve"> </w:t>
      </w:r>
    </w:p>
    <w:p w14:paraId="02A79432" w14:textId="77777777" w:rsidR="005F45AA" w:rsidRDefault="005F45AA" w:rsidP="003F03F7">
      <w:pPr>
        <w:pStyle w:val="Heading1"/>
        <w:tabs>
          <w:tab w:val="left" w:pos="709"/>
        </w:tabs>
        <w:ind w:left="709" w:right="119"/>
        <w:jc w:val="both"/>
        <w:rPr>
          <w:b w:val="0"/>
          <w:bCs w:val="0"/>
          <w:lang w:val="vi-VN"/>
        </w:rPr>
      </w:pPr>
    </w:p>
    <w:p w14:paraId="1A96B375" w14:textId="1E55D17E" w:rsidR="0031443B" w:rsidRPr="002D7644" w:rsidRDefault="00E1519D" w:rsidP="0031443B">
      <w:pPr>
        <w:pStyle w:val="Heading1"/>
        <w:numPr>
          <w:ilvl w:val="0"/>
          <w:numId w:val="13"/>
        </w:numPr>
        <w:ind w:left="993" w:right="119"/>
        <w:jc w:val="both"/>
        <w:rPr>
          <w:i/>
          <w:iCs/>
          <w:lang w:val="vi-VN"/>
        </w:rPr>
      </w:pPr>
      <w:r w:rsidRPr="00E1519D">
        <w:rPr>
          <w:i/>
          <w:iCs/>
          <w:lang w:val="vi-VN"/>
        </w:rPr>
        <w:t>What is the Investment Support Fund?</w:t>
      </w:r>
    </w:p>
    <w:p w14:paraId="0EFD1090" w14:textId="77777777" w:rsidR="0031443B" w:rsidRPr="002D7644" w:rsidRDefault="0031443B" w:rsidP="0031443B">
      <w:pPr>
        <w:pStyle w:val="Heading1"/>
        <w:ind w:left="993" w:right="119"/>
        <w:jc w:val="both"/>
        <w:rPr>
          <w:i/>
          <w:iCs/>
          <w:lang w:val="vi-VN"/>
        </w:rPr>
      </w:pPr>
    </w:p>
    <w:p w14:paraId="3EA1AAD3" w14:textId="395DFF55" w:rsidR="007B3114" w:rsidRDefault="00E1519D" w:rsidP="0031443B">
      <w:pPr>
        <w:pStyle w:val="Heading1"/>
        <w:ind w:left="993" w:right="119"/>
        <w:jc w:val="both"/>
        <w:rPr>
          <w:b w:val="0"/>
          <w:bCs w:val="0"/>
          <w:lang w:val="vi-VN"/>
        </w:rPr>
      </w:pPr>
      <w:r w:rsidRPr="00E1519D">
        <w:rPr>
          <w:b w:val="0"/>
          <w:bCs w:val="0"/>
          <w:lang w:val="vi-VN"/>
        </w:rPr>
        <w:t>The Investment Support Fund (the “</w:t>
      </w:r>
      <w:r w:rsidRPr="00E1519D">
        <w:rPr>
          <w:lang w:val="vi-VN"/>
        </w:rPr>
        <w:t>Fund</w:t>
      </w:r>
      <w:r w:rsidRPr="00E1519D">
        <w:rPr>
          <w:b w:val="0"/>
          <w:bCs w:val="0"/>
          <w:lang w:val="vi-VN"/>
        </w:rPr>
        <w:t>”) is a national fund established by the Government and managed by the Ministry of Planning and Investment. It operates on a non-profit basis and does not seek to preserve its financial capital.</w:t>
      </w:r>
    </w:p>
    <w:p w14:paraId="39548F33" w14:textId="77777777" w:rsidR="0031443B" w:rsidRDefault="0031443B" w:rsidP="0031443B">
      <w:pPr>
        <w:pStyle w:val="Heading1"/>
        <w:ind w:left="993" w:right="119"/>
        <w:jc w:val="both"/>
        <w:rPr>
          <w:b w:val="0"/>
          <w:bCs w:val="0"/>
          <w:lang w:val="vi-VN"/>
        </w:rPr>
      </w:pPr>
    </w:p>
    <w:p w14:paraId="0B8AAE98" w14:textId="2CC86DE2" w:rsidR="0031443B" w:rsidRPr="002D7644" w:rsidRDefault="004A7B1E" w:rsidP="0031443B">
      <w:pPr>
        <w:pStyle w:val="Heading1"/>
        <w:numPr>
          <w:ilvl w:val="0"/>
          <w:numId w:val="13"/>
        </w:numPr>
        <w:ind w:left="993" w:right="119"/>
        <w:jc w:val="both"/>
        <w:rPr>
          <w:i/>
          <w:iCs/>
          <w:lang w:val="vi-VN"/>
        </w:rPr>
      </w:pPr>
      <w:r>
        <w:rPr>
          <w:i/>
          <w:iCs/>
          <w:lang w:val="vi-VN"/>
        </w:rPr>
        <w:t>Scope of</w:t>
      </w:r>
      <w:r w:rsidR="00E1519D">
        <w:rPr>
          <w:i/>
          <w:iCs/>
          <w:lang w:val="vi-VN"/>
        </w:rPr>
        <w:t xml:space="preserve"> entities</w:t>
      </w:r>
    </w:p>
    <w:p w14:paraId="776CE6EB" w14:textId="77777777" w:rsidR="00A90AA0" w:rsidRDefault="00A90AA0" w:rsidP="00A90AA0">
      <w:pPr>
        <w:pStyle w:val="Heading1"/>
        <w:ind w:left="993" w:right="119"/>
        <w:jc w:val="both"/>
        <w:rPr>
          <w:b w:val="0"/>
          <w:bCs w:val="0"/>
          <w:lang w:val="vi-VN"/>
        </w:rPr>
      </w:pPr>
    </w:p>
    <w:p w14:paraId="37E2BA04" w14:textId="5E908A72" w:rsidR="00A90AA0" w:rsidRPr="00A90AA0" w:rsidRDefault="00E1519D" w:rsidP="00DA3163">
      <w:pPr>
        <w:ind w:left="993"/>
        <w:jc w:val="both"/>
        <w:rPr>
          <w:lang w:val="vi-VN"/>
        </w:rPr>
      </w:pPr>
      <w:r>
        <w:t>The Fund provides support to the following:</w:t>
      </w:r>
      <w:r w:rsidR="00A90AA0" w:rsidRPr="00A90AA0">
        <w:rPr>
          <w:lang w:val="vi-VN"/>
        </w:rPr>
        <w:t xml:space="preserve"> </w:t>
      </w:r>
      <w:r w:rsidR="007C15B0">
        <w:rPr>
          <w:lang w:val="vi-VN"/>
        </w:rPr>
        <w:t xml:space="preserve">(i) </w:t>
      </w:r>
      <w:r>
        <w:t>High-tech enterprises;</w:t>
      </w:r>
      <w:r w:rsidR="00A90AA0" w:rsidRPr="00A90AA0">
        <w:rPr>
          <w:lang w:val="vi-VN"/>
        </w:rPr>
        <w:t xml:space="preserve"> </w:t>
      </w:r>
      <w:r w:rsidR="007C15B0">
        <w:rPr>
          <w:lang w:val="vi-VN"/>
        </w:rPr>
        <w:t xml:space="preserve">(ii) </w:t>
      </w:r>
      <w:r>
        <w:t>Enterprises with investment projects in high-tech product manufacturing;</w:t>
      </w:r>
      <w:r w:rsidR="00A90AA0" w:rsidRPr="00A90AA0">
        <w:rPr>
          <w:lang w:val="vi-VN"/>
        </w:rPr>
        <w:t xml:space="preserve"> </w:t>
      </w:r>
      <w:r w:rsidR="007C15B0">
        <w:rPr>
          <w:lang w:val="vi-VN"/>
        </w:rPr>
        <w:t xml:space="preserve">(iii) </w:t>
      </w:r>
      <w:r>
        <w:t>Enterprises with projects applying high technology;</w:t>
      </w:r>
      <w:r w:rsidR="00A90AA0" w:rsidRPr="00A90AA0">
        <w:rPr>
          <w:lang w:val="vi-VN"/>
        </w:rPr>
        <w:t xml:space="preserve"> </w:t>
      </w:r>
      <w:r>
        <w:rPr>
          <w:lang w:val="vi-VN"/>
        </w:rPr>
        <w:t>and</w:t>
      </w:r>
      <w:r w:rsidR="007C15B0">
        <w:rPr>
          <w:lang w:val="vi-VN"/>
        </w:rPr>
        <w:t xml:space="preserve"> (iv)</w:t>
      </w:r>
      <w:r w:rsidR="00A90AA0" w:rsidRPr="00A90AA0">
        <w:rPr>
          <w:lang w:val="vi-VN"/>
        </w:rPr>
        <w:t xml:space="preserve"> </w:t>
      </w:r>
      <w:r>
        <w:t>Enterprises with investment projects in research and development (R&amp;D) centers.</w:t>
      </w:r>
    </w:p>
    <w:p w14:paraId="1EBF0EBF" w14:textId="77777777" w:rsidR="0031443B" w:rsidRDefault="0031443B" w:rsidP="00A90AA0">
      <w:pPr>
        <w:pStyle w:val="Heading1"/>
        <w:ind w:left="0" w:right="119"/>
        <w:jc w:val="both"/>
        <w:rPr>
          <w:b w:val="0"/>
          <w:bCs w:val="0"/>
          <w:lang w:val="vi-VN"/>
        </w:rPr>
      </w:pPr>
    </w:p>
    <w:p w14:paraId="37770EE7" w14:textId="7B69922A" w:rsidR="0031443B" w:rsidRPr="002D7644" w:rsidRDefault="00E1519D" w:rsidP="0031443B">
      <w:pPr>
        <w:pStyle w:val="Heading1"/>
        <w:numPr>
          <w:ilvl w:val="0"/>
          <w:numId w:val="13"/>
        </w:numPr>
        <w:ind w:left="993" w:right="119"/>
        <w:jc w:val="both"/>
        <w:rPr>
          <w:i/>
          <w:iCs/>
          <w:lang w:val="vi-VN"/>
        </w:rPr>
      </w:pPr>
      <w:r w:rsidRPr="00E1519D">
        <w:rPr>
          <w:i/>
          <w:iCs/>
          <w:lang w:val="vi-VN"/>
        </w:rPr>
        <w:t xml:space="preserve">Criteria and </w:t>
      </w:r>
      <w:r w:rsidR="000171E7">
        <w:rPr>
          <w:i/>
          <w:iCs/>
          <w:lang w:val="vi-VN"/>
        </w:rPr>
        <w:t>c</w:t>
      </w:r>
      <w:r w:rsidRPr="00E1519D">
        <w:rPr>
          <w:i/>
          <w:iCs/>
          <w:lang w:val="vi-VN"/>
        </w:rPr>
        <w:t xml:space="preserve">onditions for </w:t>
      </w:r>
      <w:r w:rsidR="000171E7">
        <w:rPr>
          <w:i/>
          <w:iCs/>
          <w:lang w:val="vi-VN"/>
        </w:rPr>
        <w:t>s</w:t>
      </w:r>
      <w:r w:rsidRPr="00E1519D">
        <w:rPr>
          <w:i/>
          <w:iCs/>
          <w:lang w:val="vi-VN"/>
        </w:rPr>
        <w:t>upport</w:t>
      </w:r>
    </w:p>
    <w:p w14:paraId="12837A30" w14:textId="77777777" w:rsidR="007C15B0" w:rsidRDefault="007C15B0" w:rsidP="007C15B0">
      <w:pPr>
        <w:pStyle w:val="Heading1"/>
        <w:ind w:right="119"/>
        <w:jc w:val="both"/>
        <w:rPr>
          <w:b w:val="0"/>
          <w:bCs w:val="0"/>
          <w:lang w:val="vi-VN"/>
        </w:rPr>
      </w:pPr>
    </w:p>
    <w:p w14:paraId="5DACC359" w14:textId="680EF37B" w:rsidR="007C15B0" w:rsidRPr="002D7644" w:rsidRDefault="00E1519D" w:rsidP="00330F39">
      <w:pPr>
        <w:pStyle w:val="Heading1"/>
        <w:numPr>
          <w:ilvl w:val="0"/>
          <w:numId w:val="15"/>
        </w:numPr>
        <w:ind w:left="1418" w:right="119" w:hanging="425"/>
        <w:jc w:val="both"/>
        <w:rPr>
          <w:b w:val="0"/>
          <w:bCs w:val="0"/>
          <w:i/>
          <w:iCs/>
          <w:lang w:val="vi-VN"/>
        </w:rPr>
      </w:pPr>
      <w:r>
        <w:rPr>
          <w:b w:val="0"/>
          <w:bCs w:val="0"/>
          <w:i/>
          <w:iCs/>
          <w:lang w:val="vi-VN"/>
        </w:rPr>
        <w:t xml:space="preserve">Regarding </w:t>
      </w:r>
      <w:r w:rsidRPr="00E1519D">
        <w:rPr>
          <w:b w:val="0"/>
          <w:bCs w:val="0"/>
          <w:i/>
          <w:iCs/>
          <w:lang w:val="vi-VN"/>
        </w:rPr>
        <w:t>Capital Scale and Revenue Requirements:</w:t>
      </w:r>
    </w:p>
    <w:p w14:paraId="0169F45D" w14:textId="77777777" w:rsidR="00330F39" w:rsidRDefault="00330F39" w:rsidP="00330F39">
      <w:pPr>
        <w:pStyle w:val="Heading1"/>
        <w:ind w:left="1418" w:right="119"/>
        <w:jc w:val="both"/>
        <w:rPr>
          <w:b w:val="0"/>
          <w:bCs w:val="0"/>
          <w:lang w:val="vi-VN"/>
        </w:rPr>
      </w:pPr>
    </w:p>
    <w:p w14:paraId="3D09F2AC" w14:textId="63D5DBBC" w:rsidR="00330F39" w:rsidRDefault="00E1519D" w:rsidP="00330F39">
      <w:pPr>
        <w:pStyle w:val="Heading1"/>
        <w:numPr>
          <w:ilvl w:val="0"/>
          <w:numId w:val="16"/>
        </w:numPr>
        <w:ind w:left="1843" w:right="119" w:hanging="425"/>
        <w:jc w:val="both"/>
        <w:rPr>
          <w:b w:val="0"/>
          <w:bCs w:val="0"/>
          <w:lang w:val="vi-VN"/>
        </w:rPr>
      </w:pPr>
      <w:r w:rsidRPr="00E1519D">
        <w:rPr>
          <w:b w:val="0"/>
          <w:bCs w:val="0"/>
          <w:lang w:val="vi-VN"/>
        </w:rPr>
        <w:t>Investment projects must have a minimum capital of VND 12,000 billion or an annual revenue of at least VND 20,000 billion</w:t>
      </w:r>
      <w:r>
        <w:rPr>
          <w:b w:val="0"/>
          <w:bCs w:val="0"/>
          <w:lang w:val="vi-VN"/>
        </w:rPr>
        <w:t>;</w:t>
      </w:r>
    </w:p>
    <w:p w14:paraId="45F195C4" w14:textId="77777777" w:rsidR="00E1519D" w:rsidRDefault="00E1519D" w:rsidP="00E1519D">
      <w:pPr>
        <w:pStyle w:val="Heading1"/>
        <w:ind w:left="1843" w:right="119"/>
        <w:jc w:val="both"/>
        <w:rPr>
          <w:b w:val="0"/>
          <w:bCs w:val="0"/>
          <w:lang w:val="vi-VN"/>
        </w:rPr>
      </w:pPr>
    </w:p>
    <w:p w14:paraId="1AF56EF6" w14:textId="77743682" w:rsidR="00330F39" w:rsidRDefault="00E1519D" w:rsidP="00330F39">
      <w:pPr>
        <w:pStyle w:val="Heading1"/>
        <w:numPr>
          <w:ilvl w:val="0"/>
          <w:numId w:val="16"/>
        </w:numPr>
        <w:ind w:left="1843" w:right="119" w:hanging="425"/>
        <w:jc w:val="both"/>
        <w:rPr>
          <w:b w:val="0"/>
          <w:bCs w:val="0"/>
          <w:lang w:val="vi-VN"/>
        </w:rPr>
      </w:pPr>
      <w:r w:rsidRPr="00E1519D">
        <w:rPr>
          <w:b w:val="0"/>
          <w:bCs w:val="0"/>
          <w:lang w:val="vi-VN"/>
        </w:rPr>
        <w:t>Projects in chip manufacturing, data centers, and artificial intelligence require a minimum capital of VND 6,000 billion or annual revenue of at least VND 10,000 billion</w:t>
      </w:r>
      <w:r>
        <w:rPr>
          <w:b w:val="0"/>
          <w:bCs w:val="0"/>
          <w:lang w:val="vi-VN"/>
        </w:rPr>
        <w:t>;</w:t>
      </w:r>
    </w:p>
    <w:p w14:paraId="30A3B17C" w14:textId="77777777" w:rsidR="00E1519D" w:rsidRDefault="00E1519D" w:rsidP="00E1519D">
      <w:pPr>
        <w:pStyle w:val="Heading1"/>
        <w:ind w:left="1843" w:right="119"/>
        <w:jc w:val="both"/>
        <w:rPr>
          <w:b w:val="0"/>
          <w:bCs w:val="0"/>
          <w:lang w:val="vi-VN"/>
        </w:rPr>
      </w:pPr>
    </w:p>
    <w:p w14:paraId="6235D584" w14:textId="2E64DC18" w:rsidR="00330F39" w:rsidRDefault="00E1519D" w:rsidP="00330F39">
      <w:pPr>
        <w:pStyle w:val="Heading1"/>
        <w:numPr>
          <w:ilvl w:val="0"/>
          <w:numId w:val="16"/>
        </w:numPr>
        <w:ind w:left="1843" w:right="119" w:hanging="425"/>
        <w:jc w:val="both"/>
        <w:rPr>
          <w:b w:val="0"/>
          <w:bCs w:val="0"/>
          <w:lang w:val="vi-VN"/>
        </w:rPr>
      </w:pPr>
      <w:r w:rsidRPr="00E1519D">
        <w:rPr>
          <w:b w:val="0"/>
          <w:bCs w:val="0"/>
          <w:lang w:val="vi-VN"/>
        </w:rPr>
        <w:t>Microchip design projects have no capital requirement but must commit to employing 300 Vietnamese engineers and training 30 high-quality engineers annually</w:t>
      </w:r>
      <w:r>
        <w:rPr>
          <w:b w:val="0"/>
          <w:bCs w:val="0"/>
          <w:lang w:val="vi-VN"/>
        </w:rPr>
        <w:t>;</w:t>
      </w:r>
    </w:p>
    <w:p w14:paraId="388E2BBC" w14:textId="77777777" w:rsidR="00E1519D" w:rsidRDefault="00E1519D" w:rsidP="00E1519D">
      <w:pPr>
        <w:pStyle w:val="Heading1"/>
        <w:ind w:left="1843" w:right="119"/>
        <w:jc w:val="both"/>
        <w:rPr>
          <w:b w:val="0"/>
          <w:bCs w:val="0"/>
          <w:lang w:val="vi-VN"/>
        </w:rPr>
      </w:pPr>
    </w:p>
    <w:p w14:paraId="2EDD2842" w14:textId="7A125FB8" w:rsidR="00330F39" w:rsidRDefault="00E1519D" w:rsidP="00330F39">
      <w:pPr>
        <w:pStyle w:val="Heading1"/>
        <w:numPr>
          <w:ilvl w:val="0"/>
          <w:numId w:val="16"/>
        </w:numPr>
        <w:ind w:left="1843" w:right="119" w:hanging="425"/>
        <w:jc w:val="both"/>
        <w:rPr>
          <w:b w:val="0"/>
          <w:bCs w:val="0"/>
          <w:lang w:val="vi-VN"/>
        </w:rPr>
      </w:pPr>
      <w:r w:rsidRPr="00E1519D">
        <w:rPr>
          <w:b w:val="0"/>
          <w:bCs w:val="0"/>
          <w:lang w:val="vi-VN"/>
        </w:rPr>
        <w:t>Projects in prioritized high-tech sectors are not bound by capital or revenue thresholds.</w:t>
      </w:r>
    </w:p>
    <w:p w14:paraId="481434FB" w14:textId="77777777" w:rsidR="00330F39" w:rsidRDefault="00330F39" w:rsidP="00330F39">
      <w:pPr>
        <w:pStyle w:val="Heading1"/>
        <w:ind w:left="1843" w:right="119"/>
        <w:jc w:val="both"/>
        <w:rPr>
          <w:b w:val="0"/>
          <w:bCs w:val="0"/>
          <w:lang w:val="vi-VN"/>
        </w:rPr>
      </w:pPr>
    </w:p>
    <w:p w14:paraId="10E677C1" w14:textId="143E6BB2" w:rsidR="00330F39" w:rsidRPr="002D7644" w:rsidRDefault="00E1519D" w:rsidP="00330F39">
      <w:pPr>
        <w:pStyle w:val="Heading1"/>
        <w:numPr>
          <w:ilvl w:val="0"/>
          <w:numId w:val="15"/>
        </w:numPr>
        <w:ind w:left="1418" w:right="119" w:hanging="425"/>
        <w:jc w:val="both"/>
        <w:rPr>
          <w:b w:val="0"/>
          <w:bCs w:val="0"/>
          <w:i/>
          <w:iCs/>
          <w:lang w:val="vi-VN"/>
        </w:rPr>
      </w:pPr>
      <w:r w:rsidRPr="00E1519D">
        <w:rPr>
          <w:b w:val="0"/>
          <w:bCs w:val="0"/>
          <w:i/>
          <w:iCs/>
          <w:lang w:val="vi-VN"/>
        </w:rPr>
        <w:t>Funding Disbursement Conditions:</w:t>
      </w:r>
    </w:p>
    <w:p w14:paraId="74F64A91" w14:textId="77777777" w:rsidR="00330F39" w:rsidRDefault="00330F39" w:rsidP="00330F39">
      <w:pPr>
        <w:pStyle w:val="Heading1"/>
        <w:ind w:left="1418" w:right="119"/>
        <w:jc w:val="both"/>
        <w:rPr>
          <w:b w:val="0"/>
          <w:bCs w:val="0"/>
          <w:lang w:val="vi-VN"/>
        </w:rPr>
      </w:pPr>
    </w:p>
    <w:p w14:paraId="2B890EB3" w14:textId="241F32D1" w:rsidR="00330F39" w:rsidRDefault="00E1519D" w:rsidP="00330F39">
      <w:pPr>
        <w:pStyle w:val="Heading1"/>
        <w:numPr>
          <w:ilvl w:val="0"/>
          <w:numId w:val="17"/>
        </w:numPr>
        <w:ind w:left="1843" w:right="119" w:hanging="425"/>
        <w:jc w:val="both"/>
        <w:rPr>
          <w:b w:val="0"/>
          <w:bCs w:val="0"/>
          <w:lang w:val="vi-VN"/>
        </w:rPr>
      </w:pPr>
      <w:r w:rsidRPr="00E1519D">
        <w:rPr>
          <w:b w:val="0"/>
          <w:bCs w:val="0"/>
          <w:lang w:val="vi-VN"/>
        </w:rPr>
        <w:lastRenderedPageBreak/>
        <w:t>New projects must disburse at least VND 12,000 billion (or VND 6,000 billion for chip/data center projects) within five years or a lower amount within three years</w:t>
      </w:r>
      <w:r>
        <w:rPr>
          <w:b w:val="0"/>
          <w:bCs w:val="0"/>
          <w:lang w:val="vi-VN"/>
        </w:rPr>
        <w:t>;</w:t>
      </w:r>
    </w:p>
    <w:p w14:paraId="373D1D33" w14:textId="77777777" w:rsidR="00E1519D" w:rsidRDefault="00E1519D" w:rsidP="00E1519D">
      <w:pPr>
        <w:pStyle w:val="Heading1"/>
        <w:ind w:left="1843" w:right="119"/>
        <w:jc w:val="both"/>
        <w:rPr>
          <w:b w:val="0"/>
          <w:bCs w:val="0"/>
          <w:lang w:val="vi-VN"/>
        </w:rPr>
      </w:pPr>
    </w:p>
    <w:p w14:paraId="4A1FE3C0" w14:textId="618D92FF" w:rsidR="00330F39" w:rsidRDefault="00E1519D" w:rsidP="00330F39">
      <w:pPr>
        <w:pStyle w:val="Heading1"/>
        <w:numPr>
          <w:ilvl w:val="0"/>
          <w:numId w:val="17"/>
        </w:numPr>
        <w:ind w:left="1843" w:right="119" w:hanging="425"/>
        <w:jc w:val="both"/>
        <w:rPr>
          <w:b w:val="0"/>
          <w:bCs w:val="0"/>
          <w:lang w:val="vi-VN"/>
        </w:rPr>
      </w:pPr>
      <w:r w:rsidRPr="00E1519D">
        <w:rPr>
          <w:b w:val="0"/>
          <w:bCs w:val="0"/>
          <w:lang w:val="vi-VN"/>
        </w:rPr>
        <w:t>Existing projects must meet similar disbursement benchmarks, subject to capital adjustments</w:t>
      </w:r>
      <w:r>
        <w:rPr>
          <w:b w:val="0"/>
          <w:bCs w:val="0"/>
          <w:lang w:val="vi-VN"/>
        </w:rPr>
        <w:t>.</w:t>
      </w:r>
    </w:p>
    <w:p w14:paraId="3758623A" w14:textId="77777777" w:rsidR="00330F39" w:rsidRDefault="00330F39" w:rsidP="00330F39">
      <w:pPr>
        <w:pStyle w:val="Heading1"/>
        <w:ind w:left="1843" w:right="119"/>
        <w:jc w:val="both"/>
        <w:rPr>
          <w:b w:val="0"/>
          <w:bCs w:val="0"/>
          <w:lang w:val="vi-VN"/>
        </w:rPr>
      </w:pPr>
    </w:p>
    <w:p w14:paraId="71D0A228" w14:textId="7DC6DE20" w:rsidR="00330F39" w:rsidRPr="00330F39" w:rsidRDefault="00E1519D" w:rsidP="002D7644">
      <w:pPr>
        <w:pStyle w:val="ListParagraph"/>
        <w:numPr>
          <w:ilvl w:val="0"/>
          <w:numId w:val="15"/>
        </w:numPr>
        <w:ind w:left="1418" w:hanging="425"/>
        <w:rPr>
          <w:lang w:val="vi-VN"/>
        </w:rPr>
      </w:pPr>
      <w:r w:rsidRPr="00E1519D">
        <w:rPr>
          <w:i/>
          <w:iCs/>
          <w:lang w:val="vi-VN"/>
        </w:rPr>
        <w:t>Revenue Conditions:</w:t>
      </w:r>
      <w:r>
        <w:rPr>
          <w:i/>
          <w:iCs/>
          <w:lang w:val="vi-VN"/>
        </w:rPr>
        <w:t xml:space="preserve"> </w:t>
      </w:r>
      <w:r w:rsidR="00330F39" w:rsidRPr="002D7644">
        <w:rPr>
          <w:b/>
          <w:bCs/>
          <w:i/>
          <w:iCs/>
          <w:lang w:val="vi-VN"/>
        </w:rPr>
        <w:t xml:space="preserve"> </w:t>
      </w:r>
      <w:r>
        <w:t>Revenue from high-tech projects must be accounted for separately and meet financial year revenue criteria for support eligibility.</w:t>
      </w:r>
    </w:p>
    <w:p w14:paraId="6044B302" w14:textId="6BE9C4A7" w:rsidR="00330F39" w:rsidRDefault="00330F39" w:rsidP="00330F39">
      <w:pPr>
        <w:pStyle w:val="Heading1"/>
        <w:ind w:left="1418" w:right="119"/>
        <w:jc w:val="both"/>
        <w:rPr>
          <w:b w:val="0"/>
          <w:bCs w:val="0"/>
          <w:lang w:val="vi-VN"/>
        </w:rPr>
      </w:pPr>
    </w:p>
    <w:p w14:paraId="5AF8C36E" w14:textId="3DBC440C" w:rsidR="00330F39" w:rsidRPr="002D7644" w:rsidRDefault="00E1519D" w:rsidP="002D7644">
      <w:pPr>
        <w:pStyle w:val="Heading1"/>
        <w:numPr>
          <w:ilvl w:val="0"/>
          <w:numId w:val="15"/>
        </w:numPr>
        <w:ind w:left="1418" w:right="119" w:hanging="425"/>
        <w:jc w:val="both"/>
        <w:rPr>
          <w:b w:val="0"/>
          <w:bCs w:val="0"/>
          <w:i/>
          <w:iCs/>
          <w:lang w:val="vi-VN"/>
        </w:rPr>
      </w:pPr>
      <w:r>
        <w:rPr>
          <w:b w:val="0"/>
          <w:bCs w:val="0"/>
          <w:i/>
          <w:iCs/>
          <w:lang w:val="vi-VN"/>
        </w:rPr>
        <w:t>F</w:t>
      </w:r>
      <w:r w:rsidRPr="00E1519D">
        <w:rPr>
          <w:b w:val="0"/>
          <w:bCs w:val="0"/>
          <w:i/>
          <w:iCs/>
          <w:lang w:val="vi-VN"/>
        </w:rPr>
        <w:t>or R&amp;D Centers:</w:t>
      </w:r>
    </w:p>
    <w:p w14:paraId="46422563" w14:textId="77777777" w:rsidR="00330F39" w:rsidRDefault="00330F39" w:rsidP="00330F39">
      <w:pPr>
        <w:pStyle w:val="Heading1"/>
        <w:ind w:left="1418" w:right="119"/>
        <w:jc w:val="both"/>
        <w:rPr>
          <w:b w:val="0"/>
          <w:bCs w:val="0"/>
          <w:lang w:val="vi-VN"/>
        </w:rPr>
      </w:pPr>
    </w:p>
    <w:p w14:paraId="12046F06" w14:textId="1F98CCB1" w:rsidR="00330F39" w:rsidRDefault="00E1519D" w:rsidP="00330F39">
      <w:pPr>
        <w:pStyle w:val="Heading1"/>
        <w:numPr>
          <w:ilvl w:val="0"/>
          <w:numId w:val="18"/>
        </w:numPr>
        <w:ind w:left="1843" w:right="119" w:hanging="425"/>
        <w:jc w:val="both"/>
        <w:rPr>
          <w:b w:val="0"/>
          <w:bCs w:val="0"/>
          <w:lang w:val="vi-VN"/>
        </w:rPr>
      </w:pPr>
      <w:r w:rsidRPr="00E1519D">
        <w:rPr>
          <w:b w:val="0"/>
          <w:bCs w:val="0"/>
          <w:lang w:val="vi-VN"/>
        </w:rPr>
        <w:t>Minimum investment capital of VND 3,000 billion, with at least VND 1,000 billion disbursed within three years</w:t>
      </w:r>
      <w:r>
        <w:rPr>
          <w:b w:val="0"/>
          <w:bCs w:val="0"/>
          <w:lang w:val="vi-VN"/>
        </w:rPr>
        <w:t>;</w:t>
      </w:r>
    </w:p>
    <w:p w14:paraId="457F536F" w14:textId="77777777" w:rsidR="004A7B1E" w:rsidRDefault="004A7B1E" w:rsidP="004A7B1E">
      <w:pPr>
        <w:pStyle w:val="Heading1"/>
        <w:ind w:left="1843" w:right="119"/>
        <w:jc w:val="both"/>
        <w:rPr>
          <w:b w:val="0"/>
          <w:bCs w:val="0"/>
          <w:lang w:val="vi-VN"/>
        </w:rPr>
      </w:pPr>
    </w:p>
    <w:p w14:paraId="1A802EC3" w14:textId="4B98E84C" w:rsidR="00330F39" w:rsidRPr="007C15B0" w:rsidRDefault="004A7B1E" w:rsidP="00330F39">
      <w:pPr>
        <w:pStyle w:val="Heading1"/>
        <w:numPr>
          <w:ilvl w:val="0"/>
          <w:numId w:val="18"/>
        </w:numPr>
        <w:ind w:left="1843" w:right="119" w:hanging="425"/>
        <w:jc w:val="both"/>
        <w:rPr>
          <w:b w:val="0"/>
          <w:bCs w:val="0"/>
          <w:lang w:val="vi-VN"/>
        </w:rPr>
      </w:pPr>
      <w:r w:rsidRPr="004A7B1E">
        <w:rPr>
          <w:b w:val="0"/>
          <w:bCs w:val="0"/>
          <w:lang w:val="vi-VN"/>
        </w:rPr>
        <w:t>Activities must fall under prioritized high-tech development sectors.</w:t>
      </w:r>
    </w:p>
    <w:p w14:paraId="66BD2785" w14:textId="77777777" w:rsidR="00455579" w:rsidRDefault="00455579" w:rsidP="00455579">
      <w:pPr>
        <w:pStyle w:val="Heading1"/>
        <w:ind w:left="993" w:right="119"/>
        <w:jc w:val="both"/>
        <w:rPr>
          <w:b w:val="0"/>
          <w:bCs w:val="0"/>
          <w:lang w:val="vi-VN"/>
        </w:rPr>
      </w:pPr>
    </w:p>
    <w:p w14:paraId="6971A9D0" w14:textId="677AE4FE" w:rsidR="00455579" w:rsidRPr="004A7B1E" w:rsidRDefault="004A7B1E" w:rsidP="00405FC4">
      <w:pPr>
        <w:pStyle w:val="Heading1"/>
        <w:numPr>
          <w:ilvl w:val="0"/>
          <w:numId w:val="13"/>
        </w:numPr>
        <w:ind w:left="993" w:right="119" w:hanging="284"/>
        <w:jc w:val="both"/>
        <w:rPr>
          <w:i/>
          <w:iCs/>
          <w:lang w:val="vi-VN"/>
        </w:rPr>
      </w:pPr>
      <w:r w:rsidRPr="004A7B1E">
        <w:rPr>
          <w:i/>
          <w:iCs/>
          <w:lang w:val="vi-VN"/>
        </w:rPr>
        <w:t xml:space="preserve">Maximum </w:t>
      </w:r>
      <w:r w:rsidR="000171E7">
        <w:rPr>
          <w:i/>
          <w:iCs/>
          <w:lang w:val="vi-VN"/>
        </w:rPr>
        <w:t>s</w:t>
      </w:r>
      <w:r w:rsidRPr="004A7B1E">
        <w:rPr>
          <w:i/>
          <w:iCs/>
          <w:lang w:val="vi-VN"/>
        </w:rPr>
        <w:t xml:space="preserve">upport </w:t>
      </w:r>
      <w:r w:rsidR="000171E7">
        <w:rPr>
          <w:i/>
          <w:iCs/>
          <w:lang w:val="vi-VN"/>
        </w:rPr>
        <w:t>l</w:t>
      </w:r>
      <w:r w:rsidRPr="004A7B1E">
        <w:rPr>
          <w:i/>
          <w:iCs/>
          <w:lang w:val="vi-VN"/>
        </w:rPr>
        <w:t>evels</w:t>
      </w:r>
    </w:p>
    <w:p w14:paraId="259A232E" w14:textId="77777777" w:rsidR="00405FC4" w:rsidRDefault="00405FC4" w:rsidP="00405FC4">
      <w:pPr>
        <w:pStyle w:val="Heading1"/>
        <w:ind w:left="993" w:right="119"/>
        <w:jc w:val="both"/>
        <w:rPr>
          <w:b w:val="0"/>
          <w:bCs w:val="0"/>
          <w:lang w:val="vi-VN"/>
        </w:rPr>
      </w:pPr>
    </w:p>
    <w:p w14:paraId="291E160F" w14:textId="77777777" w:rsidR="004A7B1E" w:rsidRPr="004A7B1E" w:rsidRDefault="004A7B1E" w:rsidP="004A7B1E">
      <w:pPr>
        <w:ind w:left="993"/>
        <w:rPr>
          <w:lang w:val="vi-VN"/>
        </w:rPr>
      </w:pPr>
      <w:r w:rsidRPr="004A7B1E">
        <w:rPr>
          <w:lang w:val="vi-VN"/>
        </w:rPr>
        <w:t>Support levels may cover up to 50% of actual costs incurred during the financial year for activities such as R&amp;D, workforce training, and product development. Enterprises in chip manufacturing, semiconductor integrated circuits, and artificial intelligence may receive up to 3% of added production value if all conditions are met.</w:t>
      </w:r>
    </w:p>
    <w:p w14:paraId="296DE258" w14:textId="57498EB9" w:rsidR="004F31D2" w:rsidRPr="00E44D1B" w:rsidRDefault="004F31D2" w:rsidP="004A7B1E">
      <w:pPr>
        <w:pStyle w:val="Heading1"/>
        <w:tabs>
          <w:tab w:val="left" w:pos="937"/>
          <w:tab w:val="left" w:pos="938"/>
        </w:tabs>
        <w:ind w:left="0" w:right="119"/>
        <w:jc w:val="both"/>
        <w:rPr>
          <w:lang w:val="vi-VN"/>
        </w:rPr>
      </w:pPr>
    </w:p>
    <w:p w14:paraId="3951EC6D" w14:textId="6ECD97F4" w:rsidR="007F45D2" w:rsidRDefault="004A7B1E" w:rsidP="00E13CCC">
      <w:pPr>
        <w:ind w:left="709"/>
        <w:jc w:val="both"/>
        <w:rPr>
          <w:lang w:val="vi-VN"/>
        </w:rPr>
      </w:pPr>
      <w:r w:rsidRPr="004A7B1E">
        <w:t>Decree 182 not only brings short-term benefits but also lays the groundwork for the sustainable development of Vietnam's economy. By investing in workforce training, innovation, and the high-tech ecosystem, Decree 182 enables Vietnamese businesses to compete effectively in international markets. Moreover, these policies facilitate deeper integration into global value chains, attract foreign direct investment (FDI) into high-tech sectors like semiconductors and AI, and ensure compliance with Global Minimum Tax rules. This is a pivotal step toward establishing Vietnam as a regional high-tech hub and a leader in the digital era.</w:t>
      </w:r>
    </w:p>
    <w:p w14:paraId="141F2131" w14:textId="77777777" w:rsidR="00E13CCC" w:rsidRDefault="00E13CCC" w:rsidP="00E13CCC">
      <w:pPr>
        <w:ind w:left="709"/>
        <w:jc w:val="both"/>
        <w:rPr>
          <w:lang w:val="vi-VN"/>
        </w:rPr>
      </w:pPr>
    </w:p>
    <w:p w14:paraId="50E967CF" w14:textId="18D6A8A6" w:rsidR="00E13CCC" w:rsidRPr="00E13CCC" w:rsidRDefault="004A7B1E" w:rsidP="00E13CCC">
      <w:pPr>
        <w:ind w:left="709"/>
        <w:jc w:val="both"/>
        <w:rPr>
          <w:b/>
          <w:bCs/>
          <w:lang w:val="vi-VN"/>
        </w:rPr>
      </w:pPr>
      <w:r w:rsidRPr="004A7B1E">
        <w:rPr>
          <w:b/>
          <w:bCs/>
          <w:lang w:val="vi-VN"/>
        </w:rPr>
        <w:t>Decree 182/2024/ND-CP takes effect from the date of signing (December 31, 2024).</w:t>
      </w:r>
    </w:p>
    <w:p w14:paraId="4A254CA2" w14:textId="77777777" w:rsidR="004A249E" w:rsidRPr="00E44D1B" w:rsidRDefault="004A249E" w:rsidP="004A249E">
      <w:pPr>
        <w:pStyle w:val="ListParagraph"/>
        <w:tabs>
          <w:tab w:val="left" w:pos="937"/>
          <w:tab w:val="left" w:pos="938"/>
        </w:tabs>
        <w:ind w:left="938" w:firstLine="0"/>
        <w:jc w:val="right"/>
        <w:rPr>
          <w:b/>
          <w:lang w:val="vi-VN"/>
        </w:rPr>
      </w:pPr>
    </w:p>
    <w:p w14:paraId="1F34F00E" w14:textId="4C198190" w:rsidR="00485935" w:rsidRPr="00E44D1B" w:rsidRDefault="004A7B1E" w:rsidP="003F03F7">
      <w:pPr>
        <w:pStyle w:val="Heading1"/>
        <w:numPr>
          <w:ilvl w:val="0"/>
          <w:numId w:val="1"/>
        </w:numPr>
        <w:tabs>
          <w:tab w:val="left" w:pos="851"/>
        </w:tabs>
        <w:ind w:left="709" w:right="119" w:hanging="411"/>
        <w:jc w:val="left"/>
        <w:rPr>
          <w:bCs w:val="0"/>
          <w:lang w:val="vi-VN"/>
        </w:rPr>
      </w:pPr>
      <w:r>
        <w:t>Official Legal Framework for Data Management</w:t>
      </w:r>
    </w:p>
    <w:p w14:paraId="75BDF162" w14:textId="77777777" w:rsidR="001766F7" w:rsidRPr="00E44D1B" w:rsidRDefault="001766F7" w:rsidP="001766F7">
      <w:pPr>
        <w:pStyle w:val="Heading1"/>
        <w:tabs>
          <w:tab w:val="left" w:pos="851"/>
        </w:tabs>
        <w:ind w:left="709" w:right="119"/>
        <w:rPr>
          <w:bCs w:val="0"/>
          <w:lang w:val="vi-VN"/>
        </w:rPr>
      </w:pPr>
    </w:p>
    <w:p w14:paraId="012F306B" w14:textId="0C75A5F0" w:rsidR="005C35F4" w:rsidRPr="00E44D1B" w:rsidRDefault="004A7B1E" w:rsidP="001766F7">
      <w:pPr>
        <w:pStyle w:val="Heading1"/>
        <w:tabs>
          <w:tab w:val="left" w:pos="851"/>
        </w:tabs>
        <w:ind w:left="709" w:right="119"/>
        <w:rPr>
          <w:b w:val="0"/>
          <w:lang w:val="vi-VN"/>
        </w:rPr>
      </w:pPr>
      <w:r w:rsidRPr="004A7B1E">
        <w:rPr>
          <w:b w:val="0"/>
          <w:lang w:val="vi-VN"/>
        </w:rPr>
        <w:t>At its 8th Session on November 30, 2024, the National Assembly approved the 2024 Data Law (“</w:t>
      </w:r>
      <w:r w:rsidRPr="004A7B1E">
        <w:rPr>
          <w:bCs w:val="0"/>
          <w:lang w:val="vi-VN"/>
        </w:rPr>
        <w:t>Data Law</w:t>
      </w:r>
      <w:r w:rsidRPr="004A7B1E">
        <w:rPr>
          <w:b w:val="0"/>
          <w:lang w:val="vi-VN"/>
        </w:rPr>
        <w:t>”).</w:t>
      </w:r>
      <w:r w:rsidR="005C35F4" w:rsidRPr="00E44D1B">
        <w:rPr>
          <w:b w:val="0"/>
          <w:lang w:val="vi-VN"/>
        </w:rPr>
        <w:t xml:space="preserve"> </w:t>
      </w:r>
    </w:p>
    <w:p w14:paraId="0A6EF197" w14:textId="11C7B42D" w:rsidR="001766F7" w:rsidRPr="00770572" w:rsidRDefault="00B556D2" w:rsidP="00B556D2">
      <w:pPr>
        <w:pStyle w:val="Heading1"/>
        <w:tabs>
          <w:tab w:val="left" w:pos="851"/>
        </w:tabs>
        <w:ind w:left="709" w:right="119"/>
        <w:jc w:val="both"/>
        <w:rPr>
          <w:b w:val="0"/>
          <w:lang w:val="vi-VN"/>
        </w:rPr>
      </w:pPr>
      <w:r w:rsidRPr="00B556D2">
        <w:rPr>
          <w:b w:val="0"/>
        </w:rPr>
        <w:br/>
      </w:r>
      <w:r w:rsidR="004A7B1E" w:rsidRPr="004A7B1E">
        <w:rPr>
          <w:b w:val="0"/>
        </w:rPr>
        <w:t>The Data Law, consisting of five chapters and 46 articles, emphasizes the establishment of a National Integrated Database as a "shared resource" for ministries, sectors, and localities. Data will be collected, updated, and synchronized to enhance the efficiency of public online services and support the development of digital technology platforms.</w:t>
      </w:r>
    </w:p>
    <w:p w14:paraId="6F85E739" w14:textId="77777777" w:rsidR="00AD63C4" w:rsidRPr="00770572" w:rsidRDefault="00AD63C4" w:rsidP="00B556D2">
      <w:pPr>
        <w:pStyle w:val="Heading1"/>
        <w:tabs>
          <w:tab w:val="left" w:pos="851"/>
        </w:tabs>
        <w:ind w:left="709" w:right="119"/>
        <w:jc w:val="both"/>
        <w:rPr>
          <w:b w:val="0"/>
          <w:lang w:val="vi-VN"/>
        </w:rPr>
      </w:pPr>
    </w:p>
    <w:p w14:paraId="68014AD7" w14:textId="3BA54578" w:rsidR="00AD63C4" w:rsidRPr="00460336" w:rsidRDefault="00AD63C4" w:rsidP="00AC7E4C">
      <w:pPr>
        <w:pStyle w:val="Heading1"/>
        <w:numPr>
          <w:ilvl w:val="1"/>
          <w:numId w:val="4"/>
        </w:numPr>
        <w:ind w:left="993" w:right="119" w:hanging="284"/>
        <w:jc w:val="both"/>
        <w:rPr>
          <w:b w:val="0"/>
          <w:i/>
          <w:iCs/>
          <w:lang w:val="vi-VN"/>
        </w:rPr>
      </w:pPr>
      <w:r w:rsidRPr="00460336">
        <w:rPr>
          <w:b w:val="0"/>
          <w:i/>
          <w:iCs/>
          <w:lang w:val="vi-VN"/>
        </w:rPr>
        <w:t xml:space="preserve"> </w:t>
      </w:r>
      <w:r w:rsidR="004A7B1E" w:rsidRPr="004A7B1E">
        <w:rPr>
          <w:bCs w:val="0"/>
          <w:i/>
          <w:iCs/>
          <w:lang w:val="vi-VN"/>
        </w:rPr>
        <w:t>Scope of Regulation</w:t>
      </w:r>
    </w:p>
    <w:p w14:paraId="08066D00" w14:textId="77777777" w:rsidR="00B556D2" w:rsidRPr="004A7152" w:rsidRDefault="00B556D2" w:rsidP="00B556D2">
      <w:pPr>
        <w:pStyle w:val="Heading1"/>
        <w:tabs>
          <w:tab w:val="left" w:pos="851"/>
        </w:tabs>
        <w:ind w:left="709" w:right="119"/>
        <w:jc w:val="both"/>
        <w:rPr>
          <w:b w:val="0"/>
          <w:lang w:val="vi-VN"/>
        </w:rPr>
      </w:pPr>
    </w:p>
    <w:p w14:paraId="70A24EE2" w14:textId="131B9E22" w:rsidR="000A3DCD" w:rsidRPr="000A3DCD" w:rsidRDefault="004A7B1E" w:rsidP="00460336">
      <w:pPr>
        <w:pStyle w:val="Heading1"/>
        <w:ind w:left="993" w:right="119"/>
        <w:jc w:val="both"/>
        <w:rPr>
          <w:b w:val="0"/>
          <w:lang w:val="vi-VN"/>
        </w:rPr>
      </w:pPr>
      <w:r w:rsidRPr="004A7B1E">
        <w:rPr>
          <w:b w:val="0"/>
          <w:lang w:val="vi-VN"/>
        </w:rPr>
        <w:t>The Data Law regulates the entire lifecycle of data, including collection, storage, sharing, analysis, encryption, cross-border transfer, and provision to state agencies. Notably, the law expands its scope to cover data-related products and services for the first time, such as:</w:t>
      </w:r>
      <w:r w:rsidR="00460336" w:rsidRPr="00460336">
        <w:rPr>
          <w:b w:val="0"/>
          <w:lang w:val="vi-VN"/>
        </w:rPr>
        <w:t xml:space="preserve"> </w:t>
      </w:r>
      <w:r>
        <w:rPr>
          <w:b w:val="0"/>
          <w:lang w:val="vi-VN"/>
        </w:rPr>
        <w:t xml:space="preserve">(i) </w:t>
      </w:r>
      <w:r w:rsidRPr="004A7B1E">
        <w:rPr>
          <w:b w:val="0"/>
          <w:lang w:val="vi-VN"/>
        </w:rPr>
        <w:t>Data Intermediary Products and Services (facilitating data exchange agreements);</w:t>
      </w:r>
      <w:r>
        <w:rPr>
          <w:b w:val="0"/>
          <w:lang w:val="vi-VN"/>
        </w:rPr>
        <w:t xml:space="preserve"> (ii) </w:t>
      </w:r>
      <w:r w:rsidRPr="004A7B1E">
        <w:rPr>
          <w:b w:val="0"/>
          <w:lang w:val="vi-VN"/>
        </w:rPr>
        <w:t xml:space="preserve">Data Analysis </w:t>
      </w:r>
      <w:r w:rsidRPr="004A7B1E">
        <w:rPr>
          <w:b w:val="0"/>
          <w:lang w:val="vi-VN"/>
        </w:rPr>
        <w:lastRenderedPageBreak/>
        <w:t>and Aggregation Products and Services (providing in-depth information);</w:t>
      </w:r>
      <w:r>
        <w:rPr>
          <w:b w:val="0"/>
          <w:lang w:val="vi-VN"/>
        </w:rPr>
        <w:t xml:space="preserve"> and</w:t>
      </w:r>
      <w:r w:rsidR="00460336" w:rsidRPr="00460336">
        <w:rPr>
          <w:b w:val="0"/>
          <w:lang w:val="vi-VN"/>
        </w:rPr>
        <w:t xml:space="preserve"> </w:t>
      </w:r>
      <w:r w:rsidRPr="004A7B1E">
        <w:rPr>
          <w:b w:val="0"/>
          <w:lang w:val="vi-VN"/>
        </w:rPr>
        <w:t>Data Platforms (supporting research, innovation, and data transactions).</w:t>
      </w:r>
    </w:p>
    <w:p w14:paraId="6799427A" w14:textId="77777777" w:rsidR="000A3DCD" w:rsidRPr="00BC4B0F" w:rsidRDefault="000A3DCD" w:rsidP="001766F7">
      <w:pPr>
        <w:pStyle w:val="Heading1"/>
        <w:tabs>
          <w:tab w:val="left" w:pos="851"/>
        </w:tabs>
        <w:ind w:left="709" w:right="119"/>
        <w:rPr>
          <w:b w:val="0"/>
          <w:i/>
          <w:iCs/>
          <w:lang w:val="vi-VN"/>
        </w:rPr>
      </w:pPr>
    </w:p>
    <w:p w14:paraId="37CA53CC" w14:textId="11E6078F" w:rsidR="004F0E89" w:rsidRPr="00BC4B0F" w:rsidRDefault="004A7B1E" w:rsidP="00AC7E4C">
      <w:pPr>
        <w:pStyle w:val="Heading1"/>
        <w:numPr>
          <w:ilvl w:val="1"/>
          <w:numId w:val="4"/>
        </w:numPr>
        <w:ind w:left="993" w:right="119" w:hanging="284"/>
        <w:jc w:val="both"/>
        <w:rPr>
          <w:b w:val="0"/>
          <w:i/>
          <w:iCs/>
          <w:lang w:val="vi-VN"/>
        </w:rPr>
      </w:pPr>
      <w:r>
        <w:rPr>
          <w:bCs w:val="0"/>
          <w:i/>
          <w:iCs/>
          <w:lang w:val="vi-VN"/>
        </w:rPr>
        <w:t>Scope of entities</w:t>
      </w:r>
    </w:p>
    <w:p w14:paraId="596A4982" w14:textId="77777777" w:rsidR="004F0E89" w:rsidRDefault="004F0E89" w:rsidP="004F0E89">
      <w:pPr>
        <w:pStyle w:val="Heading1"/>
        <w:ind w:left="993" w:right="119"/>
        <w:jc w:val="both"/>
        <w:rPr>
          <w:bCs w:val="0"/>
          <w:lang w:val="vi-VN"/>
        </w:rPr>
      </w:pPr>
    </w:p>
    <w:p w14:paraId="69BE2210" w14:textId="066F5CC2" w:rsidR="004F0E89" w:rsidRDefault="004A7B1E" w:rsidP="004F0E89">
      <w:pPr>
        <w:pStyle w:val="Heading1"/>
        <w:ind w:left="993" w:right="119"/>
        <w:jc w:val="both"/>
        <w:rPr>
          <w:b w:val="0"/>
          <w:lang w:val="vi-VN"/>
        </w:rPr>
      </w:pPr>
      <w:r w:rsidRPr="004A7B1E">
        <w:rPr>
          <w:b w:val="0"/>
          <w:lang w:val="vi-VN"/>
        </w:rPr>
        <w:t xml:space="preserve">The law applies to Vietnamese individuals, organizations, and agencies, as well as foreign entities engaged in digital data activities related to Vietnam. For the first time, it recognizes the "rights of data owners over their data" as a form of property rights under civil law, granting data owners (individuals or organizations with decision-making authority over data they own) full control and exchange rights over their data. The law also introduces the role of “data </w:t>
      </w:r>
      <w:r w:rsidR="00FD2A02">
        <w:rPr>
          <w:b w:val="0"/>
          <w:lang w:val="vi-VN"/>
        </w:rPr>
        <w:t>manager</w:t>
      </w:r>
      <w:r w:rsidRPr="004A7B1E">
        <w:rPr>
          <w:b w:val="0"/>
          <w:lang w:val="vi-VN"/>
        </w:rPr>
        <w:t xml:space="preserve">,” who manage and operate data on behalf of data owners, and sets forth obligations for data owners, </w:t>
      </w:r>
      <w:r w:rsidR="00FD2A02">
        <w:rPr>
          <w:b w:val="0"/>
          <w:lang w:val="vi-VN"/>
        </w:rPr>
        <w:t>managers</w:t>
      </w:r>
      <w:r w:rsidRPr="004A7B1E">
        <w:rPr>
          <w:b w:val="0"/>
          <w:lang w:val="vi-VN"/>
        </w:rPr>
        <w:t>, and providers of data-related products and services.</w:t>
      </w:r>
    </w:p>
    <w:p w14:paraId="415C35E4" w14:textId="77777777" w:rsidR="004F0E89" w:rsidRPr="004F0E89" w:rsidRDefault="004F0E89" w:rsidP="004F0E89">
      <w:pPr>
        <w:pStyle w:val="Heading1"/>
        <w:ind w:left="993" w:right="119"/>
        <w:jc w:val="both"/>
        <w:rPr>
          <w:b w:val="0"/>
          <w:lang w:val="vi-VN"/>
        </w:rPr>
      </w:pPr>
    </w:p>
    <w:p w14:paraId="072358A2" w14:textId="6C65EDD1" w:rsidR="004F0E89" w:rsidRPr="008E6958" w:rsidRDefault="004A7B1E" w:rsidP="00AC7E4C">
      <w:pPr>
        <w:pStyle w:val="Heading1"/>
        <w:numPr>
          <w:ilvl w:val="1"/>
          <w:numId w:val="4"/>
        </w:numPr>
        <w:ind w:left="993" w:right="119" w:hanging="284"/>
        <w:jc w:val="both"/>
        <w:rPr>
          <w:bCs w:val="0"/>
          <w:i/>
          <w:iCs/>
          <w:lang w:val="vi-VN"/>
        </w:rPr>
      </w:pPr>
      <w:r w:rsidRPr="004A7B1E">
        <w:rPr>
          <w:bCs w:val="0"/>
          <w:i/>
          <w:iCs/>
          <w:lang w:val="vi-VN"/>
        </w:rPr>
        <w:t>Key Provisions</w:t>
      </w:r>
    </w:p>
    <w:p w14:paraId="5CAA1D15" w14:textId="77777777" w:rsidR="00BC4B0F" w:rsidRDefault="00BC4B0F" w:rsidP="00BC4B0F">
      <w:pPr>
        <w:pStyle w:val="Heading1"/>
        <w:ind w:left="993" w:right="119"/>
        <w:jc w:val="both"/>
        <w:rPr>
          <w:b w:val="0"/>
          <w:lang w:val="vi-VN"/>
        </w:rPr>
      </w:pPr>
    </w:p>
    <w:p w14:paraId="4E20C4DD" w14:textId="3FA9ED5F" w:rsidR="00BC4B0F" w:rsidRPr="008E6958" w:rsidRDefault="004A7B1E" w:rsidP="00BC4B0F">
      <w:pPr>
        <w:pStyle w:val="Heading1"/>
        <w:numPr>
          <w:ilvl w:val="0"/>
          <w:numId w:val="22"/>
        </w:numPr>
        <w:ind w:left="1276" w:right="119"/>
        <w:jc w:val="both"/>
        <w:rPr>
          <w:b w:val="0"/>
          <w:i/>
          <w:iCs/>
          <w:lang w:val="vi-VN"/>
        </w:rPr>
      </w:pPr>
      <w:r w:rsidRPr="004A7B1E">
        <w:rPr>
          <w:b w:val="0"/>
          <w:i/>
          <w:iCs/>
          <w:lang w:val="vi-VN"/>
        </w:rPr>
        <w:t xml:space="preserve">Provision of </w:t>
      </w:r>
      <w:r w:rsidR="000171E7">
        <w:rPr>
          <w:b w:val="0"/>
          <w:i/>
          <w:iCs/>
          <w:lang w:val="vi-VN"/>
        </w:rPr>
        <w:t>d</w:t>
      </w:r>
      <w:r w:rsidRPr="004A7B1E">
        <w:rPr>
          <w:b w:val="0"/>
          <w:i/>
          <w:iCs/>
          <w:lang w:val="vi-VN"/>
        </w:rPr>
        <w:t xml:space="preserve">ata to </w:t>
      </w:r>
      <w:r w:rsidR="000171E7">
        <w:rPr>
          <w:b w:val="0"/>
          <w:i/>
          <w:iCs/>
          <w:lang w:val="vi-VN"/>
        </w:rPr>
        <w:t>s</w:t>
      </w:r>
      <w:r w:rsidRPr="004A7B1E">
        <w:rPr>
          <w:b w:val="0"/>
          <w:i/>
          <w:iCs/>
          <w:lang w:val="vi-VN"/>
        </w:rPr>
        <w:t xml:space="preserve">tate </w:t>
      </w:r>
      <w:r w:rsidR="000171E7">
        <w:rPr>
          <w:b w:val="0"/>
          <w:i/>
          <w:iCs/>
          <w:lang w:val="vi-VN"/>
        </w:rPr>
        <w:t>a</w:t>
      </w:r>
      <w:r w:rsidRPr="004A7B1E">
        <w:rPr>
          <w:b w:val="0"/>
          <w:i/>
          <w:iCs/>
          <w:lang w:val="vi-VN"/>
        </w:rPr>
        <w:t>gencies:</w:t>
      </w:r>
    </w:p>
    <w:p w14:paraId="03EBE4F4" w14:textId="77777777" w:rsidR="008E6958" w:rsidRDefault="008E6958" w:rsidP="008E6958">
      <w:pPr>
        <w:pStyle w:val="Heading1"/>
        <w:ind w:left="1276" w:right="119"/>
        <w:jc w:val="both"/>
        <w:rPr>
          <w:b w:val="0"/>
          <w:lang w:val="vi-VN"/>
        </w:rPr>
      </w:pPr>
    </w:p>
    <w:p w14:paraId="23FAC42D" w14:textId="1E1CA1C6" w:rsidR="008E6958" w:rsidRDefault="000171E7" w:rsidP="008E6958">
      <w:pPr>
        <w:pStyle w:val="Heading1"/>
        <w:ind w:left="1276" w:right="119"/>
        <w:jc w:val="both"/>
        <w:rPr>
          <w:b w:val="0"/>
          <w:lang w:val="vi-VN"/>
        </w:rPr>
      </w:pPr>
      <w:r w:rsidRPr="000171E7">
        <w:rPr>
          <w:b w:val="0"/>
          <w:lang w:val="vi-VN"/>
        </w:rPr>
        <w:t>Organizations and individuals, both domestic and foreign, are encouraged to provide data under their ownership to state agencies. In certain cases, the provision of data to state agencies is mandatory without requiring the data subject’s consent, provided that the data is used properly, securely, and deleted when no longer necessary</w:t>
      </w:r>
      <w:r>
        <w:rPr>
          <w:b w:val="0"/>
          <w:lang w:val="vi-VN"/>
        </w:rPr>
        <w:t>, including:</w:t>
      </w:r>
    </w:p>
    <w:p w14:paraId="00FBBBAA" w14:textId="77777777" w:rsidR="008E6958" w:rsidRDefault="008E6958" w:rsidP="008E6958">
      <w:pPr>
        <w:pStyle w:val="Heading1"/>
        <w:ind w:left="1276" w:right="119"/>
        <w:jc w:val="both"/>
        <w:rPr>
          <w:b w:val="0"/>
          <w:lang w:val="vi-VN"/>
        </w:rPr>
      </w:pPr>
    </w:p>
    <w:p w14:paraId="01214409" w14:textId="65D3B106" w:rsidR="000171E7" w:rsidRDefault="000171E7" w:rsidP="000171E7">
      <w:pPr>
        <w:pStyle w:val="Heading1"/>
        <w:numPr>
          <w:ilvl w:val="0"/>
          <w:numId w:val="23"/>
        </w:numPr>
        <w:ind w:left="1701" w:right="119"/>
        <w:jc w:val="both"/>
        <w:rPr>
          <w:b w:val="0"/>
          <w:lang w:val="vi-VN"/>
        </w:rPr>
      </w:pPr>
      <w:r w:rsidRPr="000171E7">
        <w:rPr>
          <w:b w:val="0"/>
          <w:lang w:val="vi-VN"/>
        </w:rPr>
        <w:t>Responding to emergencies</w:t>
      </w:r>
      <w:r>
        <w:rPr>
          <w:b w:val="0"/>
          <w:lang w:val="vi-VN"/>
        </w:rPr>
        <w:t>;</w:t>
      </w:r>
    </w:p>
    <w:p w14:paraId="5526BE42" w14:textId="77777777" w:rsidR="002925A4" w:rsidRPr="000171E7" w:rsidRDefault="002925A4" w:rsidP="002925A4">
      <w:pPr>
        <w:pStyle w:val="Heading1"/>
        <w:ind w:left="1701" w:right="119"/>
        <w:jc w:val="both"/>
        <w:rPr>
          <w:b w:val="0"/>
          <w:lang w:val="vi-VN"/>
        </w:rPr>
      </w:pPr>
    </w:p>
    <w:p w14:paraId="391612EC" w14:textId="20EC0B69" w:rsidR="008E6958" w:rsidRDefault="000171E7" w:rsidP="008E6958">
      <w:pPr>
        <w:pStyle w:val="Heading1"/>
        <w:numPr>
          <w:ilvl w:val="0"/>
          <w:numId w:val="23"/>
        </w:numPr>
        <w:ind w:left="1701" w:right="119"/>
        <w:jc w:val="both"/>
        <w:rPr>
          <w:b w:val="0"/>
          <w:lang w:val="vi-VN"/>
        </w:rPr>
      </w:pPr>
      <w:r w:rsidRPr="000171E7">
        <w:rPr>
          <w:b w:val="0"/>
          <w:lang w:val="vi-VN"/>
        </w:rPr>
        <w:t>Addressing threats to national security that do not yet warrant declaring a state of emergency;</w:t>
      </w:r>
    </w:p>
    <w:p w14:paraId="1167D810" w14:textId="77777777" w:rsidR="002925A4" w:rsidRDefault="002925A4" w:rsidP="002925A4">
      <w:pPr>
        <w:pStyle w:val="Heading1"/>
        <w:ind w:left="1701" w:right="119"/>
        <w:jc w:val="both"/>
        <w:rPr>
          <w:b w:val="0"/>
          <w:lang w:val="vi-VN"/>
        </w:rPr>
      </w:pPr>
    </w:p>
    <w:p w14:paraId="1860CBDA" w14:textId="0AAD813F" w:rsidR="008E6958" w:rsidRDefault="000171E7" w:rsidP="008E6958">
      <w:pPr>
        <w:pStyle w:val="Heading1"/>
        <w:numPr>
          <w:ilvl w:val="0"/>
          <w:numId w:val="23"/>
        </w:numPr>
        <w:ind w:left="1701" w:right="119"/>
        <w:jc w:val="both"/>
        <w:rPr>
          <w:b w:val="0"/>
          <w:lang w:val="vi-VN"/>
        </w:rPr>
      </w:pPr>
      <w:r w:rsidRPr="000171E7">
        <w:rPr>
          <w:b w:val="0"/>
          <w:lang w:val="vi-VN"/>
        </w:rPr>
        <w:t>Disasters;</w:t>
      </w:r>
    </w:p>
    <w:p w14:paraId="2D6281ED" w14:textId="77777777" w:rsidR="002925A4" w:rsidRDefault="002925A4" w:rsidP="002925A4">
      <w:pPr>
        <w:pStyle w:val="Heading1"/>
        <w:ind w:left="1701" w:right="119"/>
        <w:jc w:val="both"/>
        <w:rPr>
          <w:b w:val="0"/>
          <w:lang w:val="vi-VN"/>
        </w:rPr>
      </w:pPr>
    </w:p>
    <w:p w14:paraId="12243489" w14:textId="4AEC0520" w:rsidR="008E6958" w:rsidRDefault="000171E7" w:rsidP="008E6958">
      <w:pPr>
        <w:pStyle w:val="Heading1"/>
        <w:numPr>
          <w:ilvl w:val="0"/>
          <w:numId w:val="23"/>
        </w:numPr>
        <w:ind w:left="1701" w:right="119"/>
        <w:jc w:val="both"/>
        <w:rPr>
          <w:b w:val="0"/>
          <w:lang w:val="vi-VN"/>
        </w:rPr>
      </w:pPr>
      <w:r w:rsidRPr="000171E7">
        <w:rPr>
          <w:b w:val="0"/>
          <w:lang w:val="vi-VN"/>
        </w:rPr>
        <w:t>Preventing and combating riots or terrorism.</w:t>
      </w:r>
    </w:p>
    <w:p w14:paraId="55BC9BE2" w14:textId="77777777" w:rsidR="008E6958" w:rsidRDefault="008E6958" w:rsidP="008E6958">
      <w:pPr>
        <w:pStyle w:val="Heading1"/>
        <w:ind w:left="1276" w:right="119"/>
        <w:jc w:val="both"/>
        <w:rPr>
          <w:b w:val="0"/>
          <w:lang w:val="vi-VN"/>
        </w:rPr>
      </w:pPr>
    </w:p>
    <w:p w14:paraId="5F6E97CB" w14:textId="2E72B8B1" w:rsidR="00BC4B0F" w:rsidRPr="008E6958" w:rsidRDefault="000171E7" w:rsidP="00BC4B0F">
      <w:pPr>
        <w:pStyle w:val="Heading1"/>
        <w:numPr>
          <w:ilvl w:val="0"/>
          <w:numId w:val="22"/>
        </w:numPr>
        <w:ind w:left="1276" w:right="119"/>
        <w:jc w:val="both"/>
        <w:rPr>
          <w:b w:val="0"/>
          <w:i/>
          <w:iCs/>
          <w:lang w:val="vi-VN"/>
        </w:rPr>
      </w:pPr>
      <w:r w:rsidRPr="000171E7">
        <w:rPr>
          <w:b w:val="0"/>
          <w:i/>
          <w:iCs/>
          <w:lang w:val="vi-VN"/>
        </w:rPr>
        <w:t>Cross-</w:t>
      </w:r>
      <w:r>
        <w:rPr>
          <w:b w:val="0"/>
          <w:i/>
          <w:iCs/>
          <w:lang w:val="vi-VN"/>
        </w:rPr>
        <w:t>b</w:t>
      </w:r>
      <w:r w:rsidRPr="000171E7">
        <w:rPr>
          <w:b w:val="0"/>
          <w:i/>
          <w:iCs/>
          <w:lang w:val="vi-VN"/>
        </w:rPr>
        <w:t xml:space="preserve">order </w:t>
      </w:r>
      <w:r>
        <w:rPr>
          <w:b w:val="0"/>
          <w:i/>
          <w:iCs/>
          <w:lang w:val="vi-VN"/>
        </w:rPr>
        <w:t>d</w:t>
      </w:r>
      <w:r w:rsidRPr="000171E7">
        <w:rPr>
          <w:b w:val="0"/>
          <w:i/>
          <w:iCs/>
          <w:lang w:val="vi-VN"/>
        </w:rPr>
        <w:t xml:space="preserve">ata </w:t>
      </w:r>
      <w:r>
        <w:rPr>
          <w:b w:val="0"/>
          <w:i/>
          <w:iCs/>
          <w:lang w:val="vi-VN"/>
        </w:rPr>
        <w:t>t</w:t>
      </w:r>
      <w:r w:rsidRPr="000171E7">
        <w:rPr>
          <w:b w:val="0"/>
          <w:i/>
          <w:iCs/>
          <w:lang w:val="vi-VN"/>
        </w:rPr>
        <w:t>ransfer:</w:t>
      </w:r>
    </w:p>
    <w:p w14:paraId="1B447148" w14:textId="77777777" w:rsidR="008E6958" w:rsidRDefault="008E6958" w:rsidP="008E6958">
      <w:pPr>
        <w:pStyle w:val="Heading1"/>
        <w:ind w:left="1276" w:right="119"/>
        <w:jc w:val="both"/>
        <w:rPr>
          <w:b w:val="0"/>
          <w:lang w:val="vi-VN"/>
        </w:rPr>
      </w:pPr>
    </w:p>
    <w:p w14:paraId="318176B4" w14:textId="6A4AE0E3" w:rsidR="008E6958" w:rsidRDefault="000171E7" w:rsidP="008E6958">
      <w:pPr>
        <w:pStyle w:val="Heading1"/>
        <w:ind w:left="1276" w:right="119"/>
        <w:jc w:val="both"/>
        <w:rPr>
          <w:b w:val="0"/>
          <w:lang w:val="vi-VN"/>
        </w:rPr>
      </w:pPr>
      <w:r w:rsidRPr="000171E7">
        <w:rPr>
          <w:b w:val="0"/>
          <w:lang w:val="vi-VN"/>
        </w:rPr>
        <w:t>In principle, cross-border transfer and processing of data are permitted. However, the transfer of core or critical data abroad must comply with regulations ensuring security, public interest, and data rights.</w:t>
      </w:r>
    </w:p>
    <w:p w14:paraId="63E6A034" w14:textId="77777777" w:rsidR="008E6958" w:rsidRDefault="008E6958" w:rsidP="00FD01BF">
      <w:pPr>
        <w:pStyle w:val="Heading1"/>
        <w:ind w:right="119"/>
        <w:jc w:val="both"/>
        <w:rPr>
          <w:b w:val="0"/>
          <w:lang w:val="vi-VN"/>
        </w:rPr>
      </w:pPr>
    </w:p>
    <w:p w14:paraId="4E8D7097" w14:textId="7D396B26" w:rsidR="008E6958" w:rsidRPr="00FD01BF" w:rsidRDefault="002925A4" w:rsidP="00BC4B0F">
      <w:pPr>
        <w:pStyle w:val="Heading1"/>
        <w:numPr>
          <w:ilvl w:val="0"/>
          <w:numId w:val="22"/>
        </w:numPr>
        <w:ind w:left="1276" w:right="119"/>
        <w:jc w:val="both"/>
        <w:rPr>
          <w:b w:val="0"/>
          <w:i/>
          <w:iCs/>
          <w:lang w:val="vi-VN"/>
        </w:rPr>
      </w:pPr>
      <w:r w:rsidRPr="002925A4">
        <w:rPr>
          <w:b w:val="0"/>
          <w:i/>
          <w:iCs/>
          <w:lang w:val="vi-VN"/>
        </w:rPr>
        <w:t xml:space="preserve">Risk </w:t>
      </w:r>
      <w:r>
        <w:rPr>
          <w:b w:val="0"/>
          <w:i/>
          <w:iCs/>
          <w:lang w:val="vi-VN"/>
        </w:rPr>
        <w:t>m</w:t>
      </w:r>
      <w:r w:rsidRPr="002925A4">
        <w:rPr>
          <w:b w:val="0"/>
          <w:i/>
          <w:iCs/>
          <w:lang w:val="vi-VN"/>
        </w:rPr>
        <w:t xml:space="preserve">anagement in </w:t>
      </w:r>
      <w:r>
        <w:rPr>
          <w:b w:val="0"/>
          <w:i/>
          <w:iCs/>
          <w:lang w:val="vi-VN"/>
        </w:rPr>
        <w:t>d</w:t>
      </w:r>
      <w:r w:rsidRPr="002925A4">
        <w:rPr>
          <w:b w:val="0"/>
          <w:i/>
          <w:iCs/>
          <w:lang w:val="vi-VN"/>
        </w:rPr>
        <w:t xml:space="preserve">ata </w:t>
      </w:r>
      <w:r>
        <w:rPr>
          <w:b w:val="0"/>
          <w:i/>
          <w:iCs/>
          <w:lang w:val="vi-VN"/>
        </w:rPr>
        <w:t>p</w:t>
      </w:r>
      <w:r w:rsidRPr="002925A4">
        <w:rPr>
          <w:b w:val="0"/>
          <w:i/>
          <w:iCs/>
          <w:lang w:val="vi-VN"/>
        </w:rPr>
        <w:t>rocessing:</w:t>
      </w:r>
    </w:p>
    <w:p w14:paraId="5692CC4B" w14:textId="77777777" w:rsidR="00FD01BF" w:rsidRPr="00FD01BF" w:rsidRDefault="00FD01BF" w:rsidP="00FD01BF">
      <w:pPr>
        <w:pStyle w:val="Heading1"/>
        <w:ind w:left="1276" w:right="119"/>
        <w:jc w:val="both"/>
        <w:rPr>
          <w:b w:val="0"/>
          <w:i/>
          <w:iCs/>
          <w:lang w:val="vi-VN"/>
        </w:rPr>
      </w:pPr>
    </w:p>
    <w:p w14:paraId="17547F6C" w14:textId="73CA7887" w:rsidR="00FD01BF" w:rsidRDefault="000171E7" w:rsidP="00FD01BF">
      <w:pPr>
        <w:pStyle w:val="Heading1"/>
        <w:ind w:left="1276" w:right="119"/>
        <w:jc w:val="both"/>
        <w:rPr>
          <w:b w:val="0"/>
          <w:lang w:val="vi-VN"/>
        </w:rPr>
      </w:pPr>
      <w:r w:rsidRPr="000171E7">
        <w:rPr>
          <w:b w:val="0"/>
          <w:lang w:val="vi-VN"/>
        </w:rPr>
        <w:t>State agencies are responsible for establishing early warning mechanisms and developing measures to protect data. Data controllers must self-assess, identify, and mitigate risks while promptly notifying relevant parties. For core and critical data, data controllers are required to periodically evaluate risks and notify specialized authorities under the Ministry of Public Security, Ministry of National Defense, and other relevant entities to ensure data safety and security.</w:t>
      </w:r>
    </w:p>
    <w:p w14:paraId="1122D80C" w14:textId="77777777" w:rsidR="00FD01BF" w:rsidRDefault="00FD01BF" w:rsidP="00FD01BF">
      <w:pPr>
        <w:pStyle w:val="Heading1"/>
        <w:ind w:left="1276" w:right="119"/>
        <w:jc w:val="both"/>
        <w:rPr>
          <w:b w:val="0"/>
          <w:lang w:val="vi-VN"/>
        </w:rPr>
      </w:pPr>
    </w:p>
    <w:p w14:paraId="0E86692E" w14:textId="7333FFFB" w:rsidR="00FD01BF" w:rsidRPr="00F94243" w:rsidRDefault="000171E7" w:rsidP="00BC4B0F">
      <w:pPr>
        <w:pStyle w:val="Heading1"/>
        <w:numPr>
          <w:ilvl w:val="0"/>
          <w:numId w:val="22"/>
        </w:numPr>
        <w:ind w:left="1276" w:right="119"/>
        <w:jc w:val="both"/>
        <w:rPr>
          <w:b w:val="0"/>
          <w:i/>
          <w:iCs/>
          <w:lang w:val="vi-VN"/>
        </w:rPr>
      </w:pPr>
      <w:r w:rsidRPr="000171E7">
        <w:rPr>
          <w:b w:val="0"/>
          <w:i/>
          <w:iCs/>
          <w:lang w:val="vi-VN"/>
        </w:rPr>
        <w:t xml:space="preserve">Data </w:t>
      </w:r>
      <w:r>
        <w:rPr>
          <w:b w:val="0"/>
          <w:i/>
          <w:iCs/>
          <w:lang w:val="vi-VN"/>
        </w:rPr>
        <w:t>p</w:t>
      </w:r>
      <w:r w:rsidRPr="000171E7">
        <w:rPr>
          <w:b w:val="0"/>
          <w:i/>
          <w:iCs/>
          <w:lang w:val="vi-VN"/>
        </w:rPr>
        <w:t xml:space="preserve">roducts and </w:t>
      </w:r>
      <w:r>
        <w:rPr>
          <w:b w:val="0"/>
          <w:i/>
          <w:iCs/>
          <w:lang w:val="vi-VN"/>
        </w:rPr>
        <w:t>s</w:t>
      </w:r>
      <w:r w:rsidRPr="000171E7">
        <w:rPr>
          <w:b w:val="0"/>
          <w:i/>
          <w:iCs/>
          <w:lang w:val="vi-VN"/>
        </w:rPr>
        <w:t xml:space="preserve">ervices </w:t>
      </w:r>
      <w:r>
        <w:rPr>
          <w:b w:val="0"/>
          <w:i/>
          <w:iCs/>
          <w:lang w:val="vi-VN"/>
        </w:rPr>
        <w:t>b</w:t>
      </w:r>
      <w:r w:rsidRPr="000171E7">
        <w:rPr>
          <w:b w:val="0"/>
          <w:i/>
          <w:iCs/>
          <w:lang w:val="vi-VN"/>
        </w:rPr>
        <w:t>usiness:</w:t>
      </w:r>
    </w:p>
    <w:p w14:paraId="1CF5044E" w14:textId="77777777" w:rsidR="002B2DC8" w:rsidRDefault="002B2DC8" w:rsidP="002B2DC8">
      <w:pPr>
        <w:pStyle w:val="Heading1"/>
        <w:ind w:left="1276" w:right="119"/>
        <w:jc w:val="both"/>
        <w:rPr>
          <w:b w:val="0"/>
          <w:lang w:val="vi-VN"/>
        </w:rPr>
      </w:pPr>
    </w:p>
    <w:p w14:paraId="2F7847F1" w14:textId="345FEE54" w:rsidR="002B2DC8" w:rsidRDefault="002925A4" w:rsidP="002B2DC8">
      <w:pPr>
        <w:pStyle w:val="Heading1"/>
        <w:numPr>
          <w:ilvl w:val="0"/>
          <w:numId w:val="24"/>
        </w:numPr>
        <w:ind w:left="1560" w:right="119"/>
        <w:jc w:val="both"/>
        <w:rPr>
          <w:b w:val="0"/>
          <w:lang w:val="vi-VN"/>
        </w:rPr>
      </w:pPr>
      <w:r w:rsidRPr="002925A4">
        <w:rPr>
          <w:b w:val="0"/>
          <w:lang w:val="vi-VN"/>
        </w:rPr>
        <w:t xml:space="preserve">Data products and services include intermediary data services, data analysis, data </w:t>
      </w:r>
      <w:r w:rsidRPr="002925A4">
        <w:rPr>
          <w:b w:val="0"/>
          <w:lang w:val="vi-VN"/>
        </w:rPr>
        <w:lastRenderedPageBreak/>
        <w:t>aggregation, electronic authentication, and data exchange platforms.</w:t>
      </w:r>
    </w:p>
    <w:p w14:paraId="4036357E" w14:textId="77777777" w:rsidR="001D4889" w:rsidRDefault="001D4889" w:rsidP="001D4889">
      <w:pPr>
        <w:pStyle w:val="Heading1"/>
        <w:ind w:left="1560" w:right="119"/>
        <w:jc w:val="both"/>
        <w:rPr>
          <w:b w:val="0"/>
          <w:lang w:val="vi-VN"/>
        </w:rPr>
      </w:pPr>
    </w:p>
    <w:p w14:paraId="796C5D2D" w14:textId="655F0ED3" w:rsidR="002B2DC8" w:rsidRDefault="002925A4" w:rsidP="002B2DC8">
      <w:pPr>
        <w:pStyle w:val="Heading1"/>
        <w:numPr>
          <w:ilvl w:val="0"/>
          <w:numId w:val="24"/>
        </w:numPr>
        <w:ind w:left="1560" w:right="119"/>
        <w:jc w:val="both"/>
        <w:rPr>
          <w:b w:val="0"/>
          <w:lang w:val="vi-VN"/>
        </w:rPr>
      </w:pPr>
      <w:r w:rsidRPr="002925A4">
        <w:rPr>
          <w:b w:val="0"/>
          <w:lang w:val="vi-VN"/>
        </w:rPr>
        <w:t>Providers of data intermediary, analysis, and aggregation services enjoy incentives similar to those offered to high-tech, innovative, and digital industries and may be eligible for support from the Investment Support Fund under Decree 182/2024/ND-CP if conditions are met.</w:t>
      </w:r>
    </w:p>
    <w:p w14:paraId="1E38EC71" w14:textId="3478BDB1" w:rsidR="002B2DC8" w:rsidRDefault="002B2DC8" w:rsidP="002B2DC8">
      <w:pPr>
        <w:pStyle w:val="Heading1"/>
        <w:ind w:left="1560" w:right="119"/>
        <w:jc w:val="both"/>
        <w:rPr>
          <w:b w:val="0"/>
          <w:lang w:val="vi-VN"/>
        </w:rPr>
      </w:pPr>
    </w:p>
    <w:p w14:paraId="29A4FF5F" w14:textId="50FFD12C" w:rsidR="002B2DC8" w:rsidRDefault="002925A4" w:rsidP="002B2DC8">
      <w:pPr>
        <w:pStyle w:val="Heading1"/>
        <w:numPr>
          <w:ilvl w:val="0"/>
          <w:numId w:val="24"/>
        </w:numPr>
        <w:ind w:left="1560" w:right="119"/>
        <w:jc w:val="both"/>
        <w:rPr>
          <w:b w:val="0"/>
          <w:lang w:val="vi-VN"/>
        </w:rPr>
      </w:pPr>
      <w:r w:rsidRPr="002925A4">
        <w:rPr>
          <w:b w:val="0"/>
          <w:lang w:val="vi-VN"/>
        </w:rPr>
        <w:t xml:space="preserve">Providers of </w:t>
      </w:r>
      <w:r w:rsidR="00FD2A02">
        <w:rPr>
          <w:bCs w:val="0"/>
          <w:lang w:val="vi-VN"/>
        </w:rPr>
        <w:t>I</w:t>
      </w:r>
      <w:r w:rsidRPr="002925A4">
        <w:rPr>
          <w:bCs w:val="0"/>
          <w:lang w:val="vi-VN"/>
        </w:rPr>
        <w:t>ntermediary data products and services</w:t>
      </w:r>
      <w:r w:rsidRPr="002925A4">
        <w:rPr>
          <w:b w:val="0"/>
          <w:lang w:val="vi-VN"/>
        </w:rPr>
        <w:t xml:space="preserve"> must register their activities and comply with investment regulations, except for internal services.</w:t>
      </w:r>
    </w:p>
    <w:p w14:paraId="37D83D5B" w14:textId="77777777" w:rsidR="00F94243" w:rsidRDefault="00F94243" w:rsidP="00F94243">
      <w:pPr>
        <w:pStyle w:val="Heading1"/>
        <w:ind w:left="1560" w:right="119"/>
        <w:jc w:val="both"/>
        <w:rPr>
          <w:b w:val="0"/>
          <w:lang w:val="vi-VN"/>
        </w:rPr>
      </w:pPr>
    </w:p>
    <w:p w14:paraId="3E27BA4C" w14:textId="3BB43919" w:rsidR="002B2DC8" w:rsidRDefault="002925A4" w:rsidP="002B2DC8">
      <w:pPr>
        <w:pStyle w:val="Heading1"/>
        <w:numPr>
          <w:ilvl w:val="0"/>
          <w:numId w:val="24"/>
        </w:numPr>
        <w:ind w:left="1560" w:right="119"/>
        <w:jc w:val="both"/>
        <w:rPr>
          <w:b w:val="0"/>
          <w:lang w:val="vi-VN"/>
        </w:rPr>
      </w:pPr>
      <w:r w:rsidRPr="002925A4">
        <w:rPr>
          <w:b w:val="0"/>
          <w:lang w:val="vi-VN"/>
        </w:rPr>
        <w:t xml:space="preserve">Providers of </w:t>
      </w:r>
      <w:r w:rsidR="00FD2A02">
        <w:rPr>
          <w:bCs w:val="0"/>
          <w:lang w:val="vi-VN"/>
        </w:rPr>
        <w:t>D</w:t>
      </w:r>
      <w:r w:rsidRPr="00FD2A02">
        <w:rPr>
          <w:bCs w:val="0"/>
          <w:lang w:val="vi-VN"/>
        </w:rPr>
        <w:t>ata analysis and aggregation services</w:t>
      </w:r>
      <w:r w:rsidRPr="002925A4">
        <w:rPr>
          <w:b w:val="0"/>
          <w:lang w:val="vi-VN"/>
        </w:rPr>
        <w:t xml:space="preserve"> must register if their activities pose potential risks to national security, public order, ethics, or public health.</w:t>
      </w:r>
    </w:p>
    <w:p w14:paraId="62D09CAF" w14:textId="77777777" w:rsidR="00F94243" w:rsidRDefault="00F94243" w:rsidP="00F94243">
      <w:pPr>
        <w:pStyle w:val="Heading1"/>
        <w:ind w:left="1560" w:right="119"/>
        <w:jc w:val="both"/>
        <w:rPr>
          <w:b w:val="0"/>
          <w:lang w:val="vi-VN"/>
        </w:rPr>
      </w:pPr>
    </w:p>
    <w:p w14:paraId="586CF3F8" w14:textId="5AB3C702" w:rsidR="002B2DC8" w:rsidRDefault="002925A4" w:rsidP="002B2DC8">
      <w:pPr>
        <w:pStyle w:val="Heading1"/>
        <w:numPr>
          <w:ilvl w:val="0"/>
          <w:numId w:val="24"/>
        </w:numPr>
        <w:ind w:left="1560" w:right="119"/>
        <w:jc w:val="both"/>
        <w:rPr>
          <w:b w:val="0"/>
          <w:lang w:val="vi-VN"/>
        </w:rPr>
      </w:pPr>
      <w:r>
        <w:rPr>
          <w:b w:val="0"/>
          <w:lang w:val="vi-VN"/>
        </w:rPr>
        <w:t>Notably</w:t>
      </w:r>
      <w:r w:rsidR="002B2DC8">
        <w:rPr>
          <w:b w:val="0"/>
          <w:lang w:val="vi-VN"/>
        </w:rPr>
        <w:t xml:space="preserve">, </w:t>
      </w:r>
      <w:r>
        <w:rPr>
          <w:b w:val="0"/>
          <w:lang w:val="vi-VN"/>
        </w:rPr>
        <w:t>p</w:t>
      </w:r>
      <w:r w:rsidRPr="002925A4">
        <w:rPr>
          <w:b w:val="0"/>
          <w:lang w:val="vi-VN"/>
        </w:rPr>
        <w:t xml:space="preserve">roviders of </w:t>
      </w:r>
      <w:r w:rsidR="00FD2A02">
        <w:rPr>
          <w:bCs w:val="0"/>
          <w:lang w:val="vi-VN"/>
        </w:rPr>
        <w:t>D</w:t>
      </w:r>
      <w:r w:rsidRPr="00FD2A02">
        <w:rPr>
          <w:bCs w:val="0"/>
          <w:lang w:val="vi-VN"/>
        </w:rPr>
        <w:t>ata platform services</w:t>
      </w:r>
      <w:r w:rsidRPr="002925A4">
        <w:rPr>
          <w:b w:val="0"/>
          <w:lang w:val="vi-VN"/>
        </w:rPr>
        <w:t xml:space="preserve"> must be public service units or state-owned enterprises meeting specific conditions and obtaining licenses under the law.</w:t>
      </w:r>
      <w:r>
        <w:rPr>
          <w:b w:val="0"/>
          <w:lang w:val="vi-VN"/>
        </w:rPr>
        <w:t xml:space="preserve"> </w:t>
      </w:r>
      <w:r w:rsidRPr="002925A4">
        <w:rPr>
          <w:b w:val="0"/>
          <w:lang w:val="vi-VN"/>
        </w:rPr>
        <w:t>Detailed regulations will be issued by the Government.</w:t>
      </w:r>
    </w:p>
    <w:p w14:paraId="1ECC89C1" w14:textId="77777777" w:rsidR="002B2DC8" w:rsidRDefault="002B2DC8" w:rsidP="0066174C">
      <w:pPr>
        <w:ind w:left="709"/>
        <w:rPr>
          <w:b/>
          <w:bCs/>
          <w:lang w:val="vi-VN"/>
        </w:rPr>
      </w:pPr>
    </w:p>
    <w:p w14:paraId="1EB38ED6" w14:textId="112FF671" w:rsidR="00422202" w:rsidRDefault="002925A4" w:rsidP="002925A4">
      <w:pPr>
        <w:ind w:left="993"/>
        <w:rPr>
          <w:b/>
          <w:bCs/>
          <w:lang w:val="vi-VN"/>
        </w:rPr>
      </w:pPr>
      <w:r w:rsidRPr="002925A4">
        <w:rPr>
          <w:b/>
          <w:bCs/>
          <w:lang w:val="vi-VN"/>
        </w:rPr>
        <w:t>The Data Law 2024 will take effect on July 1, 2025</w:t>
      </w:r>
    </w:p>
    <w:p w14:paraId="046F788F" w14:textId="77777777" w:rsidR="002925A4" w:rsidRDefault="002925A4" w:rsidP="00422202">
      <w:pPr>
        <w:tabs>
          <w:tab w:val="left" w:pos="937"/>
          <w:tab w:val="left" w:pos="938"/>
        </w:tabs>
        <w:rPr>
          <w:b/>
          <w:lang w:val="vi-VN"/>
        </w:rPr>
      </w:pPr>
    </w:p>
    <w:p w14:paraId="7B913D80" w14:textId="3AD5E379" w:rsidR="005F6145" w:rsidRPr="00E44D1B" w:rsidRDefault="005F6145" w:rsidP="005F6145">
      <w:pPr>
        <w:pStyle w:val="Heading1"/>
        <w:numPr>
          <w:ilvl w:val="0"/>
          <w:numId w:val="1"/>
        </w:numPr>
        <w:tabs>
          <w:tab w:val="left" w:pos="709"/>
        </w:tabs>
        <w:ind w:right="119" w:hanging="651"/>
        <w:jc w:val="left"/>
        <w:rPr>
          <w:lang w:val="vi-VN"/>
        </w:rPr>
      </w:pPr>
      <w:r>
        <w:t>Key Changes in the 2024 VAT Law</w:t>
      </w:r>
    </w:p>
    <w:p w14:paraId="0DF156A8" w14:textId="77777777" w:rsidR="005F6145" w:rsidRPr="00E44D1B" w:rsidRDefault="005F6145" w:rsidP="005F6145">
      <w:pPr>
        <w:pStyle w:val="Heading1"/>
        <w:tabs>
          <w:tab w:val="left" w:pos="709"/>
        </w:tabs>
        <w:ind w:left="0" w:right="119"/>
        <w:jc w:val="both"/>
        <w:rPr>
          <w:b w:val="0"/>
          <w:bCs w:val="0"/>
          <w:lang w:val="vi-VN"/>
        </w:rPr>
      </w:pPr>
    </w:p>
    <w:p w14:paraId="7E9627F2" w14:textId="29890189" w:rsidR="005F6145" w:rsidRPr="00876F80" w:rsidRDefault="005F6145" w:rsidP="005F6145">
      <w:pPr>
        <w:pStyle w:val="Heading1"/>
        <w:tabs>
          <w:tab w:val="left" w:pos="709"/>
        </w:tabs>
        <w:ind w:left="709" w:right="119"/>
        <w:jc w:val="both"/>
        <w:rPr>
          <w:b w:val="0"/>
          <w:bCs w:val="0"/>
          <w:lang w:val="vi-VN"/>
        </w:rPr>
      </w:pPr>
      <w:r w:rsidRPr="005F6145">
        <w:rPr>
          <w:rStyle w:val="Strong"/>
          <w:rFonts w:ascii="SanFranciscoDisplayRegular" w:hAnsi="SanFranciscoDisplayRegular"/>
          <w:color w:val="212529"/>
          <w:shd w:val="clear" w:color="auto" w:fill="FFFFFF"/>
        </w:rPr>
        <w:t>On November 26, 2024, during the 8th session of the National Assembly, the Value-Added Tax (VAT) Law 2024, No. 48/2024/QH15 (“</w:t>
      </w:r>
      <w:r w:rsidRPr="005F6145">
        <w:rPr>
          <w:rStyle w:val="Strong"/>
          <w:rFonts w:ascii="SanFranciscoDisplayRegular" w:hAnsi="SanFranciscoDisplayRegular"/>
          <w:b/>
          <w:bCs/>
          <w:color w:val="212529"/>
          <w:shd w:val="clear" w:color="auto" w:fill="FFFFFF"/>
        </w:rPr>
        <w:t>VAT Law</w:t>
      </w:r>
      <w:r w:rsidRPr="005F6145">
        <w:rPr>
          <w:rStyle w:val="Strong"/>
          <w:rFonts w:ascii="SanFranciscoDisplayRegular" w:hAnsi="SanFranciscoDisplayRegular"/>
          <w:color w:val="212529"/>
          <w:shd w:val="clear" w:color="auto" w:fill="FFFFFF"/>
        </w:rPr>
        <w:t>”), was officially passed. This marks an important step in perfecting the tax legal system, aiming to enhance transparency and optimize efficiency in VAT management and collection. The VAT Law consists of 4 chapters and 18 articles, incorporating current regulations and adding key provisions to meet the requirements of socio-economic development in the new era, especially during the rapid growth of the digital economy.</w:t>
      </w:r>
    </w:p>
    <w:p w14:paraId="6187629A" w14:textId="77777777" w:rsidR="005F6145" w:rsidRDefault="005F6145" w:rsidP="005F6145">
      <w:pPr>
        <w:pStyle w:val="Heading1"/>
        <w:tabs>
          <w:tab w:val="left" w:pos="709"/>
        </w:tabs>
        <w:ind w:left="709" w:right="119"/>
        <w:jc w:val="both"/>
        <w:rPr>
          <w:b w:val="0"/>
          <w:bCs w:val="0"/>
          <w:lang w:val="vi-VN"/>
        </w:rPr>
      </w:pPr>
    </w:p>
    <w:p w14:paraId="21DE992B" w14:textId="3A2834C2" w:rsidR="005F6145" w:rsidRPr="00A83A88" w:rsidRDefault="005F6145" w:rsidP="005F6145">
      <w:pPr>
        <w:pStyle w:val="Heading1"/>
        <w:numPr>
          <w:ilvl w:val="0"/>
          <w:numId w:val="25"/>
        </w:numPr>
        <w:ind w:left="993" w:right="119"/>
        <w:jc w:val="both"/>
        <w:rPr>
          <w:i/>
          <w:iCs/>
          <w:lang w:val="vi-VN"/>
        </w:rPr>
      </w:pPr>
      <w:r w:rsidRPr="005F6145">
        <w:rPr>
          <w:i/>
          <w:iCs/>
          <w:lang w:val="vi-VN"/>
        </w:rPr>
        <w:t>Expanding the scope of e-commerce and digital platform businesses</w:t>
      </w:r>
    </w:p>
    <w:p w14:paraId="73A6DDAF" w14:textId="38F6430D" w:rsidR="005F6145" w:rsidRDefault="005F6145" w:rsidP="005F6145">
      <w:pPr>
        <w:ind w:left="993"/>
        <w:jc w:val="both"/>
        <w:rPr>
          <w:lang w:val="vi-VN"/>
        </w:rPr>
      </w:pPr>
      <w:r>
        <w:rPr>
          <w:lang w:val="vi-VN"/>
        </w:rPr>
        <w:br/>
      </w:r>
      <w:r>
        <w:t>Accordingly, certain businesses operating on digital platforms and engaging in e-commerce are still subject to VAT as follows:</w:t>
      </w:r>
    </w:p>
    <w:p w14:paraId="63938552" w14:textId="77777777" w:rsidR="005F6145" w:rsidRDefault="005F6145" w:rsidP="005F6145">
      <w:pPr>
        <w:ind w:left="993"/>
        <w:jc w:val="both"/>
        <w:rPr>
          <w:lang w:val="vi-VN"/>
        </w:rPr>
      </w:pPr>
    </w:p>
    <w:p w14:paraId="2D6E99A5" w14:textId="20A64A6E" w:rsidR="005F6145" w:rsidRDefault="005F6145" w:rsidP="005F6145">
      <w:pPr>
        <w:pStyle w:val="ListParagraph"/>
        <w:numPr>
          <w:ilvl w:val="0"/>
          <w:numId w:val="22"/>
        </w:numPr>
        <w:ind w:left="1418"/>
        <w:jc w:val="both"/>
        <w:rPr>
          <w:lang w:val="vi-VN"/>
        </w:rPr>
      </w:pPr>
      <w:r w:rsidRPr="005F6145">
        <w:rPr>
          <w:rStyle w:val="Strong"/>
          <w:b w:val="0"/>
          <w:bCs w:val="0"/>
          <w:i/>
          <w:iCs/>
        </w:rPr>
        <w:t>Foreign suppliers:</w:t>
      </w:r>
      <w:r w:rsidRPr="005F6145">
        <w:rPr>
          <w:b/>
          <w:bCs/>
          <w:i/>
          <w:iCs/>
        </w:rPr>
        <w:t xml:space="preserve"> </w:t>
      </w:r>
      <w:r>
        <w:t>These are foreign organizations without a permanent establishment in Vietnam, operating e-commerce or through digital platforms. The organization managing the digital platform in Vietnam that purchases services from foreign suppliers is responsible for withholding and remitting VAT on their behalf.</w:t>
      </w:r>
    </w:p>
    <w:p w14:paraId="07091647" w14:textId="77777777" w:rsidR="005F6145" w:rsidRDefault="005F6145" w:rsidP="005F6145">
      <w:pPr>
        <w:pStyle w:val="ListParagraph"/>
        <w:ind w:left="1418" w:firstLine="0"/>
        <w:jc w:val="both"/>
        <w:rPr>
          <w:lang w:val="vi-VN"/>
        </w:rPr>
      </w:pPr>
    </w:p>
    <w:p w14:paraId="02A85247" w14:textId="3E740F59" w:rsidR="005F6145" w:rsidRPr="006520D4" w:rsidRDefault="005F6145" w:rsidP="005F6145">
      <w:pPr>
        <w:pStyle w:val="ListParagraph"/>
        <w:numPr>
          <w:ilvl w:val="0"/>
          <w:numId w:val="22"/>
        </w:numPr>
        <w:ind w:left="1418"/>
        <w:jc w:val="both"/>
        <w:rPr>
          <w:lang w:val="vi-VN"/>
        </w:rPr>
      </w:pPr>
      <w:r w:rsidRPr="009B23CB">
        <w:rPr>
          <w:rStyle w:val="Strong"/>
          <w:b w:val="0"/>
          <w:bCs w:val="0"/>
          <w:i/>
          <w:iCs/>
        </w:rPr>
        <w:t>E-commerce/digital platform managers:</w:t>
      </w:r>
      <w:r w:rsidRPr="005F6145">
        <w:rPr>
          <w:i/>
          <w:iCs/>
        </w:rPr>
        <w:t xml:space="preserve"> </w:t>
      </w:r>
      <w:r>
        <w:t xml:space="preserve">Organizations </w:t>
      </w:r>
      <w:r>
        <w:rPr>
          <w:lang w:val="vi-VN"/>
        </w:rPr>
        <w:t xml:space="preserve">which </w:t>
      </w:r>
      <w:r>
        <w:t>managing e-commerce exchanges or digital platforms with payment functions must withhold and remit VAT on behalf of individual businesses operating on these platforms</w:t>
      </w:r>
      <w:r>
        <w:rPr>
          <w:lang w:val="vi-VN"/>
        </w:rPr>
        <w:t xml:space="preserve"> </w:t>
      </w:r>
      <w:r w:rsidRPr="005F6145">
        <w:rPr>
          <w:lang w:val="vi-VN"/>
        </w:rPr>
        <w:t>is also subject to VAT declaration and payment.</w:t>
      </w:r>
      <w:r>
        <w:t xml:space="preserve"> This move aims to enhance tax management and ensure fairness across business models.</w:t>
      </w:r>
    </w:p>
    <w:p w14:paraId="0E690EEA" w14:textId="77777777" w:rsidR="005F6145" w:rsidRDefault="005F6145" w:rsidP="005F6145">
      <w:pPr>
        <w:pStyle w:val="Heading1"/>
        <w:ind w:left="0" w:right="119"/>
        <w:jc w:val="both"/>
        <w:rPr>
          <w:b w:val="0"/>
          <w:bCs w:val="0"/>
          <w:lang w:val="vi-VN"/>
        </w:rPr>
      </w:pPr>
    </w:p>
    <w:p w14:paraId="6F6DE56C" w14:textId="1ABD1710" w:rsidR="005F6145" w:rsidRPr="002D7644" w:rsidRDefault="005F6145" w:rsidP="005F6145">
      <w:pPr>
        <w:pStyle w:val="Heading1"/>
        <w:numPr>
          <w:ilvl w:val="0"/>
          <w:numId w:val="25"/>
        </w:numPr>
        <w:ind w:left="993" w:right="119"/>
        <w:jc w:val="both"/>
        <w:rPr>
          <w:i/>
          <w:iCs/>
          <w:lang w:val="vi-VN"/>
        </w:rPr>
      </w:pPr>
      <w:r w:rsidRPr="005F6145">
        <w:rPr>
          <w:i/>
          <w:iCs/>
          <w:lang w:val="vi-VN"/>
        </w:rPr>
        <w:t xml:space="preserve">VAT exemption for </w:t>
      </w:r>
      <w:r w:rsidR="00B14B50" w:rsidRPr="00B14B50">
        <w:rPr>
          <w:i/>
          <w:iCs/>
          <w:lang w:val="vi-VN"/>
        </w:rPr>
        <w:t>individual household businesses</w:t>
      </w:r>
      <w:r w:rsidRPr="005F6145">
        <w:rPr>
          <w:i/>
          <w:iCs/>
          <w:lang w:val="vi-VN"/>
        </w:rPr>
        <w:t xml:space="preserve"> with annual revenue under </w:t>
      </w:r>
      <w:r w:rsidR="009B23CB">
        <w:rPr>
          <w:i/>
          <w:iCs/>
          <w:lang w:val="vi-VN"/>
        </w:rPr>
        <w:t>VND</w:t>
      </w:r>
      <w:r w:rsidRPr="005F6145">
        <w:rPr>
          <w:i/>
          <w:iCs/>
          <w:lang w:val="vi-VN"/>
        </w:rPr>
        <w:t>200 million</w:t>
      </w:r>
    </w:p>
    <w:p w14:paraId="66075CD7" w14:textId="77777777" w:rsidR="005F6145" w:rsidRDefault="005F6145" w:rsidP="005F6145">
      <w:pPr>
        <w:pStyle w:val="Heading1"/>
        <w:ind w:left="993" w:right="119"/>
        <w:jc w:val="both"/>
        <w:rPr>
          <w:b w:val="0"/>
          <w:bCs w:val="0"/>
          <w:lang w:val="vi-VN"/>
        </w:rPr>
      </w:pPr>
    </w:p>
    <w:p w14:paraId="438180A4" w14:textId="51032454" w:rsidR="005F6145" w:rsidRDefault="005F6145" w:rsidP="005F6145">
      <w:pPr>
        <w:ind w:left="993"/>
        <w:jc w:val="both"/>
        <w:rPr>
          <w:lang w:val="vi-VN"/>
        </w:rPr>
      </w:pPr>
      <w:r>
        <w:t xml:space="preserve">Under the new VAT Law, the threshold for VAT exemption for individual </w:t>
      </w:r>
      <w:r w:rsidR="009B23CB">
        <w:t>household</w:t>
      </w:r>
      <w:r w:rsidR="009B23CB">
        <w:rPr>
          <w:lang w:val="vi-VN"/>
        </w:rPr>
        <w:t xml:space="preserve"> </w:t>
      </w:r>
      <w:r>
        <w:t xml:space="preserve">businesses has been increased from </w:t>
      </w:r>
      <w:r w:rsidR="00F610E7">
        <w:t>VND</w:t>
      </w:r>
      <w:r w:rsidR="00F610E7">
        <w:rPr>
          <w:lang w:val="vi-VN"/>
        </w:rPr>
        <w:t xml:space="preserve"> </w:t>
      </w:r>
      <w:r>
        <w:t xml:space="preserve">100 million to </w:t>
      </w:r>
      <w:r w:rsidR="00F610E7">
        <w:t>VND</w:t>
      </w:r>
      <w:r w:rsidR="00F610E7">
        <w:rPr>
          <w:lang w:val="vi-VN"/>
        </w:rPr>
        <w:t xml:space="preserve"> </w:t>
      </w:r>
      <w:r>
        <w:t xml:space="preserve">200 million in annual revenue. This practical </w:t>
      </w:r>
      <w:r>
        <w:lastRenderedPageBreak/>
        <w:t>change aims to reduce administrative burdens and support the growth of small businesses.</w:t>
      </w:r>
    </w:p>
    <w:p w14:paraId="5A30F9EE" w14:textId="77777777" w:rsidR="005F6145" w:rsidRDefault="005F6145" w:rsidP="005F6145">
      <w:pPr>
        <w:ind w:left="993"/>
        <w:jc w:val="both"/>
        <w:rPr>
          <w:lang w:val="vi-VN"/>
        </w:rPr>
      </w:pPr>
    </w:p>
    <w:p w14:paraId="23F0FDF3" w14:textId="3E2994D0" w:rsidR="005F6145" w:rsidRPr="00222D18" w:rsidRDefault="005F6145" w:rsidP="005F6145">
      <w:pPr>
        <w:ind w:left="993"/>
        <w:jc w:val="both"/>
        <w:rPr>
          <w:lang w:val="vi-VN"/>
        </w:rPr>
      </w:pPr>
      <w:r>
        <w:t>This provision will take effect from January 1, 2026.</w:t>
      </w:r>
    </w:p>
    <w:p w14:paraId="6F4B08A0" w14:textId="77777777" w:rsidR="005F6145" w:rsidRDefault="005F6145" w:rsidP="005F6145">
      <w:pPr>
        <w:pStyle w:val="Heading1"/>
        <w:ind w:left="0" w:right="119"/>
        <w:jc w:val="both"/>
        <w:rPr>
          <w:b w:val="0"/>
          <w:bCs w:val="0"/>
          <w:lang w:val="vi-VN"/>
        </w:rPr>
      </w:pPr>
    </w:p>
    <w:p w14:paraId="2C96C88E" w14:textId="2ACED268" w:rsidR="005F6145" w:rsidRDefault="005F6145" w:rsidP="005F6145">
      <w:pPr>
        <w:pStyle w:val="Heading1"/>
        <w:numPr>
          <w:ilvl w:val="0"/>
          <w:numId w:val="25"/>
        </w:numPr>
        <w:ind w:left="993" w:right="119"/>
        <w:jc w:val="both"/>
        <w:rPr>
          <w:i/>
          <w:iCs/>
          <w:lang w:val="vi-VN"/>
        </w:rPr>
      </w:pPr>
      <w:r w:rsidRPr="005F6145">
        <w:rPr>
          <w:i/>
          <w:iCs/>
          <w:lang w:val="vi-VN"/>
        </w:rPr>
        <w:t>Additional conditions for input VAT deduction</w:t>
      </w:r>
    </w:p>
    <w:p w14:paraId="2F98AEC0" w14:textId="77777777" w:rsidR="005F6145" w:rsidRDefault="005F6145" w:rsidP="005F6145">
      <w:pPr>
        <w:pStyle w:val="Heading1"/>
        <w:ind w:left="993" w:right="119"/>
        <w:jc w:val="both"/>
        <w:rPr>
          <w:i/>
          <w:iCs/>
          <w:lang w:val="vi-VN"/>
        </w:rPr>
      </w:pPr>
    </w:p>
    <w:p w14:paraId="0F74DA50" w14:textId="6B39244E" w:rsidR="005F6145" w:rsidRDefault="005F6145" w:rsidP="005F6145">
      <w:pPr>
        <w:pStyle w:val="Heading1"/>
        <w:ind w:left="993" w:right="119"/>
        <w:jc w:val="both"/>
        <w:rPr>
          <w:b w:val="0"/>
          <w:bCs w:val="0"/>
          <w:lang w:val="vi-VN"/>
        </w:rPr>
      </w:pPr>
      <w:r w:rsidRPr="005F6145">
        <w:rPr>
          <w:b w:val="0"/>
          <w:bCs w:val="0"/>
          <w:lang w:val="vi-VN"/>
        </w:rPr>
        <w:t>The VAT Law removes the minimum invoice value (</w:t>
      </w:r>
      <w:r>
        <w:rPr>
          <w:b w:val="0"/>
          <w:bCs w:val="0"/>
          <w:lang w:val="vi-VN"/>
        </w:rPr>
        <w:t xml:space="preserve">VND </w:t>
      </w:r>
      <w:r w:rsidRPr="005F6145">
        <w:rPr>
          <w:b w:val="0"/>
          <w:bCs w:val="0"/>
          <w:lang w:val="vi-VN"/>
        </w:rPr>
        <w:t>20 million) required for the use of non-cash payment evidence. Instead, non-cash payment evidence becomes a mandatory condition for input VAT deduction on all goods and services purchased, except in some special cases as determined by the Government.</w:t>
      </w:r>
    </w:p>
    <w:p w14:paraId="10E7EB62" w14:textId="77777777" w:rsidR="005F6145" w:rsidRDefault="005F6145" w:rsidP="005F6145">
      <w:pPr>
        <w:pStyle w:val="Heading1"/>
        <w:ind w:left="993" w:right="119"/>
        <w:jc w:val="both"/>
        <w:rPr>
          <w:b w:val="0"/>
          <w:bCs w:val="0"/>
          <w:lang w:val="vi-VN"/>
        </w:rPr>
      </w:pPr>
    </w:p>
    <w:p w14:paraId="2C3DCA8C" w14:textId="36F3501E" w:rsidR="005F6145" w:rsidRDefault="005F6145" w:rsidP="005F6145">
      <w:pPr>
        <w:pStyle w:val="Heading1"/>
        <w:ind w:left="993" w:right="119"/>
        <w:jc w:val="both"/>
        <w:rPr>
          <w:b w:val="0"/>
          <w:bCs w:val="0"/>
          <w:lang w:val="vi-VN"/>
        </w:rPr>
      </w:pPr>
      <w:r w:rsidRPr="005F6145">
        <w:rPr>
          <w:b w:val="0"/>
          <w:bCs w:val="0"/>
          <w:lang w:val="vi-VN"/>
        </w:rPr>
        <w:t>For export goods and services, additional documents such as the export contract with the foreign party, invoices for goods and services, non-cash payment receipts, customs declarations, packing lists, waybills, and insurance documents (if any) are required for input VAT deduction.</w:t>
      </w:r>
    </w:p>
    <w:p w14:paraId="59901C53" w14:textId="77777777" w:rsidR="005F6145" w:rsidRDefault="005F6145" w:rsidP="005F6145">
      <w:pPr>
        <w:pStyle w:val="Heading1"/>
        <w:ind w:left="993" w:right="119"/>
        <w:jc w:val="both"/>
        <w:rPr>
          <w:b w:val="0"/>
          <w:bCs w:val="0"/>
          <w:lang w:val="vi-VN"/>
        </w:rPr>
      </w:pPr>
    </w:p>
    <w:p w14:paraId="089B703A" w14:textId="4C3BC94E" w:rsidR="005F6145" w:rsidRPr="00803550" w:rsidRDefault="00B24FB5" w:rsidP="005F6145">
      <w:pPr>
        <w:pStyle w:val="Heading1"/>
        <w:ind w:left="993" w:right="119"/>
        <w:jc w:val="both"/>
        <w:rPr>
          <w:b w:val="0"/>
          <w:bCs w:val="0"/>
          <w:lang w:val="vi-VN"/>
        </w:rPr>
      </w:pPr>
      <w:r w:rsidRPr="00B24FB5">
        <w:rPr>
          <w:b w:val="0"/>
          <w:bCs w:val="0"/>
          <w:lang w:val="vi-VN"/>
        </w:rPr>
        <w:t>The Government will further specify the conditions for input VAT deduction in cases of goods exported via international e-commerce platforms and other specific cases, ensuring smoother operations for exporters using digital platforms and aligning legal provisions with the new economic era.</w:t>
      </w:r>
    </w:p>
    <w:p w14:paraId="4E2D0CE7" w14:textId="77777777" w:rsidR="005F6145" w:rsidRPr="00803550" w:rsidRDefault="005F6145" w:rsidP="005F6145">
      <w:pPr>
        <w:pStyle w:val="Heading1"/>
        <w:ind w:left="993" w:right="119"/>
        <w:jc w:val="both"/>
        <w:rPr>
          <w:b w:val="0"/>
          <w:bCs w:val="0"/>
          <w:lang w:val="vi-VN"/>
        </w:rPr>
      </w:pPr>
    </w:p>
    <w:p w14:paraId="3154DDB9" w14:textId="2DDB860D" w:rsidR="005F6145" w:rsidRPr="002D7644" w:rsidRDefault="00B24FB5" w:rsidP="005F6145">
      <w:pPr>
        <w:pStyle w:val="Heading1"/>
        <w:numPr>
          <w:ilvl w:val="0"/>
          <w:numId w:val="25"/>
        </w:numPr>
        <w:ind w:left="993" w:right="119"/>
        <w:jc w:val="both"/>
        <w:rPr>
          <w:i/>
          <w:iCs/>
          <w:lang w:val="vi-VN"/>
        </w:rPr>
      </w:pPr>
      <w:r w:rsidRPr="00B24FB5">
        <w:rPr>
          <w:i/>
          <w:iCs/>
          <w:lang w:val="vi-VN"/>
        </w:rPr>
        <w:t>Resolving issues in input VAT deduction errors:</w:t>
      </w:r>
    </w:p>
    <w:p w14:paraId="1FCAD9F3" w14:textId="77777777" w:rsidR="005F6145" w:rsidRDefault="005F6145" w:rsidP="005F6145">
      <w:pPr>
        <w:pStyle w:val="Heading1"/>
        <w:ind w:right="119"/>
        <w:jc w:val="both"/>
        <w:rPr>
          <w:b w:val="0"/>
          <w:bCs w:val="0"/>
          <w:lang w:val="vi-VN"/>
        </w:rPr>
      </w:pPr>
    </w:p>
    <w:p w14:paraId="44180DA7" w14:textId="5FCD9584" w:rsidR="005F6145" w:rsidRDefault="00B24FB5" w:rsidP="005F6145">
      <w:pPr>
        <w:pStyle w:val="Heading1"/>
        <w:ind w:right="119"/>
        <w:jc w:val="both"/>
        <w:rPr>
          <w:b w:val="0"/>
          <w:bCs w:val="0"/>
          <w:lang w:val="vi-VN"/>
        </w:rPr>
      </w:pPr>
      <w:r w:rsidRPr="00B24FB5">
        <w:rPr>
          <w:b w:val="0"/>
          <w:bCs w:val="0"/>
          <w:lang w:val="vi-VN"/>
        </w:rPr>
        <w:t>The provisions for handling errors in VAT input deductions have been revised in more detail, as follows:</w:t>
      </w:r>
    </w:p>
    <w:p w14:paraId="69D0995B" w14:textId="77777777" w:rsidR="005F6145" w:rsidRDefault="005F6145" w:rsidP="005F6145">
      <w:pPr>
        <w:pStyle w:val="Heading1"/>
        <w:ind w:right="119"/>
        <w:jc w:val="both"/>
        <w:rPr>
          <w:b w:val="0"/>
          <w:bCs w:val="0"/>
          <w:lang w:val="vi-VN"/>
        </w:rPr>
      </w:pPr>
    </w:p>
    <w:p w14:paraId="02982229" w14:textId="32828217" w:rsidR="005F6145" w:rsidRDefault="00B24FB5" w:rsidP="005F6145">
      <w:pPr>
        <w:pStyle w:val="ListParagraph"/>
        <w:numPr>
          <w:ilvl w:val="0"/>
          <w:numId w:val="15"/>
        </w:numPr>
        <w:ind w:left="1418"/>
        <w:jc w:val="both"/>
        <w:rPr>
          <w:lang w:val="vi-VN"/>
        </w:rPr>
      </w:pPr>
      <w:r>
        <w:t>In case of errors that increase the payable tax or reduce the refundable tax, the taxpayer must file an amended declaration for the month/quarter in which the error occurred, pay the additional tax, or recover any refunded tax. Additionally, the taxpayer must pay any late payment fees (if a</w:t>
      </w:r>
      <w:r>
        <w:rPr>
          <w:lang w:val="vi-VN"/>
        </w:rPr>
        <w:t>ny</w:t>
      </w:r>
      <w:r>
        <w:t>) into the state budget</w:t>
      </w:r>
      <w:r>
        <w:rPr>
          <w:lang w:val="vi-VN"/>
        </w:rPr>
        <w:t>.</w:t>
      </w:r>
    </w:p>
    <w:p w14:paraId="21633A2A" w14:textId="77777777" w:rsidR="005F6145" w:rsidRPr="00803550" w:rsidRDefault="005F6145" w:rsidP="005F6145">
      <w:pPr>
        <w:pStyle w:val="ListParagraph"/>
        <w:ind w:left="1418" w:firstLine="0"/>
        <w:jc w:val="both"/>
        <w:rPr>
          <w:lang w:val="vi-VN"/>
        </w:rPr>
      </w:pPr>
    </w:p>
    <w:p w14:paraId="76BB2ABC" w14:textId="1D45D7C1" w:rsidR="005F6145" w:rsidRPr="00803550" w:rsidRDefault="00B24FB5" w:rsidP="005F6145">
      <w:pPr>
        <w:pStyle w:val="Heading1"/>
        <w:numPr>
          <w:ilvl w:val="0"/>
          <w:numId w:val="15"/>
        </w:numPr>
        <w:ind w:left="1418" w:right="119" w:hanging="425"/>
        <w:jc w:val="both"/>
        <w:rPr>
          <w:b w:val="0"/>
          <w:bCs w:val="0"/>
          <w:lang w:val="vi-VN"/>
        </w:rPr>
      </w:pPr>
      <w:r w:rsidRPr="00B24FB5">
        <w:rPr>
          <w:b w:val="0"/>
          <w:bCs w:val="0"/>
          <w:lang w:val="vi-VN"/>
        </w:rPr>
        <w:t>In case of errors that reduce payable tax or only affect the VAT deductible in subsequent periods, the taxpayer must file an amended declaration for the month/quarter in which the error was discovered.</w:t>
      </w:r>
    </w:p>
    <w:p w14:paraId="05635819" w14:textId="77777777" w:rsidR="005F6145" w:rsidRDefault="005F6145" w:rsidP="005F6145">
      <w:pPr>
        <w:pStyle w:val="Heading1"/>
        <w:ind w:left="993" w:right="119"/>
        <w:jc w:val="both"/>
        <w:rPr>
          <w:b w:val="0"/>
          <w:bCs w:val="0"/>
          <w:lang w:val="vi-VN"/>
        </w:rPr>
      </w:pPr>
    </w:p>
    <w:p w14:paraId="4F377CD7" w14:textId="2952CC38" w:rsidR="005F6145" w:rsidRPr="00F610E7" w:rsidRDefault="00B24FB5" w:rsidP="005F6145">
      <w:pPr>
        <w:pStyle w:val="Heading1"/>
        <w:ind w:left="567" w:right="119"/>
        <w:jc w:val="both"/>
        <w:rPr>
          <w:lang w:val="vi-VN"/>
        </w:rPr>
      </w:pPr>
      <w:r>
        <w:t>The VAT Law will officially take effect on July 1, 2025</w:t>
      </w:r>
    </w:p>
    <w:p w14:paraId="52797F0B" w14:textId="77777777" w:rsidR="005F6145" w:rsidRPr="00770572" w:rsidRDefault="005F6145" w:rsidP="00422202">
      <w:pPr>
        <w:tabs>
          <w:tab w:val="left" w:pos="937"/>
          <w:tab w:val="left" w:pos="938"/>
        </w:tabs>
        <w:rPr>
          <w:b/>
          <w:lang w:val="vi-VN"/>
        </w:rPr>
      </w:pPr>
    </w:p>
    <w:bookmarkEnd w:id="3"/>
    <w:p w14:paraId="2EDB7EE7" w14:textId="21B80031" w:rsidR="009B20A3" w:rsidRPr="0036383B" w:rsidRDefault="009B20A3" w:rsidP="009B20A3">
      <w:pPr>
        <w:pStyle w:val="Heading1"/>
        <w:spacing w:before="1"/>
        <w:ind w:left="0"/>
        <w:rPr>
          <w:b w:val="0"/>
          <w:bCs w:val="0"/>
          <w:lang w:val="vi-VN"/>
        </w:rPr>
      </w:pPr>
      <w:r w:rsidRPr="00770572">
        <w:rPr>
          <w:b w:val="0"/>
          <w:bCs w:val="0"/>
          <w:lang w:val="vi-VN"/>
        </w:rPr>
        <w:t xml:space="preserve">   </w:t>
      </w:r>
      <w:r w:rsidR="00E1519D" w:rsidRPr="00A26E46">
        <w:rPr>
          <w:lang w:val="en-US"/>
        </w:rPr>
        <w:t>We hope this Legal Update has a lot of useful information.</w:t>
      </w:r>
    </w:p>
    <w:p w14:paraId="5385E6E7" w14:textId="77777777" w:rsidR="008F0948" w:rsidRPr="00770572" w:rsidRDefault="008F0948" w:rsidP="002E0457">
      <w:pPr>
        <w:pStyle w:val="Heading1"/>
        <w:tabs>
          <w:tab w:val="left" w:pos="851"/>
        </w:tabs>
        <w:ind w:left="1134" w:right="119"/>
        <w:jc w:val="both"/>
        <w:rPr>
          <w:b w:val="0"/>
          <w:bCs w:val="0"/>
          <w:lang w:val="vi-VN"/>
        </w:rPr>
      </w:pPr>
    </w:p>
    <w:p w14:paraId="296DE28A" w14:textId="68982AD7" w:rsidR="004F31D2" w:rsidRDefault="00E1519D" w:rsidP="009B20A3">
      <w:pPr>
        <w:pStyle w:val="Heading1"/>
        <w:spacing w:before="1"/>
        <w:ind w:left="142"/>
        <w:rPr>
          <w:lang w:val="vi-VN"/>
        </w:rPr>
      </w:pPr>
      <w:r w:rsidRPr="00A26E46">
        <w:rPr>
          <w:lang w:val="en-US"/>
        </w:rPr>
        <w:t>Best Regards./.</w:t>
      </w:r>
    </w:p>
    <w:p w14:paraId="1C7CC802" w14:textId="77777777" w:rsidR="00820944" w:rsidRDefault="00820944" w:rsidP="009B20A3">
      <w:pPr>
        <w:pStyle w:val="Heading1"/>
        <w:spacing w:before="1"/>
        <w:ind w:left="142"/>
        <w:rPr>
          <w:lang w:val="vi-VN"/>
        </w:rPr>
      </w:pPr>
    </w:p>
    <w:p w14:paraId="15EC9C58" w14:textId="3AA6AD6B" w:rsidR="00820944" w:rsidRDefault="00820944" w:rsidP="009B20A3">
      <w:pPr>
        <w:pStyle w:val="Heading1"/>
        <w:spacing w:before="1"/>
        <w:ind w:left="142"/>
        <w:rPr>
          <w:lang w:val="vi-VN"/>
        </w:rPr>
      </w:pPr>
      <w:r>
        <w:rPr>
          <w:noProof/>
          <w:lang w:val="vi-VN"/>
        </w:rPr>
        <w:lastRenderedPageBreak/>
        <mc:AlternateContent>
          <mc:Choice Requires="wpg">
            <w:drawing>
              <wp:inline distT="0" distB="0" distL="0" distR="0" wp14:anchorId="2757C680" wp14:editId="417E040E">
                <wp:extent cx="5350510" cy="3734435"/>
                <wp:effectExtent l="0" t="0" r="8890" b="12065"/>
                <wp:docPr id="16168186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3734435"/>
                          <a:chOff x="0" y="0"/>
                          <a:chExt cx="8426" cy="5881"/>
                        </a:xfrm>
                      </wpg:grpSpPr>
                      <wps:wsp>
                        <wps:cNvPr id="2118558653" name="Rectangle 7"/>
                        <wps:cNvSpPr>
                          <a:spLocks/>
                        </wps:cNvSpPr>
                        <wps:spPr bwMode="auto">
                          <a:xfrm>
                            <a:off x="14" y="6"/>
                            <a:ext cx="8411" cy="5159"/>
                          </a:xfrm>
                          <a:prstGeom prst="rect">
                            <a:avLst/>
                          </a:prstGeom>
                          <a:solidFill>
                            <a:srgbClr val="D9E0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29959" name="AutoShape 6"/>
                        <wps:cNvSpPr>
                          <a:spLocks/>
                        </wps:cNvSpPr>
                        <wps:spPr bwMode="auto">
                          <a:xfrm>
                            <a:off x="14" y="0"/>
                            <a:ext cx="8411" cy="4"/>
                          </a:xfrm>
                          <a:custGeom>
                            <a:avLst/>
                            <a:gdLst>
                              <a:gd name="T0" fmla="+- 0 8425 14"/>
                              <a:gd name="T1" fmla="*/ T0 w 8411"/>
                              <a:gd name="T2" fmla="*/ 2 h 4"/>
                              <a:gd name="T3" fmla="+- 0 14 14"/>
                              <a:gd name="T4" fmla="*/ T3 w 8411"/>
                              <a:gd name="T5" fmla="*/ 2 h 4"/>
                              <a:gd name="T6" fmla="+- 0 14 14"/>
                              <a:gd name="T7" fmla="*/ T6 w 8411"/>
                              <a:gd name="T8" fmla="*/ 4 h 4"/>
                              <a:gd name="T9" fmla="+- 0 8425 14"/>
                              <a:gd name="T10" fmla="*/ T9 w 8411"/>
                              <a:gd name="T11" fmla="*/ 4 h 4"/>
                              <a:gd name="T12" fmla="+- 0 8425 14"/>
                              <a:gd name="T13" fmla="*/ T12 w 8411"/>
                              <a:gd name="T14" fmla="*/ 2 h 4"/>
                              <a:gd name="T15" fmla="+- 0 8425 14"/>
                              <a:gd name="T16" fmla="*/ T15 w 8411"/>
                              <a:gd name="T17" fmla="*/ 0 h 4"/>
                              <a:gd name="T18" fmla="+- 0 14 14"/>
                              <a:gd name="T19" fmla="*/ T18 w 8411"/>
                              <a:gd name="T20" fmla="*/ 0 h 4"/>
                              <a:gd name="T21" fmla="+- 0 14 14"/>
                              <a:gd name="T22" fmla="*/ T21 w 8411"/>
                              <a:gd name="T23" fmla="*/ 1 h 4"/>
                              <a:gd name="T24" fmla="+- 0 8425 14"/>
                              <a:gd name="T25" fmla="*/ T24 w 8411"/>
                              <a:gd name="T26" fmla="*/ 1 h 4"/>
                              <a:gd name="T27" fmla="+- 0 8425 14"/>
                              <a:gd name="T28" fmla="*/ T27 w 8411"/>
                              <a:gd name="T29" fmla="*/ 0 h 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8411" h="4">
                                <a:moveTo>
                                  <a:pt x="8411" y="2"/>
                                </a:moveTo>
                                <a:lnTo>
                                  <a:pt x="0" y="2"/>
                                </a:lnTo>
                                <a:lnTo>
                                  <a:pt x="0" y="4"/>
                                </a:lnTo>
                                <a:lnTo>
                                  <a:pt x="8411" y="4"/>
                                </a:lnTo>
                                <a:lnTo>
                                  <a:pt x="8411" y="2"/>
                                </a:lnTo>
                                <a:close/>
                                <a:moveTo>
                                  <a:pt x="8411" y="0"/>
                                </a:moveTo>
                                <a:lnTo>
                                  <a:pt x="0" y="0"/>
                                </a:lnTo>
                                <a:lnTo>
                                  <a:pt x="0" y="1"/>
                                </a:lnTo>
                                <a:lnTo>
                                  <a:pt x="8411" y="1"/>
                                </a:lnTo>
                                <a:lnTo>
                                  <a:pt x="84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371484" name="Rectangle 5"/>
                        <wps:cNvSpPr>
                          <a:spLocks/>
                        </wps:cNvSpPr>
                        <wps:spPr bwMode="auto">
                          <a:xfrm>
                            <a:off x="14" y="3"/>
                            <a:ext cx="8411" cy="3"/>
                          </a:xfrm>
                          <a:prstGeom prst="rect">
                            <a:avLst/>
                          </a:prstGeom>
                          <a:solidFill>
                            <a:srgbClr val="D9E0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977268" name="Rectangle 4"/>
                        <wps:cNvSpPr>
                          <a:spLocks/>
                        </wps:cNvSpPr>
                        <wps:spPr bwMode="auto">
                          <a:xfrm>
                            <a:off x="0" y="5164"/>
                            <a:ext cx="8426"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0731" name="Text Box 3"/>
                        <wps:cNvSpPr txBox="1">
                          <a:spLocks/>
                        </wps:cNvSpPr>
                        <wps:spPr bwMode="auto">
                          <a:xfrm>
                            <a:off x="14" y="6"/>
                            <a:ext cx="8411" cy="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18E2" w14:textId="77777777" w:rsidR="00E1519D" w:rsidRPr="00A26E46" w:rsidRDefault="00E1519D" w:rsidP="00E1519D">
                              <w:pPr>
                                <w:ind w:left="68" w:right="102" w:hanging="17"/>
                                <w:contextualSpacing/>
                                <w:suppressOverlap/>
                                <w:jc w:val="both"/>
                                <w:rPr>
                                  <w:rFonts w:cs="Arial"/>
                                  <w:lang w:val="en-US" w:eastAsia="en-GB"/>
                                </w:rPr>
                              </w:pPr>
                              <w:r w:rsidRPr="00A26E46">
                                <w:rPr>
                                  <w:rFonts w:cs="Arial"/>
                                  <w:lang w:val="en-US" w:eastAsia="en-GB"/>
                                </w:rPr>
                                <w:t>This document has been only prepared for general</w:t>
                              </w:r>
                              <w:r w:rsidRPr="00A26E46">
                                <w:rPr>
                                  <w:lang w:val="en-US"/>
                                </w:rPr>
                                <w:t xml:space="preserve"> </w:t>
                              </w:r>
                              <w:r w:rsidRPr="00A26E46">
                                <w:rPr>
                                  <w:rFonts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FD06D2A" w14:textId="77777777" w:rsidR="00E1519D" w:rsidRPr="00A26E46" w:rsidRDefault="00E1519D" w:rsidP="00E1519D">
                              <w:pPr>
                                <w:ind w:left="68" w:right="102" w:hanging="17"/>
                                <w:contextualSpacing/>
                                <w:suppressOverlap/>
                                <w:jc w:val="both"/>
                                <w:rPr>
                                  <w:rFonts w:cs="Arial"/>
                                  <w:lang w:val="en-US" w:eastAsia="en-GB"/>
                                </w:rPr>
                              </w:pPr>
                            </w:p>
                            <w:p w14:paraId="29F8E702" w14:textId="77777777" w:rsidR="00E1519D" w:rsidRPr="00A26E46" w:rsidRDefault="00E1519D" w:rsidP="00E1519D">
                              <w:pPr>
                                <w:ind w:left="68" w:right="102" w:hanging="17"/>
                                <w:contextualSpacing/>
                                <w:suppressOverlap/>
                                <w:jc w:val="both"/>
                                <w:rPr>
                                  <w:rFonts w:cs="Arial"/>
                                  <w:lang w:val="en-US" w:eastAsia="en-GB"/>
                                </w:rPr>
                              </w:pPr>
                              <w:r w:rsidRPr="00A26E46">
                                <w:rPr>
                                  <w:rFonts w:cs="Arial"/>
                                  <w:lang w:val="en-US" w:eastAsia="en-GB"/>
                                </w:rPr>
                                <w:t>If you have or suspect that you may have a particular problem, you should contact us or your lawyer for specific advice on the matter.</w:t>
                              </w:r>
                            </w:p>
                            <w:p w14:paraId="4CC31037" w14:textId="77777777" w:rsidR="00E1519D" w:rsidRPr="00A26E46" w:rsidRDefault="00E1519D" w:rsidP="00E1519D">
                              <w:pPr>
                                <w:ind w:left="68" w:right="102" w:hanging="17"/>
                                <w:contextualSpacing/>
                                <w:suppressOverlap/>
                                <w:jc w:val="both"/>
                                <w:rPr>
                                  <w:rFonts w:cs="Arial"/>
                                  <w:lang w:val="en-US" w:eastAsia="en-GB"/>
                                </w:rPr>
                              </w:pPr>
                            </w:p>
                            <w:p w14:paraId="7251FBAC" w14:textId="77777777" w:rsidR="00E1519D" w:rsidRPr="00A26E46" w:rsidRDefault="00E1519D" w:rsidP="00E1519D">
                              <w:pPr>
                                <w:ind w:left="68" w:right="102" w:hanging="17"/>
                                <w:contextualSpacing/>
                                <w:suppressOverlap/>
                                <w:jc w:val="center"/>
                                <w:rPr>
                                  <w:rFonts w:cs="Arial"/>
                                  <w:b/>
                                  <w:bCs/>
                                  <w:lang w:val="en-US" w:eastAsia="en-GB"/>
                                </w:rPr>
                              </w:pPr>
                              <w:r w:rsidRPr="00A26E46">
                                <w:rPr>
                                  <w:rFonts w:cs="Arial"/>
                                  <w:b/>
                                  <w:bCs/>
                                  <w:lang w:val="en-US" w:eastAsia="en-GB"/>
                                </w:rPr>
                                <w:t>ADK VIE</w:t>
                              </w:r>
                              <w:r>
                                <w:rPr>
                                  <w:rFonts w:cs="Arial"/>
                                  <w:b/>
                                  <w:bCs/>
                                  <w:lang w:val="en-US" w:eastAsia="en-GB"/>
                                </w:rPr>
                                <w:t>T</w:t>
                              </w:r>
                              <w:r w:rsidRPr="00A26E46">
                                <w:rPr>
                                  <w:rFonts w:cs="Arial"/>
                                  <w:b/>
                                  <w:bCs/>
                                  <w:lang w:val="en-US" w:eastAsia="en-GB"/>
                                </w:rPr>
                                <w:t>NAM LAWYERS</w:t>
                              </w:r>
                            </w:p>
                            <w:p w14:paraId="4E30F2B0" w14:textId="77777777" w:rsidR="00E1519D" w:rsidRPr="00A26E46" w:rsidRDefault="00E1519D" w:rsidP="00E1519D">
                              <w:pPr>
                                <w:ind w:left="68" w:right="102" w:hanging="17"/>
                                <w:contextualSpacing/>
                                <w:suppressOverlap/>
                                <w:jc w:val="both"/>
                                <w:rPr>
                                  <w:rFonts w:cs="Arial"/>
                                  <w:b/>
                                  <w:bCs/>
                                  <w:lang w:val="en-US" w:eastAsia="en-GB"/>
                                </w:rPr>
                              </w:pPr>
                            </w:p>
                            <w:p w14:paraId="46DB37DB" w14:textId="77777777" w:rsidR="00E1519D" w:rsidRPr="00A26E46" w:rsidRDefault="00E1519D" w:rsidP="00E1519D">
                              <w:pPr>
                                <w:suppressOverlap/>
                                <w:rPr>
                                  <w:color w:val="000000"/>
                                  <w:lang w:val="en-US"/>
                                </w:rPr>
                              </w:pPr>
                              <w:r w:rsidRPr="00A26E46">
                                <w:rPr>
                                  <w:b/>
                                  <w:bCs/>
                                  <w:color w:val="000000"/>
                                  <w:lang w:val="en-US"/>
                                </w:rPr>
                                <w:t xml:space="preserve"> Ho Chi Minh Office</w:t>
                              </w:r>
                              <w:r w:rsidRPr="00A26E46">
                                <w:rPr>
                                  <w:color w:val="000000"/>
                                  <w:lang w:val="en-US"/>
                                </w:rPr>
                                <w:t>: Ground Fl. HBT Tower, 456-458 Hai Ba Trung Str., Tan Dinh Ward, District 1, HCM City, VN</w:t>
                              </w:r>
                            </w:p>
                            <w:p w14:paraId="62FAB84E" w14:textId="77777777" w:rsidR="00E1519D" w:rsidRPr="00A26E46" w:rsidRDefault="00E1519D" w:rsidP="00E1519D">
                              <w:pPr>
                                <w:suppressOverlap/>
                                <w:rPr>
                                  <w:color w:val="000000"/>
                                  <w:lang w:val="en-US"/>
                                </w:rPr>
                              </w:pPr>
                            </w:p>
                            <w:p w14:paraId="477D69D1" w14:textId="77777777" w:rsidR="00E1519D" w:rsidRPr="00A26E46" w:rsidRDefault="00E1519D" w:rsidP="00E1519D">
                              <w:pPr>
                                <w:suppressOverlap/>
                                <w:rPr>
                                  <w:lang w:val="en-US"/>
                                </w:rPr>
                              </w:pPr>
                              <w:r w:rsidRPr="00A26E46">
                                <w:rPr>
                                  <w:b/>
                                  <w:bCs/>
                                  <w:color w:val="000000"/>
                                  <w:lang w:val="en-US"/>
                                </w:rPr>
                                <w:t xml:space="preserve"> Ha Noi Office</w:t>
                              </w:r>
                              <w:r w:rsidRPr="00A26E46">
                                <w:rPr>
                                  <w:color w:val="000000"/>
                                  <w:lang w:val="en-US"/>
                                </w:rPr>
                                <w:t>: </w:t>
                              </w:r>
                              <w:r w:rsidRPr="00A26E46">
                                <w:rPr>
                                  <w:lang w:val="en-US"/>
                                </w:rPr>
                                <w:t xml:space="preserve"> OF-04, Level 2, Block R4, Royal City, 72A Nguyen Trai Str., Thuong Dinh Ward, Thanh Xuan District, Hanoi City, VN     </w:t>
                              </w:r>
                            </w:p>
                            <w:p w14:paraId="31515CD4" w14:textId="77777777" w:rsidR="00E1519D" w:rsidRPr="00A26E46" w:rsidRDefault="00E1519D" w:rsidP="00E1519D">
                              <w:pPr>
                                <w:suppressOverlap/>
                                <w:rPr>
                                  <w:color w:val="000000"/>
                                  <w:lang w:val="en-US"/>
                                </w:rPr>
                              </w:pPr>
                            </w:p>
                            <w:p w14:paraId="19630C0E" w14:textId="77777777" w:rsidR="00E1519D" w:rsidRPr="00A26E46" w:rsidRDefault="00E1519D" w:rsidP="00E1519D">
                              <w:pPr>
                                <w:pStyle w:val="ListParagraph"/>
                                <w:ind w:left="0"/>
                                <w:suppressOverlap/>
                                <w:jc w:val="both"/>
                                <w:rPr>
                                  <w:rFonts w:cs="Arial"/>
                                  <w:lang w:val="en-US" w:eastAsia="en-GB"/>
                                </w:rPr>
                              </w:pPr>
                              <w:r w:rsidRPr="00A26E46">
                                <w:rPr>
                                  <w:rFonts w:cs="Arial"/>
                                  <w:lang w:val="en-US" w:eastAsia="en-GB"/>
                                </w:rPr>
                                <w:t>Hotline Telephone: (+84) 28 66 79 79 66 or (+84) 939 107 387</w:t>
                              </w:r>
                            </w:p>
                            <w:p w14:paraId="07D2432A" w14:textId="77777777" w:rsidR="00E1519D" w:rsidRPr="00A26E46" w:rsidRDefault="00E1519D" w:rsidP="00E1519D">
                              <w:pPr>
                                <w:pStyle w:val="ListParagraph"/>
                                <w:ind w:left="0"/>
                                <w:suppressOverlap/>
                                <w:jc w:val="both"/>
                                <w:rPr>
                                  <w:rFonts w:cs="Arial"/>
                                  <w:lang w:val="en-US" w:eastAsia="en-GB"/>
                                </w:rPr>
                              </w:pPr>
                            </w:p>
                            <w:p w14:paraId="28676013" w14:textId="77777777" w:rsidR="00E1519D" w:rsidRDefault="00E1519D" w:rsidP="00E1519D">
                              <w:pPr>
                                <w:ind w:left="68" w:right="102" w:hanging="17"/>
                                <w:contextualSpacing/>
                                <w:suppressOverlap/>
                                <w:jc w:val="both"/>
                                <w:rPr>
                                  <w:lang w:val="vi-VN"/>
                                </w:rPr>
                              </w:pPr>
                              <w:r w:rsidRPr="00A26E46">
                                <w:rPr>
                                  <w:rFonts w:cs="Arial"/>
                                  <w:lang w:val="en-US" w:eastAsia="en-GB"/>
                                </w:rPr>
                                <w:t xml:space="preserve">Email: </w:t>
                              </w:r>
                              <w:hyperlink r:id="rId10" w:history="1">
                                <w:r w:rsidRPr="00A26E46">
                                  <w:rPr>
                                    <w:rFonts w:cs="Arial"/>
                                    <w:color w:val="0000FF"/>
                                    <w:u w:val="single"/>
                                    <w:lang w:val="en-US" w:eastAsia="en-GB"/>
                                  </w:rPr>
                                  <w:t>info@adk-lawyers.com</w:t>
                                </w:r>
                              </w:hyperlink>
                            </w:p>
                            <w:p w14:paraId="14BEC946" w14:textId="77777777" w:rsidR="00E1519D" w:rsidRDefault="00E1519D" w:rsidP="00E1519D">
                              <w:r>
                                <w:rPr>
                                  <w:u w:val="single"/>
                                </w:rPr>
                                <w:t>Website:</w:t>
                              </w:r>
                              <w:r>
                                <w:rPr>
                                  <w:spacing w:val="-5"/>
                                  <w:u w:val="single"/>
                                </w:rPr>
                                <w:t xml:space="preserve"> </w:t>
                              </w:r>
                              <w:hyperlink r:id="rId11">
                                <w:r>
                                  <w:rPr>
                                    <w:color w:val="0000FF"/>
                                    <w:u w:val="single" w:color="000000"/>
                                  </w:rPr>
                                  <w:t>www.adk-lawyers.com</w:t>
                                </w:r>
                              </w:hyperlink>
                            </w:p>
                            <w:p w14:paraId="21174500" w14:textId="77777777" w:rsidR="00E1519D" w:rsidRPr="00E1519D" w:rsidRDefault="00E1519D" w:rsidP="00E1519D">
                              <w:pPr>
                                <w:ind w:left="68" w:right="102" w:hanging="17"/>
                                <w:contextualSpacing/>
                                <w:suppressOverlap/>
                                <w:jc w:val="both"/>
                                <w:rPr>
                                  <w:rFonts w:cs="Arial"/>
                                  <w:color w:val="0000FF"/>
                                  <w:u w:val="single"/>
                                  <w:lang w:val="vi-VN" w:eastAsia="en-GB"/>
                                </w:rPr>
                              </w:pPr>
                            </w:p>
                            <w:p w14:paraId="34B5BECC" w14:textId="763C45B6" w:rsidR="00820944" w:rsidRPr="00E1519D" w:rsidRDefault="00820944" w:rsidP="00820944">
                              <w:pPr>
                                <w:rPr>
                                  <w:lang w:val="vi-VN"/>
                                </w:rPr>
                              </w:pPr>
                            </w:p>
                          </w:txbxContent>
                        </wps:txbx>
                        <wps:bodyPr rot="0" vert="horz" wrap="square" lIns="0" tIns="0" rIns="0" bIns="0" anchor="t" anchorCtr="0" upright="1">
                          <a:noAutofit/>
                        </wps:bodyPr>
                      </wps:wsp>
                    </wpg:wgp>
                  </a:graphicData>
                </a:graphic>
              </wp:inline>
            </w:drawing>
          </mc:Choice>
          <mc:Fallback>
            <w:pict>
              <v:group w14:anchorId="2757C680" id="Group 2" o:spid="_x0000_s1026" style="width:421.3pt;height:294.05pt;mso-position-horizontal-relative:char;mso-position-vertical-relative:line" coordsize="8426,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">
                <v:rect id="Rectangle 7" o:spid="_x0000_s1027" style="position:absolute;left:14;top:6;width:8411;height: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" fillcolor="#d9e0f3" stroked="f">
                  <v:path arrowok="t"/>
                </v:rect>
                <v:shape id="AutoShape 6" o:spid="_x0000_s1028" style="position:absolute;left:14;width:8411;height:4;visibility:visible;mso-wrap-style:square;v-text-anchor:top" coordsize="8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" path="m8411,2l,2,,4r8411,l8411,2xm8411,l,,,1r8411,l8411,xe" fillcolor="black" stroked="f">
                  <v:path arrowok="t" o:connecttype="custom" o:connectlocs="8411,2;0,2;0,4;8411,4;8411,2;8411,0;0,0;0,1;8411,1;8411,0" o:connectangles="0,0,0,0,0,0,0,0,0,0"/>
                </v:shape>
                <v:rect id="Rectangle 5" o:spid="_x0000_s1029" style="position:absolute;left:14;top:3;width:841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" fillcolor="#d9e0f3" stroked="f">
                  <v:path arrowok="t"/>
                </v:rect>
                <v:rect id="Rectangle 4" o:spid="_x0000_s1030" style="position:absolute;top:5164;width:842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" fillcolor="black" stroked="f">
                  <v:path arrowok="t"/>
                </v:rect>
                <v:shapetype id="_x0000_t202" coordsize="21600,21600" o:spt="202" path="m,l,21600r21600,l21600,xe">
                  <v:stroke joinstyle="miter"/>
                  <v:path gradientshapeok="t" o:connecttype="rect"/>
                </v:shapetype>
                <v:shape id="Text Box 3" o:spid="_x0000_s1031" type="#_x0000_t202" style="position:absolute;left:14;top:6;width:8411;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" filled="f" stroked="f">
                  <v:path arrowok="t"/>
                  <v:textbox inset="0,0,0,0">
                    <w:txbxContent>
                      <w:p w14:paraId="529D18E2" w14:textId="77777777" w:rsidR="00E1519D" w:rsidRPr="00A26E46" w:rsidRDefault="00E1519D" w:rsidP="00E1519D">
                        <w:pPr>
                          <w:ind w:left="68" w:right="102" w:hanging="17"/>
                          <w:contextualSpacing/>
                          <w:suppressOverlap/>
                          <w:jc w:val="both"/>
                          <w:rPr>
                            <w:rFonts w:cs="Arial"/>
                            <w:lang w:val="en-US" w:eastAsia="en-GB"/>
                          </w:rPr>
                        </w:pPr>
                        <w:r w:rsidRPr="00A26E46">
                          <w:rPr>
                            <w:rFonts w:cs="Arial"/>
                            <w:lang w:val="en-US" w:eastAsia="en-GB"/>
                          </w:rPr>
                          <w:t>This document has been only prepared for general</w:t>
                        </w:r>
                        <w:r w:rsidRPr="00A26E46">
                          <w:rPr>
                            <w:lang w:val="en-US"/>
                          </w:rPr>
                          <w:t xml:space="preserve"> </w:t>
                        </w:r>
                        <w:r w:rsidRPr="00A26E46">
                          <w:rPr>
                            <w:rFonts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FD06D2A" w14:textId="77777777" w:rsidR="00E1519D" w:rsidRPr="00A26E46" w:rsidRDefault="00E1519D" w:rsidP="00E1519D">
                        <w:pPr>
                          <w:ind w:left="68" w:right="102" w:hanging="17"/>
                          <w:contextualSpacing/>
                          <w:suppressOverlap/>
                          <w:jc w:val="both"/>
                          <w:rPr>
                            <w:rFonts w:cs="Arial"/>
                            <w:lang w:val="en-US" w:eastAsia="en-GB"/>
                          </w:rPr>
                        </w:pPr>
                      </w:p>
                      <w:p w14:paraId="29F8E702" w14:textId="77777777" w:rsidR="00E1519D" w:rsidRPr="00A26E46" w:rsidRDefault="00E1519D" w:rsidP="00E1519D">
                        <w:pPr>
                          <w:ind w:left="68" w:right="102" w:hanging="17"/>
                          <w:contextualSpacing/>
                          <w:suppressOverlap/>
                          <w:jc w:val="both"/>
                          <w:rPr>
                            <w:rFonts w:cs="Arial"/>
                            <w:lang w:val="en-US" w:eastAsia="en-GB"/>
                          </w:rPr>
                        </w:pPr>
                        <w:r w:rsidRPr="00A26E46">
                          <w:rPr>
                            <w:rFonts w:cs="Arial"/>
                            <w:lang w:val="en-US" w:eastAsia="en-GB"/>
                          </w:rPr>
                          <w:t>If you have or suspect that you may have a particular problem, you should contact us or your lawyer for specific advice on the matter.</w:t>
                        </w:r>
                      </w:p>
                      <w:p w14:paraId="4CC31037" w14:textId="77777777" w:rsidR="00E1519D" w:rsidRPr="00A26E46" w:rsidRDefault="00E1519D" w:rsidP="00E1519D">
                        <w:pPr>
                          <w:ind w:left="68" w:right="102" w:hanging="17"/>
                          <w:contextualSpacing/>
                          <w:suppressOverlap/>
                          <w:jc w:val="both"/>
                          <w:rPr>
                            <w:rFonts w:cs="Arial"/>
                            <w:lang w:val="en-US" w:eastAsia="en-GB"/>
                          </w:rPr>
                        </w:pPr>
                      </w:p>
                      <w:p w14:paraId="7251FBAC" w14:textId="77777777" w:rsidR="00E1519D" w:rsidRPr="00A26E46" w:rsidRDefault="00E1519D" w:rsidP="00E1519D">
                        <w:pPr>
                          <w:ind w:left="68" w:right="102" w:hanging="17"/>
                          <w:contextualSpacing/>
                          <w:suppressOverlap/>
                          <w:jc w:val="center"/>
                          <w:rPr>
                            <w:rFonts w:cs="Arial"/>
                            <w:b/>
                            <w:bCs/>
                            <w:lang w:val="en-US" w:eastAsia="en-GB"/>
                          </w:rPr>
                        </w:pPr>
                        <w:r w:rsidRPr="00A26E46">
                          <w:rPr>
                            <w:rFonts w:cs="Arial"/>
                            <w:b/>
                            <w:bCs/>
                            <w:lang w:val="en-US" w:eastAsia="en-GB"/>
                          </w:rPr>
                          <w:t>ADK VIE</w:t>
                        </w:r>
                        <w:r>
                          <w:rPr>
                            <w:rFonts w:cs="Arial"/>
                            <w:b/>
                            <w:bCs/>
                            <w:lang w:val="en-US" w:eastAsia="en-GB"/>
                          </w:rPr>
                          <w:t>T</w:t>
                        </w:r>
                        <w:r w:rsidRPr="00A26E46">
                          <w:rPr>
                            <w:rFonts w:cs="Arial"/>
                            <w:b/>
                            <w:bCs/>
                            <w:lang w:val="en-US" w:eastAsia="en-GB"/>
                          </w:rPr>
                          <w:t>NAM LAWYERS</w:t>
                        </w:r>
                      </w:p>
                      <w:p w14:paraId="4E30F2B0" w14:textId="77777777" w:rsidR="00E1519D" w:rsidRPr="00A26E46" w:rsidRDefault="00E1519D" w:rsidP="00E1519D">
                        <w:pPr>
                          <w:ind w:left="68" w:right="102" w:hanging="17"/>
                          <w:contextualSpacing/>
                          <w:suppressOverlap/>
                          <w:jc w:val="both"/>
                          <w:rPr>
                            <w:rFonts w:cs="Arial"/>
                            <w:b/>
                            <w:bCs/>
                            <w:lang w:val="en-US" w:eastAsia="en-GB"/>
                          </w:rPr>
                        </w:pPr>
                      </w:p>
                      <w:p w14:paraId="46DB37DB" w14:textId="77777777" w:rsidR="00E1519D" w:rsidRPr="00A26E46" w:rsidRDefault="00E1519D" w:rsidP="00E1519D">
                        <w:pPr>
                          <w:suppressOverlap/>
                          <w:rPr>
                            <w:color w:val="000000"/>
                            <w:lang w:val="en-US"/>
                          </w:rPr>
                        </w:pPr>
                        <w:r w:rsidRPr="00A26E46">
                          <w:rPr>
                            <w:b/>
                            <w:bCs/>
                            <w:color w:val="000000"/>
                            <w:lang w:val="en-US"/>
                          </w:rPr>
                          <w:t xml:space="preserve"> Ho Chi Minh Office</w:t>
                        </w:r>
                        <w:r w:rsidRPr="00A26E46">
                          <w:rPr>
                            <w:color w:val="000000"/>
                            <w:lang w:val="en-US"/>
                          </w:rPr>
                          <w:t>: Ground Fl. HBT Tower, 456-458 Hai Ba Trung Str., Tan Dinh Ward, District 1, HCM City, VN</w:t>
                        </w:r>
                      </w:p>
                      <w:p w14:paraId="62FAB84E" w14:textId="77777777" w:rsidR="00E1519D" w:rsidRPr="00A26E46" w:rsidRDefault="00E1519D" w:rsidP="00E1519D">
                        <w:pPr>
                          <w:suppressOverlap/>
                          <w:rPr>
                            <w:color w:val="000000"/>
                            <w:lang w:val="en-US"/>
                          </w:rPr>
                        </w:pPr>
                      </w:p>
                      <w:p w14:paraId="477D69D1" w14:textId="77777777" w:rsidR="00E1519D" w:rsidRPr="00A26E46" w:rsidRDefault="00E1519D" w:rsidP="00E1519D">
                        <w:pPr>
                          <w:suppressOverlap/>
                          <w:rPr>
                            <w:lang w:val="en-US"/>
                          </w:rPr>
                        </w:pPr>
                        <w:r w:rsidRPr="00A26E46">
                          <w:rPr>
                            <w:b/>
                            <w:bCs/>
                            <w:color w:val="000000"/>
                            <w:lang w:val="en-US"/>
                          </w:rPr>
                          <w:t xml:space="preserve"> Ha Noi Office</w:t>
                        </w:r>
                        <w:r w:rsidRPr="00A26E46">
                          <w:rPr>
                            <w:color w:val="000000"/>
                            <w:lang w:val="en-US"/>
                          </w:rPr>
                          <w:t>: </w:t>
                        </w:r>
                        <w:r w:rsidRPr="00A26E46">
                          <w:rPr>
                            <w:lang w:val="en-US"/>
                          </w:rPr>
                          <w:t xml:space="preserve"> OF-04, Level 2, Block R4, Royal City, 72A Nguyen Trai Str., Thuong Dinh Ward, Thanh Xuan District, Hanoi City, VN     </w:t>
                        </w:r>
                      </w:p>
                      <w:p w14:paraId="31515CD4" w14:textId="77777777" w:rsidR="00E1519D" w:rsidRPr="00A26E46" w:rsidRDefault="00E1519D" w:rsidP="00E1519D">
                        <w:pPr>
                          <w:suppressOverlap/>
                          <w:rPr>
                            <w:color w:val="000000"/>
                            <w:lang w:val="en-US"/>
                          </w:rPr>
                        </w:pPr>
                      </w:p>
                      <w:p w14:paraId="19630C0E" w14:textId="77777777" w:rsidR="00E1519D" w:rsidRPr="00A26E46" w:rsidRDefault="00E1519D" w:rsidP="00E1519D">
                        <w:pPr>
                          <w:pStyle w:val="ListParagraph"/>
                          <w:ind w:left="0"/>
                          <w:suppressOverlap/>
                          <w:jc w:val="both"/>
                          <w:rPr>
                            <w:rFonts w:cs="Arial"/>
                            <w:lang w:val="en-US" w:eastAsia="en-GB"/>
                          </w:rPr>
                        </w:pPr>
                        <w:r w:rsidRPr="00A26E46">
                          <w:rPr>
                            <w:rFonts w:cs="Arial"/>
                            <w:lang w:val="en-US" w:eastAsia="en-GB"/>
                          </w:rPr>
                          <w:t>Hotline Telephone: (+84) 28 66 79 79 66 or (+84) 939 107 387</w:t>
                        </w:r>
                      </w:p>
                      <w:p w14:paraId="07D2432A" w14:textId="77777777" w:rsidR="00E1519D" w:rsidRPr="00A26E46" w:rsidRDefault="00E1519D" w:rsidP="00E1519D">
                        <w:pPr>
                          <w:pStyle w:val="ListParagraph"/>
                          <w:ind w:left="0"/>
                          <w:suppressOverlap/>
                          <w:jc w:val="both"/>
                          <w:rPr>
                            <w:rFonts w:cs="Arial"/>
                            <w:lang w:val="en-US" w:eastAsia="en-GB"/>
                          </w:rPr>
                        </w:pPr>
                      </w:p>
                      <w:p w14:paraId="28676013" w14:textId="77777777" w:rsidR="00E1519D" w:rsidRDefault="00E1519D" w:rsidP="00E1519D">
                        <w:pPr>
                          <w:ind w:left="68" w:right="102" w:hanging="17"/>
                          <w:contextualSpacing/>
                          <w:suppressOverlap/>
                          <w:jc w:val="both"/>
                          <w:rPr>
                            <w:lang w:val="vi-VN"/>
                          </w:rPr>
                        </w:pPr>
                        <w:r w:rsidRPr="00A26E46">
                          <w:rPr>
                            <w:rFonts w:cs="Arial"/>
                            <w:lang w:val="en-US" w:eastAsia="en-GB"/>
                          </w:rPr>
                          <w:t xml:space="preserve">Email: </w:t>
                        </w:r>
                        <w:hyperlink r:id="rId12" w:history="1">
                          <w:r w:rsidRPr="00A26E46">
                            <w:rPr>
                              <w:rFonts w:cs="Arial"/>
                              <w:color w:val="0000FF"/>
                              <w:u w:val="single"/>
                              <w:lang w:val="en-US" w:eastAsia="en-GB"/>
                            </w:rPr>
                            <w:t>info@adk-lawyers.com</w:t>
                          </w:r>
                        </w:hyperlink>
                      </w:p>
                      <w:p w14:paraId="14BEC946" w14:textId="77777777" w:rsidR="00E1519D" w:rsidRDefault="00E1519D" w:rsidP="00E1519D">
                        <w:r>
                          <w:rPr>
                            <w:u w:val="single"/>
                          </w:rPr>
                          <w:t>Website:</w:t>
                        </w:r>
                        <w:r>
                          <w:rPr>
                            <w:spacing w:val="-5"/>
                            <w:u w:val="single"/>
                          </w:rPr>
                          <w:t xml:space="preserve"> </w:t>
                        </w:r>
                        <w:hyperlink r:id="rId13">
                          <w:r>
                            <w:rPr>
                              <w:color w:val="0000FF"/>
                              <w:u w:val="single" w:color="000000"/>
                            </w:rPr>
                            <w:t>www.adk-lawyers.com</w:t>
                          </w:r>
                        </w:hyperlink>
                      </w:p>
                      <w:p w14:paraId="21174500" w14:textId="77777777" w:rsidR="00E1519D" w:rsidRPr="00E1519D" w:rsidRDefault="00E1519D" w:rsidP="00E1519D">
                        <w:pPr>
                          <w:ind w:left="68" w:right="102" w:hanging="17"/>
                          <w:contextualSpacing/>
                          <w:suppressOverlap/>
                          <w:jc w:val="both"/>
                          <w:rPr>
                            <w:rFonts w:cs="Arial"/>
                            <w:color w:val="0000FF"/>
                            <w:u w:val="single"/>
                            <w:lang w:val="vi-VN" w:eastAsia="en-GB"/>
                          </w:rPr>
                        </w:pPr>
                      </w:p>
                      <w:p w14:paraId="34B5BECC" w14:textId="763C45B6" w:rsidR="00820944" w:rsidRPr="00E1519D" w:rsidRDefault="00820944" w:rsidP="00820944">
                        <w:pPr>
                          <w:rPr>
                            <w:lang w:val="vi-VN"/>
                          </w:rPr>
                        </w:pPr>
                      </w:p>
                    </w:txbxContent>
                  </v:textbox>
                </v:shape>
                <w10:anchorlock/>
              </v:group>
            </w:pict>
          </mc:Fallback>
        </mc:AlternateContent>
      </w:r>
    </w:p>
    <w:p w14:paraId="1882738D" w14:textId="77777777" w:rsidR="00820944" w:rsidRDefault="00820944" w:rsidP="009B20A3">
      <w:pPr>
        <w:pStyle w:val="Heading1"/>
        <w:spacing w:before="1"/>
        <w:ind w:left="142"/>
        <w:rPr>
          <w:lang w:val="vi-VN"/>
        </w:rPr>
      </w:pPr>
    </w:p>
    <w:p w14:paraId="561A7540" w14:textId="77777777" w:rsidR="00820944" w:rsidRDefault="00820944" w:rsidP="009B20A3">
      <w:pPr>
        <w:pStyle w:val="Heading1"/>
        <w:spacing w:before="1"/>
        <w:ind w:left="142"/>
        <w:rPr>
          <w:lang w:val="vi-VN"/>
        </w:rPr>
      </w:pPr>
    </w:p>
    <w:bookmarkEnd w:id="0"/>
    <w:p w14:paraId="2FDF8A31" w14:textId="77777777" w:rsidR="00B465EB" w:rsidRPr="00E44D1B" w:rsidRDefault="00B465EB" w:rsidP="00B465EB">
      <w:pPr>
        <w:tabs>
          <w:tab w:val="left" w:pos="3212"/>
        </w:tabs>
        <w:rPr>
          <w:lang w:val="vi-VN"/>
        </w:rPr>
      </w:pPr>
    </w:p>
    <w:sectPr w:rsidR="00B465EB" w:rsidRPr="00E44D1B">
      <w:headerReference w:type="default" r:id="rId14"/>
      <w:footerReference w:type="default" r:id="rId15"/>
      <w:pgSz w:w="12240" w:h="15840"/>
      <w:pgMar w:top="2280" w:right="900" w:bottom="740" w:left="1180" w:header="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8862" w14:textId="77777777" w:rsidR="00C72ACF" w:rsidRDefault="00C72ACF">
      <w:r>
        <w:separator/>
      </w:r>
    </w:p>
  </w:endnote>
  <w:endnote w:type="continuationSeparator" w:id="0">
    <w:p w14:paraId="4A3A87E7" w14:textId="77777777" w:rsidR="00C72ACF" w:rsidRDefault="00C7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anFranciscoDisplayRegular">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E298" w14:textId="77777777" w:rsidR="004F31D2" w:rsidRDefault="00000000">
    <w:pPr>
      <w:pStyle w:val="BodyText"/>
      <w:spacing w:line="14" w:lineRule="auto"/>
      <w:rPr>
        <w:sz w:val="20"/>
      </w:rPr>
    </w:pPr>
    <w:r>
      <w:pict w14:anchorId="296DE2A1">
        <v:shape id="_x0000_s1026" alt="" style="position:absolute;margin-left:64.6pt;margin-top:750.9pt;width:493.5pt;height:27.6pt;z-index:-15809024;mso-wrap-edited:f;mso-width-percent:0;mso-height-percent:0;mso-position-horizontal-relative:page;mso-position-vertical-relative:page;mso-width-percent:0;mso-height-percent:0" coordsize="9870,552" path="m9870,r-9,l9861,10r,534l10,544,10,10r9851,l9861,,,,,10,,544r,8l9870,552r,-8l9870,xe" fillcolor="gray" stroked="f">
          <v:path arrowok="t" o:connecttype="custom" o:connectlocs="2147483646,2147483646;2147483646,2147483646;2147483646,2147483646;2147483646,2147483646;2147483646,2147483646;2147483646,2147483646;2147483646,2147483646;2147483646,2147483646;0,2147483646;0,2147483646;0,2147483646;0,2147483646;2147483646,2147483646;2147483646,2147483646;2147483646,2147483646" o:connectangles="0,0,0,0,0,0,0,0,0,0,0,0,0,0,0"/>
          <w10:wrap anchorx="page" anchory="page"/>
        </v:shape>
      </w:pict>
    </w:r>
    <w:r>
      <w:pict w14:anchorId="296DE2A2">
        <v:shapetype id="_x0000_t202" coordsize="21600,21600" o:spt="202" path="m,l,21600r21600,l21600,xe">
          <v:stroke joinstyle="miter"/>
          <v:path gradientshapeok="t" o:connecttype="rect"/>
        </v:shapetype>
        <v:shape id="_x0000_s1025" type="#_x0000_t202" alt="" style="position:absolute;margin-left:263.9pt;margin-top:753.95pt;width:97.7pt;height:23.85pt;z-index:-15808512;mso-wrap-style:square;mso-wrap-edited:f;mso-width-percent:0;mso-height-percent:0;mso-position-horizontal-relative:page;mso-position-vertical-relative:page;mso-width-percent:0;mso-height-percent:0;v-text-anchor:top" filled="f" stroked="f">
          <v:textbox inset="0,0,0,0">
            <w:txbxContent>
              <w:p w14:paraId="296DE2B6" w14:textId="77777777" w:rsidR="004F31D2" w:rsidRDefault="003B5154">
                <w:pPr>
                  <w:spacing w:line="206" w:lineRule="exact"/>
                  <w:ind w:left="20"/>
                  <w:rPr>
                    <w:rFonts w:ascii="Palatino Linotype"/>
                    <w:b/>
                    <w:sz w:val="18"/>
                  </w:rPr>
                </w:pPr>
                <w:r>
                  <w:rPr>
                    <w:rFonts w:ascii="Palatino Linotype"/>
                    <w:b/>
                    <w:sz w:val="18"/>
                  </w:rPr>
                  <w:t>ADK</w:t>
                </w:r>
                <w:r>
                  <w:rPr>
                    <w:rFonts w:ascii="Palatino Linotype"/>
                    <w:b/>
                    <w:spacing w:val="-4"/>
                    <w:sz w:val="18"/>
                  </w:rPr>
                  <w:t xml:space="preserve"> </w:t>
                </w:r>
                <w:r>
                  <w:rPr>
                    <w:rFonts w:ascii="Palatino Linotype"/>
                    <w:b/>
                    <w:sz w:val="18"/>
                  </w:rPr>
                  <w:t>Vietnam</w:t>
                </w:r>
                <w:r>
                  <w:rPr>
                    <w:rFonts w:ascii="Palatino Linotype"/>
                    <w:b/>
                    <w:spacing w:val="-4"/>
                    <w:sz w:val="18"/>
                  </w:rPr>
                  <w:t xml:space="preserve"> </w:t>
                </w:r>
                <w:r>
                  <w:rPr>
                    <w:rFonts w:ascii="Palatino Linotype"/>
                    <w:b/>
                    <w:sz w:val="18"/>
                  </w:rPr>
                  <w:t>Lawyers</w:t>
                </w:r>
              </w:p>
              <w:p w14:paraId="296DE2B7" w14:textId="77777777" w:rsidR="004F31D2" w:rsidRDefault="003B5154">
                <w:pPr>
                  <w:spacing w:before="10"/>
                  <w:ind w:left="45"/>
                  <w:rPr>
                    <w:rFonts w:ascii="Palatino Linotype"/>
                    <w:sz w:val="18"/>
                  </w:rPr>
                </w:pPr>
                <w:hyperlink r:id="rId1">
                  <w:r>
                    <w:rPr>
                      <w:rFonts w:ascii="Palatino Linotype"/>
                      <w:color w:val="0000FF"/>
                      <w:sz w:val="18"/>
                      <w:u w:val="single" w:color="0000FF"/>
                    </w:rPr>
                    <w:t>www.adk-lawyers.com</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3DACD" w14:textId="77777777" w:rsidR="00C72ACF" w:rsidRDefault="00C72ACF">
      <w:r>
        <w:separator/>
      </w:r>
    </w:p>
  </w:footnote>
  <w:footnote w:type="continuationSeparator" w:id="0">
    <w:p w14:paraId="458B1168" w14:textId="77777777" w:rsidR="00C72ACF" w:rsidRDefault="00C7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E297" w14:textId="77777777" w:rsidR="004F31D2" w:rsidRDefault="003B5154">
    <w:pPr>
      <w:pStyle w:val="BodyText"/>
      <w:spacing w:line="14" w:lineRule="auto"/>
      <w:rPr>
        <w:sz w:val="20"/>
      </w:rPr>
    </w:pPr>
    <w:r>
      <w:rPr>
        <w:noProof/>
      </w:rPr>
      <w:drawing>
        <wp:anchor distT="0" distB="0" distL="0" distR="0" simplePos="0" relativeHeight="487506944" behindDoc="1" locked="0" layoutInCell="1" allowOverlap="1" wp14:anchorId="296DE29F" wp14:editId="296DE2A0">
          <wp:simplePos x="0" y="0"/>
          <wp:positionH relativeFrom="page">
            <wp:posOffset>0</wp:posOffset>
          </wp:positionH>
          <wp:positionV relativeFrom="page">
            <wp:posOffset>0</wp:posOffset>
          </wp:positionV>
          <wp:extent cx="7740649" cy="14554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740649" cy="145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0A"/>
    <w:multiLevelType w:val="hybridMultilevel"/>
    <w:tmpl w:val="830285CC"/>
    <w:lvl w:ilvl="0" w:tplc="FFFFFFFF">
      <w:start w:val="1"/>
      <w:numFmt w:val="lowerLetter"/>
      <w:lvlText w:val="%1."/>
      <w:lvlJc w:val="left"/>
      <w:pPr>
        <w:ind w:left="1429" w:hanging="360"/>
      </w:pPr>
      <w:rPr>
        <w:rFonts w:hint="default"/>
        <w:i/>
        <w:i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50C43F5"/>
    <w:multiLevelType w:val="hybridMultilevel"/>
    <w:tmpl w:val="6824A83E"/>
    <w:lvl w:ilvl="0" w:tplc="04090001">
      <w:start w:val="1"/>
      <w:numFmt w:val="bullet"/>
      <w:lvlText w:val=""/>
      <w:lvlJc w:val="left"/>
      <w:pPr>
        <w:ind w:left="1429" w:hanging="360"/>
      </w:pPr>
      <w:rPr>
        <w:rFonts w:ascii="Symbol" w:hAnsi="Symbol" w:hint="default"/>
        <w:b w:val="0"/>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E6D2665"/>
    <w:multiLevelType w:val="hybridMultilevel"/>
    <w:tmpl w:val="79507E54"/>
    <w:lvl w:ilvl="0" w:tplc="6A280C7E">
      <w:start w:val="1"/>
      <w:numFmt w:val="lowerLetter"/>
      <w:lvlText w:val="%1."/>
      <w:lvlJc w:val="left"/>
      <w:pPr>
        <w:ind w:left="1658" w:hanging="360"/>
      </w:pPr>
      <w:rPr>
        <w:rFonts w:hint="default"/>
        <w:i w:val="0"/>
        <w:iCs w:val="0"/>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3" w15:restartNumberingAfterBreak="0">
    <w:nsid w:val="10C62CB3"/>
    <w:multiLevelType w:val="hybridMultilevel"/>
    <w:tmpl w:val="F53801DE"/>
    <w:lvl w:ilvl="0" w:tplc="04963B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56EBA"/>
    <w:multiLevelType w:val="hybridMultilevel"/>
    <w:tmpl w:val="30745CD8"/>
    <w:lvl w:ilvl="0" w:tplc="04963B5A">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 w15:restartNumberingAfterBreak="0">
    <w:nsid w:val="16CE1A37"/>
    <w:multiLevelType w:val="hybridMultilevel"/>
    <w:tmpl w:val="0AC22A5E"/>
    <w:lvl w:ilvl="0" w:tplc="385A1C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79157EF"/>
    <w:multiLevelType w:val="hybridMultilevel"/>
    <w:tmpl w:val="830285CC"/>
    <w:lvl w:ilvl="0" w:tplc="4B300526">
      <w:start w:val="1"/>
      <w:numFmt w:val="lowerLetter"/>
      <w:lvlText w:val="%1."/>
      <w:lvlJc w:val="left"/>
      <w:pPr>
        <w:ind w:left="1429" w:hanging="360"/>
      </w:pPr>
      <w:rPr>
        <w:rFonts w:hint="default"/>
        <w:i/>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8C87258"/>
    <w:multiLevelType w:val="hybridMultilevel"/>
    <w:tmpl w:val="E83AA856"/>
    <w:lvl w:ilvl="0" w:tplc="04963B5A">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1A432360"/>
    <w:multiLevelType w:val="hybridMultilevel"/>
    <w:tmpl w:val="C6845958"/>
    <w:lvl w:ilvl="0" w:tplc="52DAE01E">
      <w:numFmt w:val="bullet"/>
      <w:lvlText w:val="-"/>
      <w:lvlJc w:val="left"/>
      <w:pPr>
        <w:ind w:left="1713" w:hanging="360"/>
      </w:pPr>
      <w:rPr>
        <w:rFonts w:ascii="Arial" w:eastAsia="Arial" w:hAnsi="Arial" w:cs="Arial" w:hint="default"/>
        <w:w w:val="100"/>
        <w:sz w:val="22"/>
        <w:szCs w:val="22"/>
        <w:lang w:val="vi" w:eastAsia="en-US" w:bidi="ar-SA"/>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1D4E671A"/>
    <w:multiLevelType w:val="hybridMultilevel"/>
    <w:tmpl w:val="2C66BA4A"/>
    <w:lvl w:ilvl="0" w:tplc="52DAE01E">
      <w:numFmt w:val="bullet"/>
      <w:lvlText w:val="-"/>
      <w:lvlJc w:val="left"/>
      <w:pPr>
        <w:ind w:left="4472" w:hanging="360"/>
      </w:pPr>
      <w:rPr>
        <w:rFonts w:ascii="Arial" w:eastAsia="Arial" w:hAnsi="Arial" w:cs="Arial" w:hint="default"/>
        <w:w w:val="100"/>
        <w:sz w:val="22"/>
        <w:szCs w:val="22"/>
        <w:lang w:val="vi" w:eastAsia="en-US" w:bidi="ar-SA"/>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10" w15:restartNumberingAfterBreak="0">
    <w:nsid w:val="38DB7A11"/>
    <w:multiLevelType w:val="multilevel"/>
    <w:tmpl w:val="2B9EDA9C"/>
    <w:styleLink w:val="CurrentList1"/>
    <w:lvl w:ilvl="0">
      <w:start w:val="1"/>
      <w:numFmt w:val="lowerRoman"/>
      <w:lvlText w:val="(%1)"/>
      <w:lvlJc w:val="left"/>
      <w:pPr>
        <w:ind w:left="1669" w:hanging="360"/>
      </w:pPr>
      <w:rPr>
        <w:rFonts w:hint="default"/>
        <w:b w:val="0"/>
        <w:bCs w:val="0"/>
      </w:rPr>
    </w:lvl>
    <w:lvl w:ilvl="1">
      <w:start w:val="1"/>
      <w:numFmt w:val="bullet"/>
      <w:lvlText w:val=""/>
      <w:lvlJc w:val="left"/>
      <w:pPr>
        <w:ind w:left="2389" w:hanging="360"/>
      </w:pPr>
      <w:rPr>
        <w:rFonts w:ascii="Symbol" w:hAnsi="Symbol" w:hint="default"/>
      </w:rPr>
    </w:lvl>
    <w:lvl w:ilvl="2">
      <w:start w:val="1"/>
      <w:numFmt w:val="lowerRoman"/>
      <w:lvlText w:val="%3."/>
      <w:lvlJc w:val="right"/>
      <w:pPr>
        <w:ind w:left="3109" w:hanging="180"/>
      </w:pPr>
    </w:lvl>
    <w:lvl w:ilvl="3">
      <w:start w:val="1"/>
      <w:numFmt w:val="decimal"/>
      <w:lvlText w:val="%4."/>
      <w:lvlJc w:val="left"/>
      <w:pPr>
        <w:ind w:left="3829" w:hanging="360"/>
      </w:pPr>
    </w:lvl>
    <w:lvl w:ilvl="4">
      <w:start w:val="1"/>
      <w:numFmt w:val="lowerLetter"/>
      <w:lvlText w:val="%5."/>
      <w:lvlJc w:val="left"/>
      <w:pPr>
        <w:ind w:left="4549" w:hanging="360"/>
      </w:pPr>
    </w:lvl>
    <w:lvl w:ilvl="5">
      <w:start w:val="1"/>
      <w:numFmt w:val="lowerRoman"/>
      <w:lvlText w:val="%6."/>
      <w:lvlJc w:val="right"/>
      <w:pPr>
        <w:ind w:left="5269" w:hanging="180"/>
      </w:pPr>
    </w:lvl>
    <w:lvl w:ilvl="6">
      <w:start w:val="1"/>
      <w:numFmt w:val="decimal"/>
      <w:lvlText w:val="%7."/>
      <w:lvlJc w:val="left"/>
      <w:pPr>
        <w:ind w:left="5989" w:hanging="360"/>
      </w:pPr>
    </w:lvl>
    <w:lvl w:ilvl="7">
      <w:start w:val="1"/>
      <w:numFmt w:val="lowerLetter"/>
      <w:lvlText w:val="%8."/>
      <w:lvlJc w:val="left"/>
      <w:pPr>
        <w:ind w:left="6709" w:hanging="360"/>
      </w:pPr>
    </w:lvl>
    <w:lvl w:ilvl="8">
      <w:start w:val="1"/>
      <w:numFmt w:val="lowerRoman"/>
      <w:lvlText w:val="%9."/>
      <w:lvlJc w:val="right"/>
      <w:pPr>
        <w:ind w:left="7429" w:hanging="180"/>
      </w:pPr>
    </w:lvl>
  </w:abstractNum>
  <w:abstractNum w:abstractNumId="11" w15:restartNumberingAfterBreak="0">
    <w:nsid w:val="40DD284C"/>
    <w:multiLevelType w:val="hybridMultilevel"/>
    <w:tmpl w:val="3294BC94"/>
    <w:lvl w:ilvl="0" w:tplc="04963B5A">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15:restartNumberingAfterBreak="0">
    <w:nsid w:val="42143AFF"/>
    <w:multiLevelType w:val="hybridMultilevel"/>
    <w:tmpl w:val="1D222BC2"/>
    <w:lvl w:ilvl="0" w:tplc="B48AA460">
      <w:start w:val="1"/>
      <w:numFmt w:val="lowerRoman"/>
      <w:lvlText w:val="(%1)"/>
      <w:lvlJc w:val="left"/>
      <w:pPr>
        <w:ind w:left="1669" w:hanging="360"/>
      </w:pPr>
      <w:rPr>
        <w:rFonts w:hint="default"/>
        <w:b w:val="0"/>
        <w:bCs w:val="0"/>
      </w:rPr>
    </w:lvl>
    <w:lvl w:ilvl="1" w:tplc="2266E86E">
      <w:start w:val="1"/>
      <w:numFmt w:val="lowerLetter"/>
      <w:lvlText w:val="%2."/>
      <w:lvlJc w:val="left"/>
      <w:pPr>
        <w:ind w:left="2389" w:hanging="360"/>
      </w:pPr>
      <w:rPr>
        <w:rFonts w:hint="default"/>
        <w:b/>
        <w:bCs w:val="0"/>
        <w:i/>
        <w:iCs/>
      </w:r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13" w15:restartNumberingAfterBreak="0">
    <w:nsid w:val="49DE126A"/>
    <w:multiLevelType w:val="hybridMultilevel"/>
    <w:tmpl w:val="5EC8AADE"/>
    <w:lvl w:ilvl="0" w:tplc="04963B5A">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4D6B4969"/>
    <w:multiLevelType w:val="hybridMultilevel"/>
    <w:tmpl w:val="FF54DB80"/>
    <w:lvl w:ilvl="0" w:tplc="04963B5A">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53B46756"/>
    <w:multiLevelType w:val="hybridMultilevel"/>
    <w:tmpl w:val="552A841C"/>
    <w:lvl w:ilvl="0" w:tplc="FFFFFFFF">
      <w:start w:val="1"/>
      <w:numFmt w:val="lowerRoman"/>
      <w:lvlText w:val="(%1)"/>
      <w:lvlJc w:val="left"/>
      <w:pPr>
        <w:ind w:left="1429" w:hanging="360"/>
      </w:pPr>
      <w:rPr>
        <w:rFonts w:hint="default"/>
        <w:b w:val="0"/>
        <w:bCs w:val="0"/>
      </w:rPr>
    </w:lvl>
    <w:lvl w:ilvl="1" w:tplc="776CDA6E">
      <w:start w:val="1"/>
      <w:numFmt w:val="bullet"/>
      <w:lvlText w:val=""/>
      <w:lvlJc w:val="left"/>
      <w:pPr>
        <w:ind w:left="214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5D0E2D69"/>
    <w:multiLevelType w:val="hybridMultilevel"/>
    <w:tmpl w:val="A3E07122"/>
    <w:lvl w:ilvl="0" w:tplc="04963B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B46A8"/>
    <w:multiLevelType w:val="hybridMultilevel"/>
    <w:tmpl w:val="94CE1D00"/>
    <w:lvl w:ilvl="0" w:tplc="FE0EF822">
      <w:start w:val="1"/>
      <w:numFmt w:val="lowerRoman"/>
      <w:lvlText w:val="(%1)"/>
      <w:lvlJc w:val="left"/>
      <w:pPr>
        <w:ind w:left="1429" w:hanging="360"/>
      </w:pPr>
      <w:rPr>
        <w:rFonts w:hint="default"/>
        <w:b/>
        <w:bCs/>
      </w:rPr>
    </w:lvl>
    <w:lvl w:ilvl="1" w:tplc="F9EA3286">
      <w:numFmt w:val="bullet"/>
      <w:lvlText w:val="-"/>
      <w:lvlJc w:val="left"/>
      <w:pPr>
        <w:ind w:left="2149" w:hanging="360"/>
      </w:pPr>
      <w:rPr>
        <w:rFonts w:ascii="Cambria" w:eastAsia="Cambria" w:hAnsi="Cambria" w:cs="Cambria"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F8A5FA3"/>
    <w:multiLevelType w:val="hybridMultilevel"/>
    <w:tmpl w:val="7004A4F8"/>
    <w:lvl w:ilvl="0" w:tplc="04963B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8F69DC"/>
    <w:multiLevelType w:val="hybridMultilevel"/>
    <w:tmpl w:val="D6C618B2"/>
    <w:lvl w:ilvl="0" w:tplc="BC1C2118">
      <w:start w:val="1"/>
      <w:numFmt w:val="decimal"/>
      <w:lvlText w:val="%1."/>
      <w:lvlJc w:val="left"/>
      <w:pPr>
        <w:ind w:left="949" w:hanging="640"/>
        <w:jc w:val="right"/>
      </w:pPr>
      <w:rPr>
        <w:rFonts w:ascii="Cambria" w:eastAsia="Cambria" w:hAnsi="Cambria" w:cs="Cambria" w:hint="default"/>
        <w:b/>
        <w:bCs/>
        <w:spacing w:val="-1"/>
        <w:w w:val="99"/>
        <w:sz w:val="22"/>
        <w:szCs w:val="22"/>
        <w:lang w:val="vi" w:eastAsia="en-US" w:bidi="ar-SA"/>
      </w:rPr>
    </w:lvl>
    <w:lvl w:ilvl="1" w:tplc="15F4AF30">
      <w:start w:val="1"/>
      <w:numFmt w:val="lowerRoman"/>
      <w:lvlText w:val="(%2)"/>
      <w:lvlJc w:val="left"/>
      <w:pPr>
        <w:ind w:left="1670" w:hanging="701"/>
      </w:pPr>
      <w:rPr>
        <w:rFonts w:ascii="Cambria" w:eastAsia="Cambria" w:hAnsi="Cambria" w:cs="Cambria" w:hint="default"/>
        <w:spacing w:val="-1"/>
        <w:w w:val="98"/>
        <w:sz w:val="22"/>
        <w:szCs w:val="22"/>
        <w:lang w:val="vi" w:eastAsia="en-US" w:bidi="ar-SA"/>
      </w:rPr>
    </w:lvl>
    <w:lvl w:ilvl="2" w:tplc="70608AF0">
      <w:numFmt w:val="bullet"/>
      <w:lvlText w:val="•"/>
      <w:lvlJc w:val="left"/>
      <w:pPr>
        <w:ind w:left="1680" w:hanging="701"/>
      </w:pPr>
      <w:rPr>
        <w:rFonts w:hint="default"/>
        <w:lang w:val="vi" w:eastAsia="en-US" w:bidi="ar-SA"/>
      </w:rPr>
    </w:lvl>
    <w:lvl w:ilvl="3" w:tplc="AAB432EE">
      <w:numFmt w:val="bullet"/>
      <w:lvlText w:val="•"/>
      <w:lvlJc w:val="left"/>
      <w:pPr>
        <w:ind w:left="1740" w:hanging="701"/>
      </w:pPr>
      <w:rPr>
        <w:rFonts w:hint="default"/>
        <w:lang w:val="vi" w:eastAsia="en-US" w:bidi="ar-SA"/>
      </w:rPr>
    </w:lvl>
    <w:lvl w:ilvl="4" w:tplc="1F3E03C0">
      <w:numFmt w:val="bullet"/>
      <w:lvlText w:val="•"/>
      <w:lvlJc w:val="left"/>
      <w:pPr>
        <w:ind w:left="2942" w:hanging="701"/>
      </w:pPr>
      <w:rPr>
        <w:rFonts w:hint="default"/>
        <w:lang w:val="vi" w:eastAsia="en-US" w:bidi="ar-SA"/>
      </w:rPr>
    </w:lvl>
    <w:lvl w:ilvl="5" w:tplc="2304B8C6">
      <w:numFmt w:val="bullet"/>
      <w:lvlText w:val="•"/>
      <w:lvlJc w:val="left"/>
      <w:pPr>
        <w:ind w:left="4145" w:hanging="701"/>
      </w:pPr>
      <w:rPr>
        <w:rFonts w:hint="default"/>
        <w:lang w:val="vi" w:eastAsia="en-US" w:bidi="ar-SA"/>
      </w:rPr>
    </w:lvl>
    <w:lvl w:ilvl="6" w:tplc="FEFA6C0A">
      <w:numFmt w:val="bullet"/>
      <w:lvlText w:val="•"/>
      <w:lvlJc w:val="left"/>
      <w:pPr>
        <w:ind w:left="5348" w:hanging="701"/>
      </w:pPr>
      <w:rPr>
        <w:rFonts w:hint="default"/>
        <w:lang w:val="vi" w:eastAsia="en-US" w:bidi="ar-SA"/>
      </w:rPr>
    </w:lvl>
    <w:lvl w:ilvl="7" w:tplc="334A233C">
      <w:numFmt w:val="bullet"/>
      <w:lvlText w:val="•"/>
      <w:lvlJc w:val="left"/>
      <w:pPr>
        <w:ind w:left="6551" w:hanging="701"/>
      </w:pPr>
      <w:rPr>
        <w:rFonts w:hint="default"/>
        <w:lang w:val="vi" w:eastAsia="en-US" w:bidi="ar-SA"/>
      </w:rPr>
    </w:lvl>
    <w:lvl w:ilvl="8" w:tplc="118447A4">
      <w:numFmt w:val="bullet"/>
      <w:lvlText w:val="•"/>
      <w:lvlJc w:val="left"/>
      <w:pPr>
        <w:ind w:left="7754" w:hanging="701"/>
      </w:pPr>
      <w:rPr>
        <w:rFonts w:hint="default"/>
        <w:lang w:val="vi" w:eastAsia="en-US" w:bidi="ar-SA"/>
      </w:rPr>
    </w:lvl>
  </w:abstractNum>
  <w:abstractNum w:abstractNumId="20" w15:restartNumberingAfterBreak="0">
    <w:nsid w:val="783F6547"/>
    <w:multiLevelType w:val="hybridMultilevel"/>
    <w:tmpl w:val="275C4966"/>
    <w:lvl w:ilvl="0" w:tplc="04963B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F37CF"/>
    <w:multiLevelType w:val="hybridMultilevel"/>
    <w:tmpl w:val="7F7A08E0"/>
    <w:lvl w:ilvl="0" w:tplc="B48AA460">
      <w:start w:val="1"/>
      <w:numFmt w:val="lowerRoman"/>
      <w:lvlText w:val="(%1)"/>
      <w:lvlJc w:val="left"/>
      <w:pPr>
        <w:ind w:left="1429" w:hanging="360"/>
      </w:pPr>
      <w:rPr>
        <w:rFonts w:hint="default"/>
        <w:b w:val="0"/>
        <w:bCs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7E820DF0"/>
    <w:multiLevelType w:val="hybridMultilevel"/>
    <w:tmpl w:val="E6B68354"/>
    <w:lvl w:ilvl="0" w:tplc="BEFA0888">
      <w:numFmt w:val="bullet"/>
      <w:lvlText w:val="-"/>
      <w:lvlJc w:val="left"/>
      <w:pPr>
        <w:ind w:left="1658" w:hanging="360"/>
      </w:pPr>
      <w:rPr>
        <w:rFonts w:ascii="Arial" w:eastAsia="Arial" w:hAnsi="Arial" w:cs="Arial" w:hint="default"/>
        <w:i/>
        <w:iCs/>
        <w:w w:val="100"/>
        <w:sz w:val="22"/>
        <w:szCs w:val="22"/>
        <w:lang w:val="vi" w:eastAsia="en-US" w:bidi="ar-SA"/>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3" w15:restartNumberingAfterBreak="0">
    <w:nsid w:val="7F110018"/>
    <w:multiLevelType w:val="hybridMultilevel"/>
    <w:tmpl w:val="A31019CC"/>
    <w:lvl w:ilvl="0" w:tplc="B86A5464">
      <w:start w:val="2"/>
      <w:numFmt w:val="lowerRoman"/>
      <w:lvlText w:val="(%1)"/>
      <w:lvlJc w:val="left"/>
      <w:pPr>
        <w:ind w:left="1669" w:hanging="360"/>
      </w:pPr>
      <w:rPr>
        <w:rFonts w:cs="Times New Roman" w:hint="default"/>
      </w:rPr>
    </w:lvl>
    <w:lvl w:ilvl="1" w:tplc="042A0019" w:tentative="1">
      <w:start w:val="1"/>
      <w:numFmt w:val="lowerLetter"/>
      <w:lvlText w:val="%2."/>
      <w:lvlJc w:val="left"/>
      <w:pPr>
        <w:ind w:left="2389" w:hanging="360"/>
      </w:pPr>
    </w:lvl>
    <w:lvl w:ilvl="2" w:tplc="042A001B" w:tentative="1">
      <w:start w:val="1"/>
      <w:numFmt w:val="lowerRoman"/>
      <w:lvlText w:val="%3."/>
      <w:lvlJc w:val="right"/>
      <w:pPr>
        <w:ind w:left="3109" w:hanging="180"/>
      </w:pPr>
    </w:lvl>
    <w:lvl w:ilvl="3" w:tplc="042A000F" w:tentative="1">
      <w:start w:val="1"/>
      <w:numFmt w:val="decimal"/>
      <w:lvlText w:val="%4."/>
      <w:lvlJc w:val="left"/>
      <w:pPr>
        <w:ind w:left="3829" w:hanging="360"/>
      </w:pPr>
    </w:lvl>
    <w:lvl w:ilvl="4" w:tplc="042A0019" w:tentative="1">
      <w:start w:val="1"/>
      <w:numFmt w:val="lowerLetter"/>
      <w:lvlText w:val="%5."/>
      <w:lvlJc w:val="left"/>
      <w:pPr>
        <w:ind w:left="4549" w:hanging="360"/>
      </w:pPr>
    </w:lvl>
    <w:lvl w:ilvl="5" w:tplc="042A001B" w:tentative="1">
      <w:start w:val="1"/>
      <w:numFmt w:val="lowerRoman"/>
      <w:lvlText w:val="%6."/>
      <w:lvlJc w:val="right"/>
      <w:pPr>
        <w:ind w:left="5269" w:hanging="180"/>
      </w:pPr>
    </w:lvl>
    <w:lvl w:ilvl="6" w:tplc="042A000F" w:tentative="1">
      <w:start w:val="1"/>
      <w:numFmt w:val="decimal"/>
      <w:lvlText w:val="%7."/>
      <w:lvlJc w:val="left"/>
      <w:pPr>
        <w:ind w:left="5989" w:hanging="360"/>
      </w:pPr>
    </w:lvl>
    <w:lvl w:ilvl="7" w:tplc="042A0019" w:tentative="1">
      <w:start w:val="1"/>
      <w:numFmt w:val="lowerLetter"/>
      <w:lvlText w:val="%8."/>
      <w:lvlJc w:val="left"/>
      <w:pPr>
        <w:ind w:left="6709" w:hanging="360"/>
      </w:pPr>
    </w:lvl>
    <w:lvl w:ilvl="8" w:tplc="042A001B" w:tentative="1">
      <w:start w:val="1"/>
      <w:numFmt w:val="lowerRoman"/>
      <w:lvlText w:val="%9."/>
      <w:lvlJc w:val="right"/>
      <w:pPr>
        <w:ind w:left="7429" w:hanging="180"/>
      </w:pPr>
    </w:lvl>
  </w:abstractNum>
  <w:abstractNum w:abstractNumId="24" w15:restartNumberingAfterBreak="0">
    <w:nsid w:val="7F716BBE"/>
    <w:multiLevelType w:val="hybridMultilevel"/>
    <w:tmpl w:val="4AF06840"/>
    <w:lvl w:ilvl="0" w:tplc="4AF897FA">
      <w:start w:val="1"/>
      <w:numFmt w:val="lowerRoman"/>
      <w:lvlText w:val="(%1)"/>
      <w:lvlJc w:val="left"/>
      <w:pPr>
        <w:ind w:left="669"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65621016">
    <w:abstractNumId w:val="19"/>
  </w:num>
  <w:num w:numId="2" w16cid:durableId="35353472">
    <w:abstractNumId w:val="23"/>
  </w:num>
  <w:num w:numId="3" w16cid:durableId="986782244">
    <w:abstractNumId w:val="24"/>
  </w:num>
  <w:num w:numId="4" w16cid:durableId="1587692826">
    <w:abstractNumId w:val="12"/>
  </w:num>
  <w:num w:numId="5" w16cid:durableId="1790971470">
    <w:abstractNumId w:val="21"/>
  </w:num>
  <w:num w:numId="6" w16cid:durableId="718673481">
    <w:abstractNumId w:val="15"/>
  </w:num>
  <w:num w:numId="7" w16cid:durableId="208952791">
    <w:abstractNumId w:val="16"/>
  </w:num>
  <w:num w:numId="8" w16cid:durableId="127357002">
    <w:abstractNumId w:val="20"/>
  </w:num>
  <w:num w:numId="9" w16cid:durableId="915700063">
    <w:abstractNumId w:val="3"/>
  </w:num>
  <w:num w:numId="10" w16cid:durableId="2023974671">
    <w:abstractNumId w:val="18"/>
  </w:num>
  <w:num w:numId="11" w16cid:durableId="1974208537">
    <w:abstractNumId w:val="17"/>
  </w:num>
  <w:num w:numId="12" w16cid:durableId="1283074468">
    <w:abstractNumId w:val="1"/>
  </w:num>
  <w:num w:numId="13" w16cid:durableId="592975810">
    <w:abstractNumId w:val="6"/>
  </w:num>
  <w:num w:numId="14" w16cid:durableId="494879411">
    <w:abstractNumId w:val="5"/>
  </w:num>
  <w:num w:numId="15" w16cid:durableId="825628252">
    <w:abstractNumId w:val="22"/>
  </w:num>
  <w:num w:numId="16" w16cid:durableId="393435642">
    <w:abstractNumId w:val="7"/>
  </w:num>
  <w:num w:numId="17" w16cid:durableId="1401824293">
    <w:abstractNumId w:val="13"/>
  </w:num>
  <w:num w:numId="18" w16cid:durableId="632635077">
    <w:abstractNumId w:val="14"/>
  </w:num>
  <w:num w:numId="19" w16cid:durableId="455488138">
    <w:abstractNumId w:val="9"/>
  </w:num>
  <w:num w:numId="20" w16cid:durableId="607783085">
    <w:abstractNumId w:val="10"/>
  </w:num>
  <w:num w:numId="21" w16cid:durableId="1865942686">
    <w:abstractNumId w:val="2"/>
  </w:num>
  <w:num w:numId="22" w16cid:durableId="1089933269">
    <w:abstractNumId w:val="8"/>
  </w:num>
  <w:num w:numId="23" w16cid:durableId="189491508">
    <w:abstractNumId w:val="11"/>
  </w:num>
  <w:num w:numId="24" w16cid:durableId="976377551">
    <w:abstractNumId w:val="4"/>
  </w:num>
  <w:num w:numId="25" w16cid:durableId="32960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jCzNDG1tDAxs7QwNDZU0lEKTi0uzszPAykwNKgFAO9xlYItAAAA"/>
  </w:docVars>
  <w:rsids>
    <w:rsidRoot w:val="004F31D2"/>
    <w:rsid w:val="00003CF1"/>
    <w:rsid w:val="00010DD7"/>
    <w:rsid w:val="000171E7"/>
    <w:rsid w:val="00063491"/>
    <w:rsid w:val="00075250"/>
    <w:rsid w:val="000A3DCD"/>
    <w:rsid w:val="000A6820"/>
    <w:rsid w:val="000B26FA"/>
    <w:rsid w:val="000D5098"/>
    <w:rsid w:val="00106DFB"/>
    <w:rsid w:val="00111CAF"/>
    <w:rsid w:val="00126D8E"/>
    <w:rsid w:val="00147AC9"/>
    <w:rsid w:val="001766F7"/>
    <w:rsid w:val="00183505"/>
    <w:rsid w:val="001D4889"/>
    <w:rsid w:val="00210EC5"/>
    <w:rsid w:val="002925A4"/>
    <w:rsid w:val="002B2DC8"/>
    <w:rsid w:val="002B567F"/>
    <w:rsid w:val="002C1920"/>
    <w:rsid w:val="002D7644"/>
    <w:rsid w:val="002E0457"/>
    <w:rsid w:val="0031443B"/>
    <w:rsid w:val="00315C2D"/>
    <w:rsid w:val="00330F39"/>
    <w:rsid w:val="003450A0"/>
    <w:rsid w:val="00345240"/>
    <w:rsid w:val="00350B7A"/>
    <w:rsid w:val="0036383B"/>
    <w:rsid w:val="0037481E"/>
    <w:rsid w:val="003779B8"/>
    <w:rsid w:val="00386ACA"/>
    <w:rsid w:val="00393006"/>
    <w:rsid w:val="003B5154"/>
    <w:rsid w:val="003E5584"/>
    <w:rsid w:val="003F03F7"/>
    <w:rsid w:val="00405FC4"/>
    <w:rsid w:val="00411E19"/>
    <w:rsid w:val="00422202"/>
    <w:rsid w:val="0042315F"/>
    <w:rsid w:val="00436F29"/>
    <w:rsid w:val="00455579"/>
    <w:rsid w:val="00460336"/>
    <w:rsid w:val="00485935"/>
    <w:rsid w:val="00485C7F"/>
    <w:rsid w:val="004A249E"/>
    <w:rsid w:val="004A7152"/>
    <w:rsid w:val="004A7B1E"/>
    <w:rsid w:val="004F0E89"/>
    <w:rsid w:val="004F31D2"/>
    <w:rsid w:val="004F476F"/>
    <w:rsid w:val="005054C5"/>
    <w:rsid w:val="00520A45"/>
    <w:rsid w:val="005814CD"/>
    <w:rsid w:val="005A62DE"/>
    <w:rsid w:val="005A70BB"/>
    <w:rsid w:val="005C35F4"/>
    <w:rsid w:val="005E06A9"/>
    <w:rsid w:val="005F45AA"/>
    <w:rsid w:val="005F6145"/>
    <w:rsid w:val="0062449D"/>
    <w:rsid w:val="00627738"/>
    <w:rsid w:val="00653217"/>
    <w:rsid w:val="0066174C"/>
    <w:rsid w:val="0067690A"/>
    <w:rsid w:val="006A21D0"/>
    <w:rsid w:val="006F2FFE"/>
    <w:rsid w:val="006F4FE1"/>
    <w:rsid w:val="006F6EE9"/>
    <w:rsid w:val="00726F1C"/>
    <w:rsid w:val="007342F3"/>
    <w:rsid w:val="00751AD0"/>
    <w:rsid w:val="00755EFA"/>
    <w:rsid w:val="00760006"/>
    <w:rsid w:val="007640B3"/>
    <w:rsid w:val="00770572"/>
    <w:rsid w:val="007A6C67"/>
    <w:rsid w:val="007B3114"/>
    <w:rsid w:val="007C15B0"/>
    <w:rsid w:val="007F45D2"/>
    <w:rsid w:val="008011D0"/>
    <w:rsid w:val="00820944"/>
    <w:rsid w:val="00842B4C"/>
    <w:rsid w:val="00842F98"/>
    <w:rsid w:val="008579D5"/>
    <w:rsid w:val="008662EB"/>
    <w:rsid w:val="008B7A93"/>
    <w:rsid w:val="008E0A95"/>
    <w:rsid w:val="008E6958"/>
    <w:rsid w:val="008F0948"/>
    <w:rsid w:val="00913396"/>
    <w:rsid w:val="00923ADD"/>
    <w:rsid w:val="00924584"/>
    <w:rsid w:val="00933FA6"/>
    <w:rsid w:val="00950FDD"/>
    <w:rsid w:val="009624A1"/>
    <w:rsid w:val="009A5BF4"/>
    <w:rsid w:val="009B20A3"/>
    <w:rsid w:val="009B23CB"/>
    <w:rsid w:val="009B43A5"/>
    <w:rsid w:val="009E0D10"/>
    <w:rsid w:val="00A07FE1"/>
    <w:rsid w:val="00A11F06"/>
    <w:rsid w:val="00A12CC6"/>
    <w:rsid w:val="00A1523D"/>
    <w:rsid w:val="00A42509"/>
    <w:rsid w:val="00A42525"/>
    <w:rsid w:val="00A529D1"/>
    <w:rsid w:val="00A76349"/>
    <w:rsid w:val="00A90AA0"/>
    <w:rsid w:val="00AC7E4C"/>
    <w:rsid w:val="00AD63C4"/>
    <w:rsid w:val="00AF0156"/>
    <w:rsid w:val="00AF79BA"/>
    <w:rsid w:val="00B14B50"/>
    <w:rsid w:val="00B24FB5"/>
    <w:rsid w:val="00B465EB"/>
    <w:rsid w:val="00B50FB9"/>
    <w:rsid w:val="00B556D2"/>
    <w:rsid w:val="00B85188"/>
    <w:rsid w:val="00B901CC"/>
    <w:rsid w:val="00BC4B0F"/>
    <w:rsid w:val="00BE1C27"/>
    <w:rsid w:val="00C102DF"/>
    <w:rsid w:val="00C41D9D"/>
    <w:rsid w:val="00C72ACF"/>
    <w:rsid w:val="00C75F5F"/>
    <w:rsid w:val="00CF5B4A"/>
    <w:rsid w:val="00CF6639"/>
    <w:rsid w:val="00D00BCB"/>
    <w:rsid w:val="00D02CFA"/>
    <w:rsid w:val="00D05727"/>
    <w:rsid w:val="00D1040C"/>
    <w:rsid w:val="00D55D42"/>
    <w:rsid w:val="00D6694C"/>
    <w:rsid w:val="00D733B6"/>
    <w:rsid w:val="00D8766D"/>
    <w:rsid w:val="00D92FAE"/>
    <w:rsid w:val="00DA3163"/>
    <w:rsid w:val="00DA43E8"/>
    <w:rsid w:val="00DB47D8"/>
    <w:rsid w:val="00DC0A27"/>
    <w:rsid w:val="00E00418"/>
    <w:rsid w:val="00E062E8"/>
    <w:rsid w:val="00E13CCC"/>
    <w:rsid w:val="00E1519D"/>
    <w:rsid w:val="00E44D1B"/>
    <w:rsid w:val="00E57DCE"/>
    <w:rsid w:val="00E64A75"/>
    <w:rsid w:val="00E85105"/>
    <w:rsid w:val="00E96C55"/>
    <w:rsid w:val="00EA5F65"/>
    <w:rsid w:val="00EB40CC"/>
    <w:rsid w:val="00EC43C9"/>
    <w:rsid w:val="00ED00E7"/>
    <w:rsid w:val="00ED6028"/>
    <w:rsid w:val="00F05A9C"/>
    <w:rsid w:val="00F14FB2"/>
    <w:rsid w:val="00F356DD"/>
    <w:rsid w:val="00F610E7"/>
    <w:rsid w:val="00F635CF"/>
    <w:rsid w:val="00F70E7A"/>
    <w:rsid w:val="00F94243"/>
    <w:rsid w:val="00FA5144"/>
    <w:rsid w:val="00FC267F"/>
    <w:rsid w:val="00FC311A"/>
    <w:rsid w:val="00FD01BF"/>
    <w:rsid w:val="00FD2A02"/>
    <w:rsid w:val="00FE125B"/>
    <w:rsid w:val="00FE4306"/>
    <w:rsid w:val="00FE58F8"/>
    <w:rsid w:val="00FF593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251"/>
  <w15:docId w15:val="{4E392233-D783-4607-AFD2-B04FD59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4C"/>
    <w:rPr>
      <w:rFonts w:ascii="Cambria" w:eastAsia="Cambria" w:hAnsi="Cambria" w:cs="Cambria"/>
      <w:lang w:val="vi"/>
    </w:rPr>
  </w:style>
  <w:style w:type="paragraph" w:styleId="Heading1">
    <w:name w:val="heading 1"/>
    <w:basedOn w:val="Normal"/>
    <w:link w:val="Heading1Char"/>
    <w:uiPriority w:val="9"/>
    <w:qFormat/>
    <w:pPr>
      <w:ind w:left="938"/>
      <w:outlineLvl w:val="0"/>
    </w:pPr>
    <w:rPr>
      <w:b/>
      <w:bCs/>
    </w:rPr>
  </w:style>
  <w:style w:type="paragraph" w:styleId="Heading2">
    <w:name w:val="heading 2"/>
    <w:basedOn w:val="Normal"/>
    <w:next w:val="Normal"/>
    <w:link w:val="Heading2Char"/>
    <w:uiPriority w:val="9"/>
    <w:semiHidden/>
    <w:unhideWhenUsed/>
    <w:qFormat/>
    <w:rsid w:val="007F45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50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44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1"/>
    <w:qFormat/>
    <w:pPr>
      <w:ind w:left="1670" w:hanging="70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65EB"/>
    <w:rPr>
      <w:color w:val="0000FF" w:themeColor="hyperlink"/>
      <w:u w:val="single"/>
    </w:rPr>
  </w:style>
  <w:style w:type="character" w:styleId="UnresolvedMention">
    <w:name w:val="Unresolved Mention"/>
    <w:basedOn w:val="DefaultParagraphFont"/>
    <w:uiPriority w:val="99"/>
    <w:semiHidden/>
    <w:unhideWhenUsed/>
    <w:rsid w:val="00B465EB"/>
    <w:rPr>
      <w:color w:val="605E5C"/>
      <w:shd w:val="clear" w:color="auto" w:fill="E1DFDD"/>
    </w:rPr>
  </w:style>
  <w:style w:type="paragraph" w:styleId="BalloonText">
    <w:name w:val="Balloon Text"/>
    <w:basedOn w:val="Normal"/>
    <w:link w:val="BalloonTextChar"/>
    <w:uiPriority w:val="99"/>
    <w:semiHidden/>
    <w:unhideWhenUsed/>
    <w:rsid w:val="00374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1E"/>
    <w:rPr>
      <w:rFonts w:ascii="Segoe UI" w:eastAsia="Cambria" w:hAnsi="Segoe UI" w:cs="Segoe UI"/>
      <w:sz w:val="18"/>
      <w:szCs w:val="18"/>
      <w:lang w:val="vi"/>
    </w:rPr>
  </w:style>
  <w:style w:type="character" w:styleId="FollowedHyperlink">
    <w:name w:val="FollowedHyperlink"/>
    <w:basedOn w:val="DefaultParagraphFont"/>
    <w:uiPriority w:val="99"/>
    <w:semiHidden/>
    <w:unhideWhenUsed/>
    <w:rsid w:val="007F45D2"/>
    <w:rPr>
      <w:color w:val="800080" w:themeColor="followedHyperlink"/>
      <w:u w:val="single"/>
    </w:rPr>
  </w:style>
  <w:style w:type="character" w:customStyle="1" w:styleId="Heading2Char">
    <w:name w:val="Heading 2 Char"/>
    <w:basedOn w:val="DefaultParagraphFont"/>
    <w:link w:val="Heading2"/>
    <w:uiPriority w:val="9"/>
    <w:semiHidden/>
    <w:rsid w:val="007F45D2"/>
    <w:rPr>
      <w:rFonts w:asciiTheme="majorHAnsi" w:eastAsiaTheme="majorEastAsia" w:hAnsiTheme="majorHAnsi" w:cstheme="majorBidi"/>
      <w:color w:val="365F91" w:themeColor="accent1" w:themeShade="BF"/>
      <w:sz w:val="26"/>
      <w:szCs w:val="26"/>
      <w:lang w:val="vi"/>
    </w:rPr>
  </w:style>
  <w:style w:type="paragraph" w:styleId="Header">
    <w:name w:val="header"/>
    <w:basedOn w:val="Normal"/>
    <w:link w:val="HeaderChar"/>
    <w:uiPriority w:val="99"/>
    <w:unhideWhenUsed/>
    <w:rsid w:val="00393006"/>
    <w:pPr>
      <w:tabs>
        <w:tab w:val="center" w:pos="4513"/>
        <w:tab w:val="right" w:pos="9026"/>
      </w:tabs>
    </w:pPr>
  </w:style>
  <w:style w:type="character" w:customStyle="1" w:styleId="HeaderChar">
    <w:name w:val="Header Char"/>
    <w:basedOn w:val="DefaultParagraphFont"/>
    <w:link w:val="Header"/>
    <w:uiPriority w:val="99"/>
    <w:rsid w:val="00393006"/>
    <w:rPr>
      <w:rFonts w:ascii="Cambria" w:eastAsia="Cambria" w:hAnsi="Cambria" w:cs="Cambria"/>
      <w:lang w:val="vi"/>
    </w:rPr>
  </w:style>
  <w:style w:type="paragraph" w:styleId="Footer">
    <w:name w:val="footer"/>
    <w:basedOn w:val="Normal"/>
    <w:link w:val="FooterChar"/>
    <w:uiPriority w:val="99"/>
    <w:unhideWhenUsed/>
    <w:rsid w:val="00393006"/>
    <w:pPr>
      <w:tabs>
        <w:tab w:val="center" w:pos="4513"/>
        <w:tab w:val="right" w:pos="9026"/>
      </w:tabs>
    </w:pPr>
  </w:style>
  <w:style w:type="character" w:customStyle="1" w:styleId="FooterChar">
    <w:name w:val="Footer Char"/>
    <w:basedOn w:val="DefaultParagraphFont"/>
    <w:link w:val="Footer"/>
    <w:uiPriority w:val="99"/>
    <w:rsid w:val="00393006"/>
    <w:rPr>
      <w:rFonts w:ascii="Cambria" w:eastAsia="Cambria" w:hAnsi="Cambria" w:cs="Cambria"/>
      <w:lang w:val="vi"/>
    </w:rPr>
  </w:style>
  <w:style w:type="character" w:styleId="Strong">
    <w:name w:val="Strong"/>
    <w:basedOn w:val="DefaultParagraphFont"/>
    <w:uiPriority w:val="22"/>
    <w:qFormat/>
    <w:rsid w:val="000B26FA"/>
    <w:rPr>
      <w:b/>
      <w:bCs/>
    </w:rPr>
  </w:style>
  <w:style w:type="paragraph" w:styleId="NormalWeb">
    <w:name w:val="Normal (Web)"/>
    <w:basedOn w:val="Normal"/>
    <w:uiPriority w:val="99"/>
    <w:semiHidden/>
    <w:unhideWhenUsed/>
    <w:rsid w:val="00F635CF"/>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0D5098"/>
    <w:rPr>
      <w:rFonts w:asciiTheme="majorHAnsi" w:eastAsiaTheme="majorEastAsia" w:hAnsiTheme="majorHAnsi" w:cstheme="majorBidi"/>
      <w:color w:val="243F60" w:themeColor="accent1" w:themeShade="7F"/>
      <w:sz w:val="24"/>
      <w:szCs w:val="24"/>
      <w:lang w:val="vi"/>
    </w:rPr>
  </w:style>
  <w:style w:type="character" w:customStyle="1" w:styleId="Heading4Char">
    <w:name w:val="Heading 4 Char"/>
    <w:basedOn w:val="DefaultParagraphFont"/>
    <w:link w:val="Heading4"/>
    <w:uiPriority w:val="9"/>
    <w:semiHidden/>
    <w:rsid w:val="0031443B"/>
    <w:rPr>
      <w:rFonts w:asciiTheme="majorHAnsi" w:eastAsiaTheme="majorEastAsia" w:hAnsiTheme="majorHAnsi" w:cstheme="majorBidi"/>
      <w:i/>
      <w:iCs/>
      <w:color w:val="365F91" w:themeColor="accent1" w:themeShade="BF"/>
      <w:lang w:val="vi"/>
    </w:rPr>
  </w:style>
  <w:style w:type="numbering" w:customStyle="1" w:styleId="CurrentList1">
    <w:name w:val="Current List1"/>
    <w:uiPriority w:val="99"/>
    <w:rsid w:val="00460336"/>
    <w:pPr>
      <w:numPr>
        <w:numId w:val="20"/>
      </w:numPr>
    </w:pPr>
  </w:style>
  <w:style w:type="character" w:customStyle="1" w:styleId="ListParagraphChar">
    <w:name w:val="List Paragraph Char"/>
    <w:link w:val="ListParagraph"/>
    <w:uiPriority w:val="1"/>
    <w:locked/>
    <w:rsid w:val="00E1519D"/>
    <w:rPr>
      <w:rFonts w:ascii="Cambria" w:eastAsia="Cambria" w:hAnsi="Cambria" w:cs="Cambria"/>
      <w:lang w:val="vi"/>
    </w:rPr>
  </w:style>
  <w:style w:type="character" w:customStyle="1" w:styleId="Heading1Char">
    <w:name w:val="Heading 1 Char"/>
    <w:basedOn w:val="DefaultParagraphFont"/>
    <w:link w:val="Heading1"/>
    <w:uiPriority w:val="9"/>
    <w:rsid w:val="005F6145"/>
    <w:rPr>
      <w:rFonts w:ascii="Cambria" w:eastAsia="Cambria" w:hAnsi="Cambria" w:cs="Cambria"/>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579">
      <w:bodyDiv w:val="1"/>
      <w:marLeft w:val="0"/>
      <w:marRight w:val="0"/>
      <w:marTop w:val="0"/>
      <w:marBottom w:val="0"/>
      <w:divBdr>
        <w:top w:val="none" w:sz="0" w:space="0" w:color="auto"/>
        <w:left w:val="none" w:sz="0" w:space="0" w:color="auto"/>
        <w:bottom w:val="none" w:sz="0" w:space="0" w:color="auto"/>
        <w:right w:val="none" w:sz="0" w:space="0" w:color="auto"/>
      </w:divBdr>
    </w:div>
    <w:div w:id="78913345">
      <w:bodyDiv w:val="1"/>
      <w:marLeft w:val="0"/>
      <w:marRight w:val="0"/>
      <w:marTop w:val="0"/>
      <w:marBottom w:val="0"/>
      <w:divBdr>
        <w:top w:val="none" w:sz="0" w:space="0" w:color="auto"/>
        <w:left w:val="none" w:sz="0" w:space="0" w:color="auto"/>
        <w:bottom w:val="none" w:sz="0" w:space="0" w:color="auto"/>
        <w:right w:val="none" w:sz="0" w:space="0" w:color="auto"/>
      </w:divBdr>
    </w:div>
    <w:div w:id="102657002">
      <w:bodyDiv w:val="1"/>
      <w:marLeft w:val="0"/>
      <w:marRight w:val="0"/>
      <w:marTop w:val="0"/>
      <w:marBottom w:val="0"/>
      <w:divBdr>
        <w:top w:val="none" w:sz="0" w:space="0" w:color="auto"/>
        <w:left w:val="none" w:sz="0" w:space="0" w:color="auto"/>
        <w:bottom w:val="none" w:sz="0" w:space="0" w:color="auto"/>
        <w:right w:val="none" w:sz="0" w:space="0" w:color="auto"/>
      </w:divBdr>
    </w:div>
    <w:div w:id="159390870">
      <w:bodyDiv w:val="1"/>
      <w:marLeft w:val="0"/>
      <w:marRight w:val="0"/>
      <w:marTop w:val="0"/>
      <w:marBottom w:val="0"/>
      <w:divBdr>
        <w:top w:val="none" w:sz="0" w:space="0" w:color="auto"/>
        <w:left w:val="none" w:sz="0" w:space="0" w:color="auto"/>
        <w:bottom w:val="none" w:sz="0" w:space="0" w:color="auto"/>
        <w:right w:val="none" w:sz="0" w:space="0" w:color="auto"/>
      </w:divBdr>
    </w:div>
    <w:div w:id="230359666">
      <w:bodyDiv w:val="1"/>
      <w:marLeft w:val="0"/>
      <w:marRight w:val="0"/>
      <w:marTop w:val="0"/>
      <w:marBottom w:val="0"/>
      <w:divBdr>
        <w:top w:val="none" w:sz="0" w:space="0" w:color="auto"/>
        <w:left w:val="none" w:sz="0" w:space="0" w:color="auto"/>
        <w:bottom w:val="none" w:sz="0" w:space="0" w:color="auto"/>
        <w:right w:val="none" w:sz="0" w:space="0" w:color="auto"/>
      </w:divBdr>
    </w:div>
    <w:div w:id="235474952">
      <w:bodyDiv w:val="1"/>
      <w:marLeft w:val="0"/>
      <w:marRight w:val="0"/>
      <w:marTop w:val="0"/>
      <w:marBottom w:val="0"/>
      <w:divBdr>
        <w:top w:val="none" w:sz="0" w:space="0" w:color="auto"/>
        <w:left w:val="none" w:sz="0" w:space="0" w:color="auto"/>
        <w:bottom w:val="none" w:sz="0" w:space="0" w:color="auto"/>
        <w:right w:val="none" w:sz="0" w:space="0" w:color="auto"/>
      </w:divBdr>
    </w:div>
    <w:div w:id="269120536">
      <w:bodyDiv w:val="1"/>
      <w:marLeft w:val="0"/>
      <w:marRight w:val="0"/>
      <w:marTop w:val="0"/>
      <w:marBottom w:val="0"/>
      <w:divBdr>
        <w:top w:val="none" w:sz="0" w:space="0" w:color="auto"/>
        <w:left w:val="none" w:sz="0" w:space="0" w:color="auto"/>
        <w:bottom w:val="none" w:sz="0" w:space="0" w:color="auto"/>
        <w:right w:val="none" w:sz="0" w:space="0" w:color="auto"/>
      </w:divBdr>
    </w:div>
    <w:div w:id="325087519">
      <w:bodyDiv w:val="1"/>
      <w:marLeft w:val="0"/>
      <w:marRight w:val="0"/>
      <w:marTop w:val="0"/>
      <w:marBottom w:val="0"/>
      <w:divBdr>
        <w:top w:val="none" w:sz="0" w:space="0" w:color="auto"/>
        <w:left w:val="none" w:sz="0" w:space="0" w:color="auto"/>
        <w:bottom w:val="none" w:sz="0" w:space="0" w:color="auto"/>
        <w:right w:val="none" w:sz="0" w:space="0" w:color="auto"/>
      </w:divBdr>
    </w:div>
    <w:div w:id="336880902">
      <w:bodyDiv w:val="1"/>
      <w:marLeft w:val="0"/>
      <w:marRight w:val="0"/>
      <w:marTop w:val="0"/>
      <w:marBottom w:val="0"/>
      <w:divBdr>
        <w:top w:val="none" w:sz="0" w:space="0" w:color="auto"/>
        <w:left w:val="none" w:sz="0" w:space="0" w:color="auto"/>
        <w:bottom w:val="none" w:sz="0" w:space="0" w:color="auto"/>
        <w:right w:val="none" w:sz="0" w:space="0" w:color="auto"/>
      </w:divBdr>
    </w:div>
    <w:div w:id="500001530">
      <w:bodyDiv w:val="1"/>
      <w:marLeft w:val="0"/>
      <w:marRight w:val="0"/>
      <w:marTop w:val="0"/>
      <w:marBottom w:val="0"/>
      <w:divBdr>
        <w:top w:val="none" w:sz="0" w:space="0" w:color="auto"/>
        <w:left w:val="none" w:sz="0" w:space="0" w:color="auto"/>
        <w:bottom w:val="none" w:sz="0" w:space="0" w:color="auto"/>
        <w:right w:val="none" w:sz="0" w:space="0" w:color="auto"/>
      </w:divBdr>
    </w:div>
    <w:div w:id="502940637">
      <w:bodyDiv w:val="1"/>
      <w:marLeft w:val="0"/>
      <w:marRight w:val="0"/>
      <w:marTop w:val="0"/>
      <w:marBottom w:val="0"/>
      <w:divBdr>
        <w:top w:val="none" w:sz="0" w:space="0" w:color="auto"/>
        <w:left w:val="none" w:sz="0" w:space="0" w:color="auto"/>
        <w:bottom w:val="none" w:sz="0" w:space="0" w:color="auto"/>
        <w:right w:val="none" w:sz="0" w:space="0" w:color="auto"/>
      </w:divBdr>
    </w:div>
    <w:div w:id="546337831">
      <w:bodyDiv w:val="1"/>
      <w:marLeft w:val="0"/>
      <w:marRight w:val="0"/>
      <w:marTop w:val="0"/>
      <w:marBottom w:val="0"/>
      <w:divBdr>
        <w:top w:val="none" w:sz="0" w:space="0" w:color="auto"/>
        <w:left w:val="none" w:sz="0" w:space="0" w:color="auto"/>
        <w:bottom w:val="none" w:sz="0" w:space="0" w:color="auto"/>
        <w:right w:val="none" w:sz="0" w:space="0" w:color="auto"/>
      </w:divBdr>
    </w:div>
    <w:div w:id="564414263">
      <w:bodyDiv w:val="1"/>
      <w:marLeft w:val="0"/>
      <w:marRight w:val="0"/>
      <w:marTop w:val="0"/>
      <w:marBottom w:val="0"/>
      <w:divBdr>
        <w:top w:val="none" w:sz="0" w:space="0" w:color="auto"/>
        <w:left w:val="none" w:sz="0" w:space="0" w:color="auto"/>
        <w:bottom w:val="none" w:sz="0" w:space="0" w:color="auto"/>
        <w:right w:val="none" w:sz="0" w:space="0" w:color="auto"/>
      </w:divBdr>
    </w:div>
    <w:div w:id="715355330">
      <w:bodyDiv w:val="1"/>
      <w:marLeft w:val="0"/>
      <w:marRight w:val="0"/>
      <w:marTop w:val="0"/>
      <w:marBottom w:val="0"/>
      <w:divBdr>
        <w:top w:val="none" w:sz="0" w:space="0" w:color="auto"/>
        <w:left w:val="none" w:sz="0" w:space="0" w:color="auto"/>
        <w:bottom w:val="none" w:sz="0" w:space="0" w:color="auto"/>
        <w:right w:val="none" w:sz="0" w:space="0" w:color="auto"/>
      </w:divBdr>
    </w:div>
    <w:div w:id="792477712">
      <w:bodyDiv w:val="1"/>
      <w:marLeft w:val="0"/>
      <w:marRight w:val="0"/>
      <w:marTop w:val="0"/>
      <w:marBottom w:val="0"/>
      <w:divBdr>
        <w:top w:val="none" w:sz="0" w:space="0" w:color="auto"/>
        <w:left w:val="none" w:sz="0" w:space="0" w:color="auto"/>
        <w:bottom w:val="none" w:sz="0" w:space="0" w:color="auto"/>
        <w:right w:val="none" w:sz="0" w:space="0" w:color="auto"/>
      </w:divBdr>
    </w:div>
    <w:div w:id="813907393">
      <w:bodyDiv w:val="1"/>
      <w:marLeft w:val="0"/>
      <w:marRight w:val="0"/>
      <w:marTop w:val="0"/>
      <w:marBottom w:val="0"/>
      <w:divBdr>
        <w:top w:val="none" w:sz="0" w:space="0" w:color="auto"/>
        <w:left w:val="none" w:sz="0" w:space="0" w:color="auto"/>
        <w:bottom w:val="none" w:sz="0" w:space="0" w:color="auto"/>
        <w:right w:val="none" w:sz="0" w:space="0" w:color="auto"/>
      </w:divBdr>
    </w:div>
    <w:div w:id="941035190">
      <w:bodyDiv w:val="1"/>
      <w:marLeft w:val="0"/>
      <w:marRight w:val="0"/>
      <w:marTop w:val="0"/>
      <w:marBottom w:val="0"/>
      <w:divBdr>
        <w:top w:val="none" w:sz="0" w:space="0" w:color="auto"/>
        <w:left w:val="none" w:sz="0" w:space="0" w:color="auto"/>
        <w:bottom w:val="none" w:sz="0" w:space="0" w:color="auto"/>
        <w:right w:val="none" w:sz="0" w:space="0" w:color="auto"/>
      </w:divBdr>
    </w:div>
    <w:div w:id="947397606">
      <w:bodyDiv w:val="1"/>
      <w:marLeft w:val="0"/>
      <w:marRight w:val="0"/>
      <w:marTop w:val="0"/>
      <w:marBottom w:val="0"/>
      <w:divBdr>
        <w:top w:val="none" w:sz="0" w:space="0" w:color="auto"/>
        <w:left w:val="none" w:sz="0" w:space="0" w:color="auto"/>
        <w:bottom w:val="none" w:sz="0" w:space="0" w:color="auto"/>
        <w:right w:val="none" w:sz="0" w:space="0" w:color="auto"/>
      </w:divBdr>
    </w:div>
    <w:div w:id="1207373250">
      <w:bodyDiv w:val="1"/>
      <w:marLeft w:val="0"/>
      <w:marRight w:val="0"/>
      <w:marTop w:val="0"/>
      <w:marBottom w:val="0"/>
      <w:divBdr>
        <w:top w:val="none" w:sz="0" w:space="0" w:color="auto"/>
        <w:left w:val="none" w:sz="0" w:space="0" w:color="auto"/>
        <w:bottom w:val="none" w:sz="0" w:space="0" w:color="auto"/>
        <w:right w:val="none" w:sz="0" w:space="0" w:color="auto"/>
      </w:divBdr>
    </w:div>
    <w:div w:id="1282422208">
      <w:bodyDiv w:val="1"/>
      <w:marLeft w:val="0"/>
      <w:marRight w:val="0"/>
      <w:marTop w:val="0"/>
      <w:marBottom w:val="0"/>
      <w:divBdr>
        <w:top w:val="none" w:sz="0" w:space="0" w:color="auto"/>
        <w:left w:val="none" w:sz="0" w:space="0" w:color="auto"/>
        <w:bottom w:val="none" w:sz="0" w:space="0" w:color="auto"/>
        <w:right w:val="none" w:sz="0" w:space="0" w:color="auto"/>
      </w:divBdr>
      <w:divsChild>
        <w:div w:id="1190558824">
          <w:marLeft w:val="0"/>
          <w:marRight w:val="0"/>
          <w:marTop w:val="0"/>
          <w:marBottom w:val="150"/>
          <w:divBdr>
            <w:top w:val="none" w:sz="0" w:space="0" w:color="auto"/>
            <w:left w:val="none" w:sz="0" w:space="0" w:color="auto"/>
            <w:bottom w:val="none" w:sz="0" w:space="0" w:color="auto"/>
            <w:right w:val="none" w:sz="0" w:space="0" w:color="auto"/>
          </w:divBdr>
          <w:divsChild>
            <w:div w:id="671640045">
              <w:marLeft w:val="0"/>
              <w:marRight w:val="0"/>
              <w:marTop w:val="0"/>
              <w:marBottom w:val="0"/>
              <w:divBdr>
                <w:top w:val="none" w:sz="0" w:space="0" w:color="auto"/>
                <w:left w:val="none" w:sz="0" w:space="0" w:color="auto"/>
                <w:bottom w:val="none" w:sz="0" w:space="0" w:color="auto"/>
                <w:right w:val="none" w:sz="0" w:space="0" w:color="auto"/>
              </w:divBdr>
              <w:divsChild>
                <w:div w:id="2086685292">
                  <w:marLeft w:val="0"/>
                  <w:marRight w:val="0"/>
                  <w:marTop w:val="0"/>
                  <w:marBottom w:val="0"/>
                  <w:divBdr>
                    <w:top w:val="none" w:sz="0" w:space="0" w:color="auto"/>
                    <w:left w:val="none" w:sz="0" w:space="0" w:color="auto"/>
                    <w:bottom w:val="none" w:sz="0" w:space="0" w:color="auto"/>
                    <w:right w:val="none" w:sz="0" w:space="0" w:color="auto"/>
                  </w:divBdr>
                  <w:divsChild>
                    <w:div w:id="283578836">
                      <w:marLeft w:val="0"/>
                      <w:marRight w:val="0"/>
                      <w:marTop w:val="0"/>
                      <w:marBottom w:val="0"/>
                      <w:divBdr>
                        <w:top w:val="none" w:sz="0" w:space="0" w:color="auto"/>
                        <w:left w:val="none" w:sz="0" w:space="0" w:color="auto"/>
                        <w:bottom w:val="none" w:sz="0" w:space="0" w:color="auto"/>
                        <w:right w:val="none" w:sz="0" w:space="0" w:color="auto"/>
                      </w:divBdr>
                      <w:divsChild>
                        <w:div w:id="1194612689">
                          <w:marLeft w:val="0"/>
                          <w:marRight w:val="0"/>
                          <w:marTop w:val="0"/>
                          <w:marBottom w:val="0"/>
                          <w:divBdr>
                            <w:top w:val="none" w:sz="0" w:space="0" w:color="auto"/>
                            <w:left w:val="none" w:sz="0" w:space="0" w:color="auto"/>
                            <w:bottom w:val="none" w:sz="0" w:space="0" w:color="auto"/>
                            <w:right w:val="none" w:sz="0" w:space="0" w:color="auto"/>
                          </w:divBdr>
                          <w:divsChild>
                            <w:div w:id="2045520711">
                              <w:marLeft w:val="0"/>
                              <w:marRight w:val="0"/>
                              <w:marTop w:val="0"/>
                              <w:marBottom w:val="0"/>
                              <w:divBdr>
                                <w:top w:val="none" w:sz="0" w:space="0" w:color="auto"/>
                                <w:left w:val="none" w:sz="0" w:space="0" w:color="auto"/>
                                <w:bottom w:val="none" w:sz="0" w:space="0" w:color="auto"/>
                                <w:right w:val="none" w:sz="0" w:space="0" w:color="auto"/>
                              </w:divBdr>
                              <w:divsChild>
                                <w:div w:id="1485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266761">
      <w:bodyDiv w:val="1"/>
      <w:marLeft w:val="0"/>
      <w:marRight w:val="0"/>
      <w:marTop w:val="0"/>
      <w:marBottom w:val="0"/>
      <w:divBdr>
        <w:top w:val="none" w:sz="0" w:space="0" w:color="auto"/>
        <w:left w:val="none" w:sz="0" w:space="0" w:color="auto"/>
        <w:bottom w:val="none" w:sz="0" w:space="0" w:color="auto"/>
        <w:right w:val="none" w:sz="0" w:space="0" w:color="auto"/>
      </w:divBdr>
    </w:div>
    <w:div w:id="1333296666">
      <w:bodyDiv w:val="1"/>
      <w:marLeft w:val="0"/>
      <w:marRight w:val="0"/>
      <w:marTop w:val="0"/>
      <w:marBottom w:val="0"/>
      <w:divBdr>
        <w:top w:val="none" w:sz="0" w:space="0" w:color="auto"/>
        <w:left w:val="none" w:sz="0" w:space="0" w:color="auto"/>
        <w:bottom w:val="none" w:sz="0" w:space="0" w:color="auto"/>
        <w:right w:val="none" w:sz="0" w:space="0" w:color="auto"/>
      </w:divBdr>
    </w:div>
    <w:div w:id="1337802299">
      <w:bodyDiv w:val="1"/>
      <w:marLeft w:val="0"/>
      <w:marRight w:val="0"/>
      <w:marTop w:val="0"/>
      <w:marBottom w:val="0"/>
      <w:divBdr>
        <w:top w:val="none" w:sz="0" w:space="0" w:color="auto"/>
        <w:left w:val="none" w:sz="0" w:space="0" w:color="auto"/>
        <w:bottom w:val="none" w:sz="0" w:space="0" w:color="auto"/>
        <w:right w:val="none" w:sz="0" w:space="0" w:color="auto"/>
      </w:divBdr>
    </w:div>
    <w:div w:id="1458067107">
      <w:bodyDiv w:val="1"/>
      <w:marLeft w:val="0"/>
      <w:marRight w:val="0"/>
      <w:marTop w:val="0"/>
      <w:marBottom w:val="0"/>
      <w:divBdr>
        <w:top w:val="none" w:sz="0" w:space="0" w:color="auto"/>
        <w:left w:val="none" w:sz="0" w:space="0" w:color="auto"/>
        <w:bottom w:val="none" w:sz="0" w:space="0" w:color="auto"/>
        <w:right w:val="none" w:sz="0" w:space="0" w:color="auto"/>
      </w:divBdr>
    </w:div>
    <w:div w:id="1504780654">
      <w:bodyDiv w:val="1"/>
      <w:marLeft w:val="0"/>
      <w:marRight w:val="0"/>
      <w:marTop w:val="0"/>
      <w:marBottom w:val="0"/>
      <w:divBdr>
        <w:top w:val="none" w:sz="0" w:space="0" w:color="auto"/>
        <w:left w:val="none" w:sz="0" w:space="0" w:color="auto"/>
        <w:bottom w:val="none" w:sz="0" w:space="0" w:color="auto"/>
        <w:right w:val="none" w:sz="0" w:space="0" w:color="auto"/>
      </w:divBdr>
    </w:div>
    <w:div w:id="1722366800">
      <w:bodyDiv w:val="1"/>
      <w:marLeft w:val="0"/>
      <w:marRight w:val="0"/>
      <w:marTop w:val="0"/>
      <w:marBottom w:val="0"/>
      <w:divBdr>
        <w:top w:val="none" w:sz="0" w:space="0" w:color="auto"/>
        <w:left w:val="none" w:sz="0" w:space="0" w:color="auto"/>
        <w:bottom w:val="none" w:sz="0" w:space="0" w:color="auto"/>
        <w:right w:val="none" w:sz="0" w:space="0" w:color="auto"/>
      </w:divBdr>
    </w:div>
    <w:div w:id="1795058427">
      <w:bodyDiv w:val="1"/>
      <w:marLeft w:val="0"/>
      <w:marRight w:val="0"/>
      <w:marTop w:val="0"/>
      <w:marBottom w:val="0"/>
      <w:divBdr>
        <w:top w:val="none" w:sz="0" w:space="0" w:color="auto"/>
        <w:left w:val="none" w:sz="0" w:space="0" w:color="auto"/>
        <w:bottom w:val="none" w:sz="0" w:space="0" w:color="auto"/>
        <w:right w:val="none" w:sz="0" w:space="0" w:color="auto"/>
      </w:divBdr>
    </w:div>
    <w:div w:id="1850752025">
      <w:bodyDiv w:val="1"/>
      <w:marLeft w:val="0"/>
      <w:marRight w:val="0"/>
      <w:marTop w:val="0"/>
      <w:marBottom w:val="0"/>
      <w:divBdr>
        <w:top w:val="none" w:sz="0" w:space="0" w:color="auto"/>
        <w:left w:val="none" w:sz="0" w:space="0" w:color="auto"/>
        <w:bottom w:val="none" w:sz="0" w:space="0" w:color="auto"/>
        <w:right w:val="none" w:sz="0" w:space="0" w:color="auto"/>
      </w:divBdr>
    </w:div>
    <w:div w:id="186655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k-lawyer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dk-lawy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k-lawyer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adk-lawy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8" ma:contentTypeDescription="Create a new document." ma:contentTypeScope="" ma:versionID="2622ec7ebf0118c56ed88cb8dd53ca45">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da6ada122647f8a150765f0d79d9609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7602b-034e-4d49-85e7-8e7f69aa2fa3}" ma:internalName="TaxCatchAll" ma:showField="CatchAllData" ma:web="efcb16b9-a914-4449-99f5-e45da9820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bcd8d-0957-464b-971e-de4a9f9c2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EE23-9F13-4BCB-BA41-CA7E1E3E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95891-7B82-4CAD-979D-B780B35313F7}">
  <ds:schemaRefs>
    <ds:schemaRef ds:uri="http://schemas.microsoft.com/sharepoint/v3/contenttype/forms"/>
  </ds:schemaRefs>
</ds:datastoreItem>
</file>

<file path=customXml/itemProps3.xml><?xml version="1.0" encoding="utf-8"?>
<ds:datastoreItem xmlns:ds="http://schemas.openxmlformats.org/officeDocument/2006/customXml" ds:itemID="{258E5FB3-B04E-0B45-951F-8FE47E72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ADK-003</cp:lastModifiedBy>
  <cp:revision>116</cp:revision>
  <dcterms:created xsi:type="dcterms:W3CDTF">2023-05-16T07:09:00Z</dcterms:created>
  <dcterms:modified xsi:type="dcterms:W3CDTF">2025-01-10T02:16:00Z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2023-04-08T00:00:00Z</vt:filetime>
  </property>
  <property fmtid="{D5CDD505-2E9C-101B-9397-08002B2CF9AE}" pid="3" name="Creator">
    <vt:lpwstr>Acrobat PDFMaker 21 for Word</vt:lpwstr>
  </property>
  <property fmtid="{D5CDD505-2E9C-101B-9397-08002B2CF9AE}" pid="4" name="LastSaved">
    <vt:filetime>2023-05-16T00:00:00Z</vt:filetime>
  </property>
</Properties>
</file>