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2B312" w14:textId="1B3991F6" w:rsidR="00CE3E32" w:rsidRPr="00CE3E32" w:rsidRDefault="004D64BC" w:rsidP="00CE3E32">
      <w:pP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0780A501">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6EA9985" w:rsidR="00FA2CEE" w:rsidRPr="00BA68B8" w:rsidRDefault="00CE3E32" w:rsidP="00FA2CEE">
                            <w:pPr>
                              <w:spacing w:after="0" w:line="240" w:lineRule="auto"/>
                              <w:rPr>
                                <w:rFonts w:ascii="Arial" w:hAnsi="Arial" w:cs="Arial"/>
                                <w:b/>
                                <w:color w:val="FFFFFF" w:themeColor="background1"/>
                                <w:sz w:val="20"/>
                                <w:szCs w:val="20"/>
                              </w:rPr>
                            </w:pPr>
                            <w:r w:rsidRPr="00CE3E32">
                              <w:rPr>
                                <w:rFonts w:ascii="Arial" w:hAnsi="Arial" w:cs="Arial"/>
                                <w:b/>
                                <w:bCs/>
                                <w:color w:val="FFFFFF" w:themeColor="background1"/>
                                <w:sz w:val="20"/>
                                <w:szCs w:val="20"/>
                              </w:rPr>
                              <w:t>Hủy bỏ hiệu lực bằng sáng chế châu Âu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6EA9985" w:rsidR="00FA2CEE" w:rsidRPr="00BA68B8" w:rsidRDefault="00CE3E32" w:rsidP="00FA2CEE">
                      <w:pPr>
                        <w:spacing w:after="0" w:line="240" w:lineRule="auto"/>
                        <w:rPr>
                          <w:rFonts w:ascii="Arial" w:hAnsi="Arial" w:cs="Arial"/>
                          <w:b/>
                          <w:color w:val="FFFFFF" w:themeColor="background1"/>
                          <w:sz w:val="20"/>
                          <w:szCs w:val="20"/>
                        </w:rPr>
                      </w:pPr>
                      <w:r w:rsidRPr="00CE3E32">
                        <w:rPr>
                          <w:rFonts w:ascii="Arial" w:hAnsi="Arial" w:cs="Arial"/>
                          <w:b/>
                          <w:bCs/>
                          <w:color w:val="FFFFFF" w:themeColor="background1"/>
                          <w:sz w:val="20"/>
                          <w:szCs w:val="20"/>
                        </w:rPr>
                        <w:t>Hủy bỏ hiệu lực bằng sáng chế châu Âu</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EE44A3F" w:rsidR="00FA2CEE" w:rsidRPr="00CC7576" w:rsidRDefault="00CE3E32" w:rsidP="00FA2CEE">
                            <w:pPr>
                              <w:spacing w:after="0"/>
                              <w:jc w:val="center"/>
                              <w:rPr>
                                <w:rFonts w:ascii="Arial" w:hAnsi="Arial" w:cs="Arial"/>
                                <w:b/>
                                <w:color w:val="FFFFFF" w:themeColor="background1"/>
                                <w:sz w:val="20"/>
                                <w:szCs w:val="20"/>
                              </w:rPr>
                            </w:pPr>
                            <w:r w:rsidRPr="00CE3E32">
                              <w:rPr>
                                <w:rFonts w:ascii="Arial" w:hAnsi="Arial" w:cs="Arial"/>
                                <w:b/>
                                <w:bCs/>
                                <w:color w:val="FFFFFF" w:themeColor="background1"/>
                                <w:sz w:val="20"/>
                                <w:szCs w:val="20"/>
                              </w:rPr>
                              <w:t>Hủy bỏ hiệu lực bằng sáng chế châu Âu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EE44A3F" w:rsidR="00FA2CEE" w:rsidRPr="00CC7576" w:rsidRDefault="00CE3E32" w:rsidP="00FA2CEE">
                      <w:pPr>
                        <w:spacing w:after="0"/>
                        <w:jc w:val="center"/>
                        <w:rPr>
                          <w:rFonts w:ascii="Arial" w:hAnsi="Arial" w:cs="Arial"/>
                          <w:b/>
                          <w:color w:val="FFFFFF" w:themeColor="background1"/>
                          <w:sz w:val="20"/>
                          <w:szCs w:val="20"/>
                        </w:rPr>
                      </w:pPr>
                      <w:r w:rsidRPr="00CE3E32">
                        <w:rPr>
                          <w:rFonts w:ascii="Arial" w:hAnsi="Arial" w:cs="Arial"/>
                          <w:b/>
                          <w:bCs/>
                          <w:color w:val="FFFFFF" w:themeColor="background1"/>
                          <w:sz w:val="20"/>
                          <w:szCs w:val="20"/>
                        </w:rPr>
                        <w:t>Hủy bỏ hiệu lực bằng sáng chế châu Âu</w:t>
                      </w:r>
                    </w:p>
                  </w:txbxContent>
                </v:textbox>
                <w10:wrap anchorx="page"/>
              </v:rect>
            </w:pict>
          </mc:Fallback>
        </mc:AlternateContent>
      </w:r>
      <w:r w:rsidR="00CE3E32" w:rsidRPr="00CE3E32">
        <w:rPr>
          <w:rFonts w:ascii="Arial" w:hAnsi="Arial" w:cs="Arial"/>
          <w:b/>
          <w:iCs/>
          <w:color w:val="C00000"/>
        </w:rPr>
        <w:t>Hủ</w:t>
      </w:r>
      <w:bookmarkStart w:id="0" w:name="_GoBack"/>
      <w:r w:rsidR="00CE3E32" w:rsidRPr="00CE3E32">
        <w:rPr>
          <w:rFonts w:ascii="Arial" w:hAnsi="Arial" w:cs="Arial"/>
          <w:b/>
          <w:iCs/>
          <w:color w:val="C00000"/>
        </w:rPr>
        <w:t>y bỏ hiệu lực bằng sáng chế châu Âu: Tác động đến sáng chế tại Việt Nam như thế nào?</w:t>
      </w:r>
    </w:p>
    <w:bookmarkEnd w:id="0"/>
    <w:p w14:paraId="7D2C8C7B" w14:textId="77777777" w:rsidR="00CE3E32" w:rsidRDefault="00CE3E32" w:rsidP="00CE3E32">
      <w:pPr>
        <w:pStyle w:val="NormalWeb"/>
        <w:spacing w:before="0" w:beforeAutospacing="0" w:after="0" w:afterAutospacing="0"/>
        <w:jc w:val="both"/>
        <w:rPr>
          <w:i/>
          <w:iCs/>
        </w:rPr>
      </w:pPr>
    </w:p>
    <w:p w14:paraId="31164DCF" w14:textId="77777777" w:rsidR="00CE3E32" w:rsidRPr="00C03B0D" w:rsidRDefault="00CE3E32" w:rsidP="00CE3E32">
      <w:pPr>
        <w:pStyle w:val="NormalWeb"/>
        <w:spacing w:before="0" w:beforeAutospacing="0" w:after="0" w:afterAutospacing="0"/>
        <w:jc w:val="both"/>
        <w:rPr>
          <w:rFonts w:ascii="Arial" w:hAnsi="Arial" w:cs="Arial"/>
          <w:i/>
          <w:iCs/>
          <w:sz w:val="20"/>
          <w:szCs w:val="20"/>
        </w:rPr>
      </w:pPr>
      <w:r w:rsidRPr="00585E94">
        <w:rPr>
          <w:rFonts w:ascii="Arial" w:hAnsi="Arial" w:cs="Arial"/>
          <w:i/>
          <w:iCs/>
          <w:sz w:val="20"/>
          <w:szCs w:val="20"/>
        </w:rPr>
        <w:t>Nhiều doanh nghiệp lo ngại rằng việc bằng sáng chế châu Âu bị hủy bỏ sẽ tự động dẫn đến việc mất quyền bảo hộ tại Việt Nam. Một quyết định hủy bỏ bằng sáng chế tại châu Âu liệu có thể "vượt biên giới" và ảnh</w:t>
      </w:r>
      <w:r w:rsidRPr="00C03B0D">
        <w:rPr>
          <w:rFonts w:ascii="Arial" w:hAnsi="Arial" w:cs="Arial"/>
          <w:i/>
          <w:iCs/>
          <w:sz w:val="20"/>
          <w:szCs w:val="20"/>
        </w:rPr>
        <w:t xml:space="preserve"> hưởng đến bằng sáng chế của bạn tại Việt Nam? KENFOX IP &amp; Law Office cung cấp các hướng dẫn chi tiết liên quan đến mối quan hệ giữa việc sáng chế bị hủy bỏ tại Châu Âu và ảnh hưởng của nó tới bằng sáng chế tại Việt Nam.</w:t>
      </w:r>
    </w:p>
    <w:p w14:paraId="3FB3D33E" w14:textId="77777777" w:rsidR="00CE3E32" w:rsidRPr="00C03B0D" w:rsidRDefault="00CE3E32" w:rsidP="00CE3E32">
      <w:pPr>
        <w:pStyle w:val="NormalWeb"/>
        <w:spacing w:before="0" w:beforeAutospacing="0" w:after="0" w:afterAutospacing="0"/>
        <w:jc w:val="both"/>
        <w:rPr>
          <w:rFonts w:ascii="Arial" w:hAnsi="Arial" w:cs="Arial"/>
          <w:i/>
          <w:iCs/>
          <w:sz w:val="20"/>
          <w:szCs w:val="20"/>
        </w:rPr>
      </w:pPr>
    </w:p>
    <w:p w14:paraId="70BBD194" w14:textId="77777777" w:rsidR="00CE3E32" w:rsidRPr="00C03B0D" w:rsidRDefault="00CE3E32" w:rsidP="00CE3E32">
      <w:pPr>
        <w:pStyle w:val="NormalWeb"/>
        <w:spacing w:before="0" w:beforeAutospacing="0" w:after="0" w:afterAutospacing="0"/>
        <w:jc w:val="both"/>
        <w:rPr>
          <w:rFonts w:ascii="Arial" w:hAnsi="Arial" w:cs="Arial"/>
          <w:sz w:val="20"/>
          <w:szCs w:val="20"/>
        </w:rPr>
      </w:pPr>
      <w:r w:rsidRPr="00C03B0D">
        <w:rPr>
          <w:rFonts w:ascii="Arial" w:hAnsi="Arial" w:cs="Arial"/>
          <w:sz w:val="20"/>
          <w:szCs w:val="20"/>
        </w:rPr>
        <w:t xml:space="preserve">Có thể khẳng định rằng, mặc dù việc hủy bỏ hiệu lực bằng sáng chế châu Âu có thể ảnh hưởng đến bằng sáng chế Việt Nam, nhưng nó không “tự động” dẫn đến việc </w:t>
      </w:r>
      <w:hyperlink r:id="rId7" w:history="1">
        <w:r w:rsidRPr="00EB6C47">
          <w:rPr>
            <w:rStyle w:val="Hyperlink"/>
            <w:rFonts w:ascii="Arial" w:hAnsi="Arial" w:cs="Arial"/>
            <w:sz w:val="20"/>
            <w:szCs w:val="20"/>
          </w:rPr>
          <w:t>hủy bỏ bằng sáng chế tại Việt Nam</w:t>
        </w:r>
      </w:hyperlink>
      <w:r w:rsidRPr="00C03B0D">
        <w:rPr>
          <w:rFonts w:ascii="Arial" w:hAnsi="Arial" w:cs="Arial"/>
          <w:sz w:val="20"/>
          <w:szCs w:val="20"/>
        </w:rPr>
        <w:t>.</w:t>
      </w:r>
    </w:p>
    <w:p w14:paraId="706415B8" w14:textId="77777777" w:rsidR="00CE3E32" w:rsidRPr="00C03B0D" w:rsidRDefault="00CE3E32" w:rsidP="00CE3E32">
      <w:pPr>
        <w:pStyle w:val="NormalWeb"/>
        <w:spacing w:before="0" w:beforeAutospacing="0" w:after="0" w:afterAutospacing="0"/>
        <w:jc w:val="both"/>
        <w:rPr>
          <w:rFonts w:ascii="Arial" w:hAnsi="Arial" w:cs="Arial"/>
          <w:sz w:val="20"/>
          <w:szCs w:val="20"/>
        </w:rPr>
      </w:pPr>
    </w:p>
    <w:p w14:paraId="4AA236E5" w14:textId="77777777" w:rsidR="00CE3E32" w:rsidRPr="00C03B0D" w:rsidRDefault="00CE3E32" w:rsidP="00CE3E32">
      <w:pPr>
        <w:pStyle w:val="NormalWeb"/>
        <w:spacing w:before="0" w:beforeAutospacing="0" w:after="0" w:afterAutospacing="0"/>
        <w:jc w:val="both"/>
        <w:rPr>
          <w:rFonts w:ascii="Arial" w:hAnsi="Arial" w:cs="Arial"/>
          <w:sz w:val="20"/>
          <w:szCs w:val="20"/>
        </w:rPr>
      </w:pPr>
      <w:r w:rsidRPr="00C03B0D">
        <w:rPr>
          <w:rFonts w:ascii="Arial" w:hAnsi="Arial" w:cs="Arial"/>
          <w:sz w:val="20"/>
          <w:szCs w:val="20"/>
        </w:rPr>
        <w:t xml:space="preserve">Hệ thống </w:t>
      </w:r>
      <w:hyperlink r:id="rId8" w:history="1">
        <w:r w:rsidRPr="000D54D0">
          <w:rPr>
            <w:rStyle w:val="Hyperlink"/>
            <w:rFonts w:ascii="Arial" w:hAnsi="Arial" w:cs="Arial"/>
            <w:sz w:val="20"/>
            <w:szCs w:val="20"/>
          </w:rPr>
          <w:t>bảo hộ sáng chế</w:t>
        </w:r>
      </w:hyperlink>
      <w:r w:rsidRPr="00C03B0D">
        <w:rPr>
          <w:rFonts w:ascii="Arial" w:hAnsi="Arial" w:cs="Arial"/>
          <w:sz w:val="20"/>
          <w:szCs w:val="20"/>
        </w:rPr>
        <w:t xml:space="preserve"> của Việt Nam hoạt động độc lập với châu Âu. Sáng chế đang được nộp đơn đăng ký hay đã được cấp bảo hộ tại Việt Nam không tự động bị hủy bỏ hiệu lực chỉ dựa trên việc bằng </w:t>
      </w:r>
      <w:r>
        <w:rPr>
          <w:rFonts w:ascii="Arial" w:hAnsi="Arial" w:cs="Arial"/>
          <w:sz w:val="20"/>
          <w:szCs w:val="20"/>
        </w:rPr>
        <w:t xml:space="preserve">đồng dạng của </w:t>
      </w:r>
      <w:r w:rsidRPr="00C03B0D">
        <w:rPr>
          <w:rFonts w:ascii="Arial" w:hAnsi="Arial" w:cs="Arial"/>
          <w:sz w:val="20"/>
          <w:szCs w:val="20"/>
        </w:rPr>
        <w:t xml:space="preserve">sáng chế đó đã bị hủy bỏ hiệu lực ở một quốc gia khác. Mỗi quốc gia có quy trình thẩm định và xác lập hiệu lực sáng chế độc lập. Về "căn cứ hủy bỏ hiệu lực bằng sáng chế", Việt Nam thiết lập các căn cứ riêng để hủy bỏ hiệu lực </w:t>
      </w:r>
      <w:r>
        <w:rPr>
          <w:rFonts w:ascii="Arial" w:hAnsi="Arial" w:cs="Arial"/>
          <w:sz w:val="20"/>
          <w:szCs w:val="20"/>
        </w:rPr>
        <w:t xml:space="preserve">toàn bộ hoặc một phần </w:t>
      </w:r>
      <w:r w:rsidRPr="00C03B0D">
        <w:rPr>
          <w:rFonts w:ascii="Arial" w:hAnsi="Arial" w:cs="Arial"/>
          <w:sz w:val="20"/>
          <w:szCs w:val="20"/>
        </w:rPr>
        <w:t>bằng sáng chế tại Điều 96 Luật Sở hữu trí tuệ sửa đổi năm 2023, bao gồm:</w:t>
      </w:r>
    </w:p>
    <w:p w14:paraId="4C20BD31" w14:textId="77777777" w:rsidR="00CE3E32" w:rsidRPr="00C03B0D" w:rsidRDefault="00CE3E32" w:rsidP="00CE3E32">
      <w:pPr>
        <w:pStyle w:val="NormalWeb"/>
        <w:spacing w:before="0" w:beforeAutospacing="0" w:after="0" w:afterAutospacing="0"/>
        <w:jc w:val="both"/>
        <w:rPr>
          <w:rFonts w:ascii="Arial" w:hAnsi="Arial" w:cs="Arial"/>
          <w:sz w:val="20"/>
          <w:szCs w:val="20"/>
        </w:rPr>
      </w:pPr>
    </w:p>
    <w:p w14:paraId="1F06DE04" w14:textId="77777777" w:rsidR="00CE3E32" w:rsidRPr="00C03B0D" w:rsidRDefault="00CE3E32" w:rsidP="00CE3E32">
      <w:pPr>
        <w:pStyle w:val="NormalWeb"/>
        <w:numPr>
          <w:ilvl w:val="0"/>
          <w:numId w:val="21"/>
        </w:numPr>
        <w:spacing w:before="0" w:beforeAutospacing="0" w:after="0" w:afterAutospacing="0"/>
        <w:jc w:val="both"/>
        <w:rPr>
          <w:rFonts w:ascii="Arial" w:hAnsi="Arial" w:cs="Arial"/>
          <w:sz w:val="20"/>
          <w:szCs w:val="20"/>
        </w:rPr>
      </w:pPr>
      <w:r w:rsidRPr="00C03B0D">
        <w:rPr>
          <w:rStyle w:val="Strong"/>
          <w:rFonts w:ascii="Arial" w:hAnsi="Arial" w:cs="Arial"/>
          <w:sz w:val="20"/>
          <w:szCs w:val="20"/>
        </w:rPr>
        <w:t>Vi phạm quy định về kiểm soát an ninh:</w:t>
      </w:r>
      <w:r w:rsidRPr="00C03B0D">
        <w:rPr>
          <w:rFonts w:ascii="Arial" w:hAnsi="Arial" w:cs="Arial"/>
          <w:sz w:val="20"/>
          <w:szCs w:val="20"/>
        </w:rPr>
        <w:t xml:space="preserve"> Đơn đăng ký sáng chế được nộp vi phạm các quy định về kiểm soát an ninh đối với sáng chế.</w:t>
      </w:r>
    </w:p>
    <w:p w14:paraId="657FF16E" w14:textId="77777777" w:rsidR="00CE3E32" w:rsidRPr="00C03B0D" w:rsidRDefault="00CE3E32" w:rsidP="00CE3E32">
      <w:pPr>
        <w:pStyle w:val="NormalWeb"/>
        <w:numPr>
          <w:ilvl w:val="0"/>
          <w:numId w:val="21"/>
        </w:numPr>
        <w:spacing w:before="0" w:beforeAutospacing="0" w:after="0" w:afterAutospacing="0"/>
        <w:jc w:val="both"/>
        <w:rPr>
          <w:rFonts w:ascii="Arial" w:hAnsi="Arial" w:cs="Arial"/>
          <w:sz w:val="20"/>
          <w:szCs w:val="20"/>
        </w:rPr>
      </w:pPr>
      <w:r>
        <w:rPr>
          <w:rStyle w:val="Strong"/>
          <w:rFonts w:ascii="Arial" w:hAnsi="Arial" w:cs="Arial"/>
          <w:sz w:val="20"/>
          <w:szCs w:val="20"/>
        </w:rPr>
        <w:t>K</w:t>
      </w:r>
      <w:r w:rsidRPr="00AE579D">
        <w:rPr>
          <w:rStyle w:val="Strong"/>
          <w:rFonts w:ascii="Arial" w:hAnsi="Arial" w:cs="Arial"/>
          <w:sz w:val="20"/>
          <w:szCs w:val="20"/>
        </w:rPr>
        <w:t xml:space="preserve">hông bộc lộ hoặc bộc lộ không chính xác </w:t>
      </w:r>
      <w:r w:rsidRPr="00C03B0D">
        <w:rPr>
          <w:rStyle w:val="Strong"/>
          <w:rFonts w:ascii="Arial" w:hAnsi="Arial" w:cs="Arial"/>
          <w:sz w:val="20"/>
          <w:szCs w:val="20"/>
        </w:rPr>
        <w:t>nguồn gen hoặc tri thức truyền thống:</w:t>
      </w:r>
      <w:r w:rsidRPr="00C03B0D">
        <w:rPr>
          <w:rFonts w:ascii="Arial" w:hAnsi="Arial" w:cs="Arial"/>
          <w:sz w:val="20"/>
          <w:szCs w:val="20"/>
        </w:rPr>
        <w:t xml:space="preserve"> Đơn đăng ký sáng chế đối với sáng chế được tạo ra trực tiếp dựa trên nguồn gen hoặc tri thức truyền thống về nguồn gen nhưng không </w:t>
      </w:r>
      <w:r>
        <w:rPr>
          <w:rFonts w:ascii="Arial" w:hAnsi="Arial" w:cs="Arial"/>
          <w:sz w:val="20"/>
          <w:szCs w:val="20"/>
        </w:rPr>
        <w:t>bộc lộ</w:t>
      </w:r>
      <w:r w:rsidRPr="00C03B0D">
        <w:rPr>
          <w:rFonts w:ascii="Arial" w:hAnsi="Arial" w:cs="Arial"/>
          <w:sz w:val="20"/>
          <w:szCs w:val="20"/>
        </w:rPr>
        <w:t xml:space="preserve"> hoặc </w:t>
      </w:r>
      <w:r>
        <w:rPr>
          <w:rFonts w:ascii="Arial" w:hAnsi="Arial" w:cs="Arial"/>
          <w:sz w:val="20"/>
          <w:szCs w:val="20"/>
        </w:rPr>
        <w:t>bộc lộ</w:t>
      </w:r>
      <w:r w:rsidRPr="00C03B0D">
        <w:rPr>
          <w:rFonts w:ascii="Arial" w:hAnsi="Arial" w:cs="Arial"/>
          <w:sz w:val="20"/>
          <w:szCs w:val="20"/>
        </w:rPr>
        <w:t xml:space="preserve"> không chính xác nguồn gốc của nguồn gen hoặc tri thức truyền thống về nguồn gen được nêu trong bản mô tả sáng chế.</w:t>
      </w:r>
    </w:p>
    <w:p w14:paraId="785DE8B7" w14:textId="77777777" w:rsidR="00CE3E32" w:rsidRPr="00C03B0D" w:rsidRDefault="00CE3E32" w:rsidP="00CE3E32">
      <w:pPr>
        <w:pStyle w:val="NormalWeb"/>
        <w:numPr>
          <w:ilvl w:val="0"/>
          <w:numId w:val="21"/>
        </w:numPr>
        <w:spacing w:before="0" w:beforeAutospacing="0" w:after="0" w:afterAutospacing="0"/>
        <w:jc w:val="both"/>
        <w:rPr>
          <w:rFonts w:ascii="Arial" w:hAnsi="Arial" w:cs="Arial"/>
          <w:sz w:val="20"/>
          <w:szCs w:val="20"/>
        </w:rPr>
      </w:pPr>
      <w:r w:rsidRPr="00C03B0D">
        <w:rPr>
          <w:rStyle w:val="Strong"/>
          <w:rFonts w:ascii="Arial" w:hAnsi="Arial" w:cs="Arial"/>
          <w:sz w:val="20"/>
          <w:szCs w:val="20"/>
        </w:rPr>
        <w:t xml:space="preserve">Không có quyền </w:t>
      </w:r>
      <w:r>
        <w:rPr>
          <w:rStyle w:val="Strong"/>
          <w:rFonts w:ascii="Arial" w:hAnsi="Arial" w:cs="Arial"/>
          <w:sz w:val="20"/>
          <w:szCs w:val="20"/>
        </w:rPr>
        <w:t>đăng ký</w:t>
      </w:r>
      <w:r w:rsidRPr="00C03B0D">
        <w:rPr>
          <w:rStyle w:val="Strong"/>
          <w:rFonts w:ascii="Arial" w:hAnsi="Arial" w:cs="Arial"/>
          <w:sz w:val="20"/>
          <w:szCs w:val="20"/>
        </w:rPr>
        <w:t>:</w:t>
      </w:r>
      <w:r w:rsidRPr="00C03B0D">
        <w:rPr>
          <w:rFonts w:ascii="Arial" w:hAnsi="Arial" w:cs="Arial"/>
          <w:sz w:val="20"/>
          <w:szCs w:val="20"/>
        </w:rPr>
        <w:t xml:space="preserve"> Người nộp đơn không có hoặc không được chuyển </w:t>
      </w:r>
      <w:r>
        <w:rPr>
          <w:rFonts w:ascii="Arial" w:hAnsi="Arial" w:cs="Arial"/>
          <w:sz w:val="20"/>
          <w:szCs w:val="20"/>
        </w:rPr>
        <w:t>nhượng</w:t>
      </w:r>
      <w:r w:rsidRPr="00C03B0D">
        <w:rPr>
          <w:rFonts w:ascii="Arial" w:hAnsi="Arial" w:cs="Arial"/>
          <w:sz w:val="20"/>
          <w:szCs w:val="20"/>
        </w:rPr>
        <w:t xml:space="preserve"> quyền đăng ký sáng chế.</w:t>
      </w:r>
    </w:p>
    <w:p w14:paraId="45B5B9EE" w14:textId="77777777" w:rsidR="00CE3E32" w:rsidRPr="00C03B0D" w:rsidRDefault="00CE3E32" w:rsidP="00CE3E32">
      <w:pPr>
        <w:pStyle w:val="NormalWeb"/>
        <w:numPr>
          <w:ilvl w:val="0"/>
          <w:numId w:val="21"/>
        </w:numPr>
        <w:spacing w:before="0" w:beforeAutospacing="0" w:after="0" w:afterAutospacing="0"/>
        <w:jc w:val="both"/>
        <w:rPr>
          <w:rFonts w:ascii="Arial" w:hAnsi="Arial" w:cs="Arial"/>
          <w:sz w:val="20"/>
          <w:szCs w:val="20"/>
        </w:rPr>
      </w:pPr>
      <w:r w:rsidRPr="00C03B0D">
        <w:rPr>
          <w:rStyle w:val="Strong"/>
          <w:rFonts w:ascii="Arial" w:hAnsi="Arial" w:cs="Arial"/>
          <w:sz w:val="20"/>
          <w:szCs w:val="20"/>
        </w:rPr>
        <w:t>Đối tượng không được bảo hộ bằng sáng chế:</w:t>
      </w:r>
      <w:r w:rsidRPr="00C03B0D">
        <w:rPr>
          <w:rFonts w:ascii="Arial" w:hAnsi="Arial" w:cs="Arial"/>
          <w:sz w:val="20"/>
          <w:szCs w:val="20"/>
        </w:rPr>
        <w:t xml:space="preserve"> Sáng chế không đáp ứng các yêu cầu về khả năng bảo hộ được quy định tại Điều 8 (</w:t>
      </w:r>
      <w:r w:rsidRPr="00C03B0D">
        <w:rPr>
          <w:rFonts w:ascii="Arial" w:hAnsi="Arial" w:cs="Arial"/>
          <w:i/>
          <w:iCs/>
          <w:sz w:val="20"/>
          <w:szCs w:val="20"/>
        </w:rPr>
        <w:t>trái với đạo đức xã hội và trật tự công cộng hoặc gây phương hại đến quốc phòng và an ninh</w:t>
      </w:r>
      <w:r w:rsidRPr="00C03B0D">
        <w:rPr>
          <w:rFonts w:ascii="Arial" w:hAnsi="Arial" w:cs="Arial"/>
          <w:sz w:val="20"/>
          <w:szCs w:val="20"/>
        </w:rPr>
        <w:t>) và Chương VII (</w:t>
      </w:r>
      <w:r w:rsidRPr="00C03B0D">
        <w:rPr>
          <w:rFonts w:ascii="Arial" w:hAnsi="Arial" w:cs="Arial"/>
          <w:i/>
          <w:iCs/>
          <w:sz w:val="20"/>
          <w:szCs w:val="20"/>
        </w:rPr>
        <w:t>không đáp ứng các yêu cầu bảo hộ về tính mới, tính sáng tạo và khả năng áp dụng công nghiệp</w:t>
      </w:r>
      <w:r w:rsidRPr="00C03B0D">
        <w:rPr>
          <w:rFonts w:ascii="Arial" w:hAnsi="Arial" w:cs="Arial"/>
          <w:sz w:val="20"/>
          <w:szCs w:val="20"/>
        </w:rPr>
        <w:t>).</w:t>
      </w:r>
    </w:p>
    <w:p w14:paraId="67AAA644" w14:textId="77777777" w:rsidR="00CE3E32" w:rsidRPr="00C03B0D" w:rsidRDefault="00CE3E32" w:rsidP="00CE3E32">
      <w:pPr>
        <w:pStyle w:val="NormalWeb"/>
        <w:numPr>
          <w:ilvl w:val="0"/>
          <w:numId w:val="21"/>
        </w:numPr>
        <w:spacing w:before="0" w:beforeAutospacing="0" w:after="0" w:afterAutospacing="0"/>
        <w:jc w:val="both"/>
        <w:rPr>
          <w:rFonts w:ascii="Arial" w:hAnsi="Arial" w:cs="Arial"/>
          <w:sz w:val="20"/>
          <w:szCs w:val="20"/>
        </w:rPr>
      </w:pPr>
      <w:r w:rsidRPr="00C03B0D">
        <w:rPr>
          <w:rStyle w:val="Strong"/>
          <w:rFonts w:ascii="Arial" w:hAnsi="Arial" w:cs="Arial"/>
          <w:sz w:val="20"/>
          <w:szCs w:val="20"/>
        </w:rPr>
        <w:t>Sửa đổi không được phép:</w:t>
      </w:r>
      <w:r w:rsidRPr="00C03B0D">
        <w:rPr>
          <w:rFonts w:ascii="Arial" w:hAnsi="Arial" w:cs="Arial"/>
          <w:sz w:val="20"/>
          <w:szCs w:val="20"/>
        </w:rPr>
        <w:t xml:space="preserve"> Việc </w:t>
      </w:r>
      <w:hyperlink r:id="rId9" w:history="1">
        <w:r w:rsidRPr="001C491C">
          <w:rPr>
            <w:rStyle w:val="Hyperlink"/>
            <w:rFonts w:ascii="Arial" w:hAnsi="Arial" w:cs="Arial"/>
            <w:sz w:val="20"/>
            <w:szCs w:val="20"/>
          </w:rPr>
          <w:t>sửa đổi, bổ sung sáng chế</w:t>
        </w:r>
      </w:hyperlink>
      <w:r w:rsidRPr="00C03B0D">
        <w:rPr>
          <w:rFonts w:ascii="Arial" w:hAnsi="Arial" w:cs="Arial"/>
          <w:sz w:val="20"/>
          <w:szCs w:val="20"/>
        </w:rPr>
        <w:t xml:space="preserve"> vượt quá phạm vi của đối tượng </w:t>
      </w:r>
      <w:r>
        <w:rPr>
          <w:rFonts w:ascii="Arial" w:hAnsi="Arial" w:cs="Arial"/>
          <w:sz w:val="20"/>
          <w:szCs w:val="20"/>
        </w:rPr>
        <w:t xml:space="preserve">đã </w:t>
      </w:r>
      <w:r w:rsidRPr="00C03B0D">
        <w:rPr>
          <w:rFonts w:ascii="Arial" w:hAnsi="Arial" w:cs="Arial"/>
          <w:sz w:val="20"/>
          <w:szCs w:val="20"/>
        </w:rPr>
        <w:t xml:space="preserve">được </w:t>
      </w:r>
      <w:r>
        <w:rPr>
          <w:rFonts w:ascii="Arial" w:hAnsi="Arial" w:cs="Arial"/>
          <w:sz w:val="20"/>
          <w:szCs w:val="20"/>
        </w:rPr>
        <w:t>bộc lộ</w:t>
      </w:r>
      <w:r w:rsidRPr="00C03B0D">
        <w:rPr>
          <w:rFonts w:ascii="Arial" w:hAnsi="Arial" w:cs="Arial"/>
          <w:sz w:val="20"/>
          <w:szCs w:val="20"/>
        </w:rPr>
        <w:t xml:space="preserve"> hoặc nêu trong đơn hoặc dẫn đến thay đổi bản chất của đối tượng </w:t>
      </w:r>
      <w:r>
        <w:rPr>
          <w:rFonts w:ascii="Arial" w:hAnsi="Arial" w:cs="Arial"/>
          <w:sz w:val="20"/>
          <w:szCs w:val="20"/>
        </w:rPr>
        <w:t>yêu cầu đăng ký nêu trong đơn</w:t>
      </w:r>
      <w:r w:rsidRPr="00C03B0D">
        <w:rPr>
          <w:rFonts w:ascii="Arial" w:hAnsi="Arial" w:cs="Arial"/>
          <w:sz w:val="20"/>
          <w:szCs w:val="20"/>
        </w:rPr>
        <w:t>.</w:t>
      </w:r>
    </w:p>
    <w:p w14:paraId="18B9717F" w14:textId="77777777" w:rsidR="00CE3E32" w:rsidRPr="00C03B0D" w:rsidRDefault="00CE3E32" w:rsidP="00CE3E32">
      <w:pPr>
        <w:pStyle w:val="NormalWeb"/>
        <w:numPr>
          <w:ilvl w:val="0"/>
          <w:numId w:val="21"/>
        </w:numPr>
        <w:spacing w:before="0" w:beforeAutospacing="0" w:after="0" w:afterAutospacing="0"/>
        <w:jc w:val="both"/>
        <w:rPr>
          <w:rFonts w:ascii="Arial" w:hAnsi="Arial" w:cs="Arial"/>
          <w:sz w:val="20"/>
          <w:szCs w:val="20"/>
        </w:rPr>
      </w:pPr>
      <w:r w:rsidRPr="00C03B0D">
        <w:rPr>
          <w:rStyle w:val="Strong"/>
          <w:rFonts w:ascii="Arial" w:hAnsi="Arial" w:cs="Arial"/>
          <w:sz w:val="20"/>
          <w:szCs w:val="20"/>
        </w:rPr>
        <w:t>Bộc lộ không đầy đủ:</w:t>
      </w:r>
      <w:r w:rsidRPr="00C03B0D">
        <w:rPr>
          <w:rFonts w:ascii="Arial" w:hAnsi="Arial" w:cs="Arial"/>
          <w:sz w:val="20"/>
          <w:szCs w:val="20"/>
        </w:rPr>
        <w:t xml:space="preserve"> Sáng chế không được </w:t>
      </w:r>
      <w:hyperlink r:id="rId10" w:history="1">
        <w:r w:rsidRPr="00F1602E">
          <w:rPr>
            <w:rStyle w:val="Hyperlink"/>
            <w:rFonts w:ascii="Arial" w:hAnsi="Arial" w:cs="Arial"/>
            <w:sz w:val="20"/>
            <w:szCs w:val="20"/>
          </w:rPr>
          <w:t>bộc lộ đầy đủ và rõ ràng</w:t>
        </w:r>
      </w:hyperlink>
      <w:r w:rsidRPr="00C03B0D">
        <w:rPr>
          <w:rFonts w:ascii="Arial" w:hAnsi="Arial" w:cs="Arial"/>
          <w:sz w:val="20"/>
          <w:szCs w:val="20"/>
        </w:rPr>
        <w:t xml:space="preserve"> đến mức một người có hiểu biết trung bình trong lĩnh vực kỹ thuật tương ứng có thể thực hiện được.</w:t>
      </w:r>
    </w:p>
    <w:p w14:paraId="1D43D31B" w14:textId="77777777" w:rsidR="00CE3E32" w:rsidRPr="00C03B0D" w:rsidRDefault="00CE3E32" w:rsidP="00CE3E32">
      <w:pPr>
        <w:pStyle w:val="NormalWeb"/>
        <w:numPr>
          <w:ilvl w:val="0"/>
          <w:numId w:val="21"/>
        </w:numPr>
        <w:spacing w:before="0" w:beforeAutospacing="0" w:after="0" w:afterAutospacing="0"/>
        <w:jc w:val="both"/>
        <w:rPr>
          <w:rFonts w:ascii="Arial" w:hAnsi="Arial" w:cs="Arial"/>
          <w:sz w:val="20"/>
          <w:szCs w:val="20"/>
        </w:rPr>
      </w:pPr>
      <w:r w:rsidRPr="00C03B0D">
        <w:rPr>
          <w:rStyle w:val="Strong"/>
          <w:rFonts w:ascii="Arial" w:hAnsi="Arial" w:cs="Arial"/>
          <w:sz w:val="20"/>
          <w:szCs w:val="20"/>
        </w:rPr>
        <w:t>Yêu cầu bảo hộ quá rộng:</w:t>
      </w:r>
      <w:r w:rsidRPr="00C03B0D">
        <w:rPr>
          <w:rFonts w:ascii="Arial" w:hAnsi="Arial" w:cs="Arial"/>
          <w:sz w:val="20"/>
          <w:szCs w:val="20"/>
        </w:rPr>
        <w:t xml:space="preserve"> Sáng chế được cấp </w:t>
      </w:r>
      <w:r>
        <w:rPr>
          <w:rFonts w:ascii="Arial" w:hAnsi="Arial" w:cs="Arial"/>
          <w:sz w:val="20"/>
          <w:szCs w:val="20"/>
        </w:rPr>
        <w:t xml:space="preserve">văn </w:t>
      </w:r>
      <w:r w:rsidRPr="00C03B0D">
        <w:rPr>
          <w:rFonts w:ascii="Arial" w:hAnsi="Arial" w:cs="Arial"/>
          <w:sz w:val="20"/>
          <w:szCs w:val="20"/>
        </w:rPr>
        <w:t xml:space="preserve">bằng với phạm vi </w:t>
      </w:r>
      <w:r>
        <w:rPr>
          <w:rFonts w:ascii="Arial" w:hAnsi="Arial" w:cs="Arial"/>
          <w:sz w:val="20"/>
          <w:szCs w:val="20"/>
        </w:rPr>
        <w:t>bảo hộ</w:t>
      </w:r>
      <w:r w:rsidRPr="00C03B0D">
        <w:rPr>
          <w:rFonts w:ascii="Arial" w:hAnsi="Arial" w:cs="Arial"/>
          <w:sz w:val="20"/>
          <w:szCs w:val="20"/>
        </w:rPr>
        <w:t xml:space="preserve"> vượt quá phạm vi </w:t>
      </w:r>
      <w:r>
        <w:rPr>
          <w:rFonts w:ascii="Arial" w:hAnsi="Arial" w:cs="Arial"/>
          <w:sz w:val="20"/>
          <w:szCs w:val="20"/>
        </w:rPr>
        <w:t xml:space="preserve">bộc lộ ban đầu </w:t>
      </w:r>
      <w:r w:rsidRPr="00C03B0D">
        <w:rPr>
          <w:rFonts w:ascii="Arial" w:hAnsi="Arial" w:cs="Arial"/>
          <w:sz w:val="20"/>
          <w:szCs w:val="20"/>
        </w:rPr>
        <w:t>của đơn.</w:t>
      </w:r>
    </w:p>
    <w:p w14:paraId="4E066E9A" w14:textId="77777777" w:rsidR="00CE3E32" w:rsidRPr="00C03B0D" w:rsidRDefault="00CE3E32" w:rsidP="00CE3E32">
      <w:pPr>
        <w:pStyle w:val="NormalWeb"/>
        <w:numPr>
          <w:ilvl w:val="0"/>
          <w:numId w:val="21"/>
        </w:numPr>
        <w:spacing w:before="0" w:beforeAutospacing="0" w:after="0" w:afterAutospacing="0"/>
        <w:jc w:val="both"/>
        <w:rPr>
          <w:rFonts w:ascii="Arial" w:hAnsi="Arial" w:cs="Arial"/>
          <w:sz w:val="20"/>
          <w:szCs w:val="20"/>
        </w:rPr>
      </w:pPr>
      <w:r w:rsidRPr="00C03B0D">
        <w:rPr>
          <w:rStyle w:val="Strong"/>
          <w:rFonts w:ascii="Arial" w:hAnsi="Arial" w:cs="Arial"/>
          <w:sz w:val="20"/>
          <w:szCs w:val="20"/>
        </w:rPr>
        <w:t>Vi phạm nguyên tắc nộp đơn đầu tiên:</w:t>
      </w:r>
      <w:r w:rsidRPr="00C03B0D">
        <w:rPr>
          <w:rFonts w:ascii="Arial" w:hAnsi="Arial" w:cs="Arial"/>
          <w:sz w:val="20"/>
          <w:szCs w:val="20"/>
        </w:rPr>
        <w:t xml:space="preserve"> Sáng chế được cấp không tuân thủ nguyên tắc nộp đơn đầu tiên được quy định tại Điều 90 của Luật này.</w:t>
      </w:r>
    </w:p>
    <w:p w14:paraId="67CDE1D6" w14:textId="77777777" w:rsidR="00CE3E32" w:rsidRPr="00C03B0D" w:rsidRDefault="00CE3E32" w:rsidP="00CE3E32">
      <w:pPr>
        <w:pStyle w:val="NormalWeb"/>
        <w:spacing w:before="0" w:beforeAutospacing="0" w:after="0" w:afterAutospacing="0"/>
        <w:jc w:val="both"/>
        <w:rPr>
          <w:rFonts w:ascii="Arial" w:hAnsi="Arial" w:cs="Arial"/>
          <w:sz w:val="20"/>
          <w:szCs w:val="20"/>
        </w:rPr>
      </w:pPr>
    </w:p>
    <w:p w14:paraId="605DAB0D" w14:textId="77777777" w:rsidR="00CE3E32" w:rsidRPr="00C03B0D" w:rsidRDefault="00CE3E32" w:rsidP="00CE3E32">
      <w:pPr>
        <w:pStyle w:val="NormalWeb"/>
        <w:spacing w:before="0" w:beforeAutospacing="0" w:after="0" w:afterAutospacing="0"/>
        <w:jc w:val="both"/>
        <w:rPr>
          <w:rFonts w:ascii="Arial" w:hAnsi="Arial" w:cs="Arial"/>
          <w:sz w:val="20"/>
          <w:szCs w:val="20"/>
        </w:rPr>
      </w:pPr>
      <w:r w:rsidRPr="00C03B0D">
        <w:rPr>
          <w:rFonts w:ascii="Arial" w:hAnsi="Arial" w:cs="Arial"/>
          <w:sz w:val="20"/>
          <w:szCs w:val="20"/>
        </w:rPr>
        <w:t xml:space="preserve">Việc không trả lời Đơn Phản Đối hay Đơn Yêu Cầu hủy bỏ hiệu lực bằng sáng chế châu Âu </w:t>
      </w:r>
      <w:r>
        <w:rPr>
          <w:rFonts w:ascii="Arial" w:hAnsi="Arial" w:cs="Arial"/>
          <w:sz w:val="20"/>
          <w:szCs w:val="20"/>
        </w:rPr>
        <w:t xml:space="preserve">dẫn đến việc bằn sáng chế Châu Âu bị thu hồi </w:t>
      </w:r>
      <w:r w:rsidRPr="00C03B0D">
        <w:rPr>
          <w:rFonts w:ascii="Arial" w:hAnsi="Arial" w:cs="Arial"/>
          <w:sz w:val="20"/>
          <w:szCs w:val="20"/>
        </w:rPr>
        <w:t>không phải là căn cứ để hủy bỏ hiệu lực bằng sáng chế tại Việt Nam.</w:t>
      </w:r>
    </w:p>
    <w:p w14:paraId="04780989" w14:textId="77777777" w:rsidR="00CE3E32" w:rsidRPr="00C03B0D" w:rsidRDefault="00CE3E32" w:rsidP="00CE3E32">
      <w:pPr>
        <w:pStyle w:val="NormalWeb"/>
        <w:spacing w:before="0" w:beforeAutospacing="0" w:after="0" w:afterAutospacing="0"/>
        <w:jc w:val="both"/>
        <w:rPr>
          <w:rFonts w:ascii="Arial" w:hAnsi="Arial" w:cs="Arial"/>
          <w:b/>
          <w:bCs/>
          <w:sz w:val="20"/>
          <w:szCs w:val="20"/>
        </w:rPr>
      </w:pPr>
    </w:p>
    <w:p w14:paraId="0C129142" w14:textId="77777777" w:rsidR="00CE3E32" w:rsidRPr="00505508" w:rsidRDefault="00CE3E32" w:rsidP="00CE3E32">
      <w:pPr>
        <w:pStyle w:val="NormalWeb"/>
        <w:spacing w:before="0" w:beforeAutospacing="0" w:after="0" w:afterAutospacing="0"/>
        <w:jc w:val="both"/>
        <w:rPr>
          <w:rFonts w:ascii="Arial" w:hAnsi="Arial" w:cs="Arial"/>
          <w:sz w:val="20"/>
          <w:szCs w:val="20"/>
        </w:rPr>
      </w:pPr>
      <w:r w:rsidRPr="00C03B0D">
        <w:rPr>
          <w:rFonts w:ascii="Arial" w:hAnsi="Arial" w:cs="Arial"/>
          <w:b/>
          <w:bCs/>
          <w:sz w:val="20"/>
          <w:szCs w:val="20"/>
        </w:rPr>
        <w:t>Tình huống</w:t>
      </w:r>
      <w:r w:rsidRPr="00C03B0D">
        <w:rPr>
          <w:rFonts w:ascii="Arial" w:hAnsi="Arial" w:cs="Arial"/>
          <w:sz w:val="20"/>
          <w:szCs w:val="20"/>
        </w:rPr>
        <w:t xml:space="preserve">: </w:t>
      </w:r>
      <w:r w:rsidRPr="00505508">
        <w:rPr>
          <w:rFonts w:ascii="Arial" w:hAnsi="Arial" w:cs="Arial"/>
          <w:sz w:val="20"/>
          <w:szCs w:val="20"/>
        </w:rPr>
        <w:t xml:space="preserve">Công ty </w:t>
      </w:r>
      <w:r w:rsidRPr="00C03B0D">
        <w:rPr>
          <w:rFonts w:ascii="Arial" w:hAnsi="Arial" w:cs="Arial"/>
          <w:sz w:val="20"/>
          <w:szCs w:val="20"/>
        </w:rPr>
        <w:t>EliLil</w:t>
      </w:r>
      <w:r w:rsidRPr="00505508">
        <w:rPr>
          <w:rFonts w:ascii="Arial" w:hAnsi="Arial" w:cs="Arial"/>
          <w:sz w:val="20"/>
          <w:szCs w:val="20"/>
        </w:rPr>
        <w:t xml:space="preserve"> tại Việt Nam được </w:t>
      </w:r>
      <w:hyperlink r:id="rId11" w:history="1">
        <w:r w:rsidRPr="008F5D29">
          <w:rPr>
            <w:rStyle w:val="Hyperlink"/>
            <w:rFonts w:ascii="Arial" w:hAnsi="Arial" w:cs="Arial"/>
            <w:sz w:val="20"/>
            <w:szCs w:val="20"/>
          </w:rPr>
          <w:t>cấp bằng sáng chế cho một loại thuốc</w:t>
        </w:r>
      </w:hyperlink>
      <w:r w:rsidRPr="00505508">
        <w:rPr>
          <w:rFonts w:ascii="Arial" w:hAnsi="Arial" w:cs="Arial"/>
          <w:sz w:val="20"/>
          <w:szCs w:val="20"/>
        </w:rPr>
        <w:t xml:space="preserve"> điều trị bệnh </w:t>
      </w:r>
      <w:r w:rsidRPr="00C03B0D">
        <w:rPr>
          <w:rFonts w:ascii="Arial" w:hAnsi="Arial" w:cs="Arial"/>
          <w:sz w:val="20"/>
          <w:szCs w:val="20"/>
        </w:rPr>
        <w:t>ung thư</w:t>
      </w:r>
      <w:r w:rsidRPr="00505508">
        <w:rPr>
          <w:rFonts w:ascii="Arial" w:hAnsi="Arial" w:cs="Arial"/>
          <w:sz w:val="20"/>
          <w:szCs w:val="20"/>
        </w:rPr>
        <w:t>.</w:t>
      </w:r>
      <w:r w:rsidRPr="00C03B0D">
        <w:rPr>
          <w:rFonts w:ascii="Arial" w:hAnsi="Arial" w:cs="Arial"/>
          <w:sz w:val="20"/>
          <w:szCs w:val="20"/>
        </w:rPr>
        <w:t xml:space="preserve"> </w:t>
      </w:r>
      <w:r w:rsidRPr="00505508">
        <w:rPr>
          <w:rFonts w:ascii="Arial" w:hAnsi="Arial" w:cs="Arial"/>
          <w:sz w:val="20"/>
          <w:szCs w:val="20"/>
        </w:rPr>
        <w:t xml:space="preserve">Công ty </w:t>
      </w:r>
      <w:r w:rsidRPr="00C03B0D">
        <w:rPr>
          <w:rFonts w:ascii="Arial" w:hAnsi="Arial" w:cs="Arial"/>
          <w:sz w:val="20"/>
          <w:szCs w:val="20"/>
        </w:rPr>
        <w:t>EliLil</w:t>
      </w:r>
      <w:r w:rsidRPr="00505508">
        <w:rPr>
          <w:rFonts w:ascii="Arial" w:hAnsi="Arial" w:cs="Arial"/>
          <w:sz w:val="20"/>
          <w:szCs w:val="20"/>
        </w:rPr>
        <w:t xml:space="preserve"> cũng nộp đơn xin cấp bằng sáng chế cho sáng chế tương tự tại Châu Âu.</w:t>
      </w:r>
      <w:r w:rsidRPr="00C03B0D">
        <w:rPr>
          <w:rFonts w:ascii="Arial" w:hAnsi="Arial" w:cs="Arial"/>
          <w:sz w:val="20"/>
          <w:szCs w:val="20"/>
        </w:rPr>
        <w:t xml:space="preserve"> </w:t>
      </w:r>
      <w:r w:rsidRPr="00505508">
        <w:rPr>
          <w:rFonts w:ascii="Arial" w:hAnsi="Arial" w:cs="Arial"/>
          <w:sz w:val="20"/>
          <w:szCs w:val="20"/>
        </w:rPr>
        <w:t xml:space="preserve">Tại Châu Âu, bằng sáng chế của Công ty </w:t>
      </w:r>
      <w:r w:rsidRPr="00C03B0D">
        <w:rPr>
          <w:rFonts w:ascii="Arial" w:hAnsi="Arial" w:cs="Arial"/>
          <w:sz w:val="20"/>
          <w:szCs w:val="20"/>
        </w:rPr>
        <w:t>EliLil</w:t>
      </w:r>
      <w:r w:rsidRPr="00505508">
        <w:rPr>
          <w:rFonts w:ascii="Arial" w:hAnsi="Arial" w:cs="Arial"/>
          <w:sz w:val="20"/>
          <w:szCs w:val="20"/>
        </w:rPr>
        <w:t xml:space="preserve"> bị hủy bỏ với lý do thiếu tính mới, vì một công ty khác đã công bố công khai một loại thuốc có thành phần và công dụng tương tự trước đó.</w:t>
      </w:r>
      <w:r w:rsidRPr="00C03B0D">
        <w:rPr>
          <w:rFonts w:ascii="Arial" w:hAnsi="Arial" w:cs="Arial"/>
          <w:sz w:val="20"/>
          <w:szCs w:val="20"/>
        </w:rPr>
        <w:t xml:space="preserve"> </w:t>
      </w:r>
      <w:r w:rsidRPr="00505508">
        <w:rPr>
          <w:rFonts w:ascii="Arial" w:hAnsi="Arial" w:cs="Arial"/>
          <w:sz w:val="20"/>
          <w:szCs w:val="20"/>
        </w:rPr>
        <w:t xml:space="preserve">Tại Việt Nam, một công ty đối thủ của Công ty </w:t>
      </w:r>
      <w:r w:rsidRPr="00C03B0D">
        <w:rPr>
          <w:rFonts w:ascii="Arial" w:hAnsi="Arial" w:cs="Arial"/>
          <w:sz w:val="20"/>
          <w:szCs w:val="20"/>
        </w:rPr>
        <w:t>EliLil</w:t>
      </w:r>
      <w:r w:rsidRPr="00505508">
        <w:rPr>
          <w:rFonts w:ascii="Arial" w:hAnsi="Arial" w:cs="Arial"/>
          <w:sz w:val="20"/>
          <w:szCs w:val="20"/>
        </w:rPr>
        <w:t xml:space="preserve"> phát hiện ra thông tin về việc bằng sáng chế bị hủy bỏ ở Châu Âu.</w:t>
      </w:r>
      <w:r w:rsidRPr="00C03B0D">
        <w:rPr>
          <w:rFonts w:ascii="Arial" w:hAnsi="Arial" w:cs="Arial"/>
          <w:sz w:val="20"/>
          <w:szCs w:val="20"/>
        </w:rPr>
        <w:t xml:space="preserve"> </w:t>
      </w:r>
      <w:r w:rsidRPr="00505508">
        <w:rPr>
          <w:rFonts w:ascii="Arial" w:hAnsi="Arial" w:cs="Arial"/>
          <w:sz w:val="20"/>
          <w:szCs w:val="20"/>
        </w:rPr>
        <w:t>Công ty đối thủ này có thể sử dụng thông tin đó làm bằng chứng và nộp đơn yêu cầu Cục SHTT Việt Nam hủy bỏ hiệu lực bằng sáng chế của Công ty A tại Việt Nam, với lý do tương tự (thiếu tính mới).</w:t>
      </w:r>
    </w:p>
    <w:p w14:paraId="3F5B4534" w14:textId="77777777" w:rsidR="00CE3E32" w:rsidRPr="00C03B0D" w:rsidRDefault="00CE3E32" w:rsidP="00CE3E32">
      <w:pPr>
        <w:spacing w:after="0" w:line="240" w:lineRule="auto"/>
        <w:jc w:val="both"/>
        <w:rPr>
          <w:rFonts w:ascii="Arial" w:eastAsia="Times New Roman" w:hAnsi="Arial" w:cs="Arial"/>
          <w:b/>
          <w:bCs/>
          <w:sz w:val="20"/>
          <w:szCs w:val="20"/>
        </w:rPr>
      </w:pPr>
    </w:p>
    <w:p w14:paraId="2B7AA685" w14:textId="77777777" w:rsidR="00CE3E32" w:rsidRPr="00C03B0D" w:rsidRDefault="00CE3E32" w:rsidP="00CE3E32">
      <w:pPr>
        <w:spacing w:after="0" w:line="240" w:lineRule="auto"/>
        <w:jc w:val="both"/>
        <w:rPr>
          <w:rFonts w:ascii="Arial" w:eastAsia="Times New Roman" w:hAnsi="Arial" w:cs="Arial"/>
          <w:sz w:val="20"/>
          <w:szCs w:val="20"/>
        </w:rPr>
      </w:pPr>
      <w:r w:rsidRPr="00505508">
        <w:rPr>
          <w:rFonts w:ascii="Arial" w:eastAsia="Times New Roman" w:hAnsi="Arial" w:cs="Arial"/>
          <w:b/>
          <w:bCs/>
          <w:sz w:val="20"/>
          <w:szCs w:val="20"/>
        </w:rPr>
        <w:t>Kết quả:</w:t>
      </w:r>
      <w:r w:rsidRPr="00C03B0D">
        <w:rPr>
          <w:rFonts w:ascii="Arial" w:eastAsia="Times New Roman" w:hAnsi="Arial" w:cs="Arial"/>
          <w:b/>
          <w:bCs/>
          <w:sz w:val="20"/>
          <w:szCs w:val="20"/>
        </w:rPr>
        <w:t xml:space="preserve"> </w:t>
      </w:r>
      <w:r w:rsidRPr="00505508">
        <w:rPr>
          <w:rFonts w:ascii="Arial" w:eastAsia="Times New Roman" w:hAnsi="Arial" w:cs="Arial"/>
          <w:sz w:val="20"/>
          <w:szCs w:val="20"/>
        </w:rPr>
        <w:t xml:space="preserve">Cục SHTT Việt Nam sẽ xem xét đơn yêu cầu, đánh giá các bằng chứng được cung cấp (bao gồm cả quyết định hủy bỏ bằng sáng chế ở Châu Âu), đối chiếu với luật Việt Nam và tiêu chí đánh giá tính mới, để quyết định có hủy bỏ hiệu lực bằng sáng chế của Công ty </w:t>
      </w:r>
      <w:r w:rsidRPr="00C03B0D">
        <w:rPr>
          <w:rFonts w:ascii="Arial" w:hAnsi="Arial" w:cs="Arial"/>
          <w:sz w:val="20"/>
          <w:szCs w:val="20"/>
        </w:rPr>
        <w:t>EliLil</w:t>
      </w:r>
      <w:r w:rsidRPr="00505508">
        <w:rPr>
          <w:rFonts w:ascii="Arial" w:eastAsia="Times New Roman" w:hAnsi="Arial" w:cs="Arial"/>
          <w:sz w:val="20"/>
          <w:szCs w:val="20"/>
        </w:rPr>
        <w:t xml:space="preserve"> tại Việt Nam hay không.</w:t>
      </w:r>
    </w:p>
    <w:p w14:paraId="1B5312DC" w14:textId="77777777" w:rsidR="00CE3E32" w:rsidRPr="00505508" w:rsidRDefault="00CE3E32" w:rsidP="00CE3E32">
      <w:pPr>
        <w:spacing w:after="0" w:line="240" w:lineRule="auto"/>
        <w:jc w:val="both"/>
        <w:rPr>
          <w:rFonts w:ascii="Arial" w:eastAsia="Times New Roman" w:hAnsi="Arial" w:cs="Arial"/>
          <w:sz w:val="20"/>
          <w:szCs w:val="20"/>
        </w:rPr>
      </w:pPr>
    </w:p>
    <w:p w14:paraId="5D0753E4" w14:textId="77777777" w:rsidR="00CE3E32" w:rsidRPr="00C03B0D" w:rsidRDefault="00CE3E32" w:rsidP="00CE3E32">
      <w:pPr>
        <w:pStyle w:val="NormalWeb"/>
        <w:spacing w:before="0" w:beforeAutospacing="0" w:after="0" w:afterAutospacing="0"/>
        <w:jc w:val="both"/>
        <w:rPr>
          <w:rFonts w:ascii="Arial" w:hAnsi="Arial" w:cs="Arial"/>
          <w:sz w:val="20"/>
          <w:szCs w:val="20"/>
        </w:rPr>
      </w:pPr>
      <w:r w:rsidRPr="00C03B0D">
        <w:rPr>
          <w:rFonts w:ascii="Arial" w:hAnsi="Arial" w:cs="Arial"/>
          <w:sz w:val="20"/>
          <w:szCs w:val="20"/>
        </w:rPr>
        <w:t xml:space="preserve">Mặc dù hệ thống bằng sáng chế của Việt Nam độc lập với châu Âu, nhưng quyết định hủy bỏ bằng sáng chế châu Âu vẫn có thể được sử dụng làm bằng chứng trong một vụ việc liên quan đến bằng sáng chế tương ứng tại Việt Nam. </w:t>
      </w:r>
    </w:p>
    <w:p w14:paraId="7D2A4716" w14:textId="77777777" w:rsidR="00CE3E32" w:rsidRPr="00C03B0D" w:rsidRDefault="00CE3E32" w:rsidP="00CE3E32">
      <w:pPr>
        <w:pStyle w:val="NormalWeb"/>
        <w:spacing w:before="0" w:beforeAutospacing="0" w:after="0" w:afterAutospacing="0"/>
        <w:jc w:val="both"/>
        <w:rPr>
          <w:rFonts w:ascii="Arial" w:hAnsi="Arial" w:cs="Arial"/>
          <w:sz w:val="20"/>
          <w:szCs w:val="20"/>
        </w:rPr>
      </w:pPr>
    </w:p>
    <w:p w14:paraId="59F62175" w14:textId="6F70B67D" w:rsidR="00CE3E32" w:rsidRPr="00C03B0D" w:rsidRDefault="00CE3E32" w:rsidP="00CE3E32">
      <w:pPr>
        <w:pStyle w:val="NormalWeb"/>
        <w:numPr>
          <w:ilvl w:val="0"/>
          <w:numId w:val="22"/>
        </w:numPr>
        <w:spacing w:before="0" w:beforeAutospacing="0" w:after="0" w:afterAutospacing="0"/>
        <w:jc w:val="both"/>
        <w:rPr>
          <w:rFonts w:ascii="Arial" w:hAnsi="Arial" w:cs="Arial"/>
          <w:sz w:val="20"/>
          <w:szCs w:val="20"/>
        </w:rPr>
      </w:pPr>
      <w:r w:rsidRPr="00C03B0D">
        <w:rPr>
          <w:rFonts w:ascii="Arial" w:hAnsi="Arial" w:cs="Arial"/>
          <w:b/>
          <w:bCs/>
          <w:sz w:val="20"/>
          <w:szCs w:val="20"/>
        </w:rPr>
        <w:t>Bằng chứng tham khảo:</w:t>
      </w:r>
      <w:r w:rsidRPr="00C03B0D">
        <w:rPr>
          <w:rFonts w:ascii="Arial" w:hAnsi="Arial" w:cs="Arial"/>
          <w:sz w:val="20"/>
          <w:szCs w:val="20"/>
        </w:rPr>
        <w:t xml:space="preserve"> Cục Sở hữu trí tuệ Việt Nam (Cục SHTT) có thể tham khảo quyết định hủy bỏ bằng sáng chế châu Âu, cùng với các tài liệu liên quan (lý do hủy bỏ, bằng chứng...), để hiểu rõ hơn về tình trạng pháp lý của sáng chế đó ở nước ngoài. Việc bằng sáng chế bị hủy bỏ ở nước ngoài, </w:t>
      </w: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4C73AB2C" wp14:editId="2AC47467">
                <wp:simplePos x="0" y="0"/>
                <wp:positionH relativeFrom="column">
                  <wp:posOffset>6383020</wp:posOffset>
                </wp:positionH>
                <wp:positionV relativeFrom="paragraph">
                  <wp:posOffset>-296174</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11FD7" w14:textId="77777777" w:rsidR="00CE3E32" w:rsidRPr="00BA68B8" w:rsidRDefault="00CE3E32" w:rsidP="00CE3E32">
                            <w:pPr>
                              <w:spacing w:after="0" w:line="240" w:lineRule="auto"/>
                              <w:rPr>
                                <w:rFonts w:ascii="Arial" w:hAnsi="Arial" w:cs="Arial"/>
                                <w:b/>
                                <w:color w:val="FFFFFF" w:themeColor="background1"/>
                                <w:sz w:val="20"/>
                                <w:szCs w:val="20"/>
                              </w:rPr>
                            </w:pPr>
                            <w:r w:rsidRPr="00CE3E32">
                              <w:rPr>
                                <w:rFonts w:ascii="Arial" w:hAnsi="Arial" w:cs="Arial"/>
                                <w:b/>
                                <w:bCs/>
                                <w:color w:val="FFFFFF" w:themeColor="background1"/>
                                <w:sz w:val="20"/>
                                <w:szCs w:val="20"/>
                              </w:rPr>
                              <w:t>Hủy bỏ hiệu lực bằng sáng chế châu Âu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3AB2C" id="Rectangle 2" o:spid="_x0000_s1028" style="position:absolute;left:0;text-align:left;margin-left:502.6pt;margin-top:-23.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" fillcolor="#00b39c" strokecolor="#00b39c" strokeweight="0">
                <v:textbox style="layout-flow:vertical">
                  <w:txbxContent>
                    <w:p w14:paraId="54211FD7" w14:textId="77777777" w:rsidR="00CE3E32" w:rsidRPr="00BA68B8" w:rsidRDefault="00CE3E32" w:rsidP="00CE3E32">
                      <w:pPr>
                        <w:spacing w:after="0" w:line="240" w:lineRule="auto"/>
                        <w:rPr>
                          <w:rFonts w:ascii="Arial" w:hAnsi="Arial" w:cs="Arial"/>
                          <w:b/>
                          <w:color w:val="FFFFFF" w:themeColor="background1"/>
                          <w:sz w:val="20"/>
                          <w:szCs w:val="20"/>
                        </w:rPr>
                      </w:pPr>
                      <w:r w:rsidRPr="00CE3E32">
                        <w:rPr>
                          <w:rFonts w:ascii="Arial" w:hAnsi="Arial" w:cs="Arial"/>
                          <w:b/>
                          <w:bCs/>
                          <w:color w:val="FFFFFF" w:themeColor="background1"/>
                          <w:sz w:val="20"/>
                          <w:szCs w:val="20"/>
                        </w:rPr>
                        <w:t>Hủy bỏ hiệu lực bằng sáng chế châu Âu</w:t>
                      </w:r>
                    </w:p>
                  </w:txbxContent>
                </v:textbox>
              </v:rect>
            </w:pict>
          </mc:Fallback>
        </mc:AlternateContent>
      </w:r>
      <w:r w:rsidRPr="00C03B0D">
        <w:rPr>
          <w:rFonts w:ascii="Arial" w:hAnsi="Arial" w:cs="Arial"/>
          <w:sz w:val="20"/>
          <w:szCs w:val="20"/>
        </w:rPr>
        <w:t>đặc biệt là ở các quốc gia có hệ thống pháp lý uy tín, có thể được sử dụng như một bằng chứng cho thấy sáng chế không đáp ứng các tiêu chuẩn bảo hộ. Điều này có thể tạo tiền lệ và làm suy yếu vị thế pháp lý của bằng sáng chế tương ứng tại Việt Nam.</w:t>
      </w:r>
    </w:p>
    <w:p w14:paraId="526E791E" w14:textId="5832FC74" w:rsidR="00CE3E32" w:rsidRPr="00C03B0D" w:rsidRDefault="00CE3E32" w:rsidP="00CE3E32">
      <w:pPr>
        <w:pStyle w:val="ListParagraph"/>
        <w:numPr>
          <w:ilvl w:val="0"/>
          <w:numId w:val="22"/>
        </w:numPr>
        <w:spacing w:after="0" w:line="240" w:lineRule="auto"/>
        <w:jc w:val="both"/>
        <w:rPr>
          <w:rFonts w:ascii="Arial" w:eastAsia="Times New Roman" w:hAnsi="Arial" w:cs="Arial"/>
          <w:sz w:val="20"/>
          <w:szCs w:val="20"/>
        </w:rPr>
      </w:pPr>
      <w:r w:rsidRPr="00C03B0D">
        <w:rPr>
          <w:rFonts w:ascii="Arial" w:eastAsia="Times New Roman" w:hAnsi="Arial" w:cs="Arial"/>
          <w:b/>
          <w:bCs/>
          <w:sz w:val="20"/>
          <w:szCs w:val="20"/>
        </w:rPr>
        <w:t>Căn cứ để bên thứ ba yêu cầu hủy bỏ:</w:t>
      </w:r>
      <w:r w:rsidRPr="00C03B0D">
        <w:rPr>
          <w:rFonts w:ascii="Arial" w:eastAsia="Times New Roman" w:hAnsi="Arial" w:cs="Arial"/>
          <w:sz w:val="20"/>
          <w:szCs w:val="20"/>
        </w:rPr>
        <w:t xml:space="preserve"> Nếu lý do hủy bỏ bằng sáng chế châu Âu phù hợp với các căn cứ hủy bỏ hiệu lực bằng sáng chế theo luật Việt Nam (ví dụ: thiếu tính mới, thiếu </w:t>
      </w:r>
      <w:r>
        <w:rPr>
          <w:rFonts w:ascii="Arial" w:eastAsia="Times New Roman" w:hAnsi="Arial" w:cs="Arial"/>
          <w:sz w:val="20"/>
          <w:szCs w:val="20"/>
        </w:rPr>
        <w:t>trình độ</w:t>
      </w:r>
      <w:r w:rsidRPr="00C03B0D">
        <w:rPr>
          <w:rFonts w:ascii="Arial" w:eastAsia="Times New Roman" w:hAnsi="Arial" w:cs="Arial"/>
          <w:sz w:val="20"/>
          <w:szCs w:val="20"/>
        </w:rPr>
        <w:t xml:space="preserve"> sáng tạo...), bên thứ ba có quyền sử dụng thông tin này để làm bằng chứng và yêu cầu Cục SHTT hủy bỏ hiệu lực bằng sáng chế tương ứng tại Việt Nam. </w:t>
      </w:r>
    </w:p>
    <w:p w14:paraId="73295826" w14:textId="786BA199" w:rsidR="00CE3E32" w:rsidRPr="00C03B0D" w:rsidRDefault="00CE3E32" w:rsidP="00CE3E32">
      <w:pPr>
        <w:pStyle w:val="NormalWeb"/>
        <w:numPr>
          <w:ilvl w:val="0"/>
          <w:numId w:val="22"/>
        </w:numPr>
        <w:spacing w:before="0" w:beforeAutospacing="0" w:after="0" w:afterAutospacing="0"/>
        <w:jc w:val="both"/>
        <w:rPr>
          <w:rFonts w:ascii="Arial" w:hAnsi="Arial" w:cs="Arial"/>
          <w:sz w:val="20"/>
          <w:szCs w:val="20"/>
        </w:rPr>
      </w:pPr>
      <w:r w:rsidRPr="00C03B0D">
        <w:rPr>
          <w:rFonts w:ascii="Arial" w:hAnsi="Arial" w:cs="Arial"/>
          <w:b/>
          <w:bCs/>
          <w:sz w:val="20"/>
          <w:szCs w:val="20"/>
        </w:rPr>
        <w:t>Cơ sở để Cục SHTT xem xét:</w:t>
      </w:r>
      <w:r w:rsidRPr="00C03B0D">
        <w:rPr>
          <w:rFonts w:ascii="Arial" w:hAnsi="Arial" w:cs="Arial"/>
          <w:sz w:val="20"/>
          <w:szCs w:val="20"/>
        </w:rPr>
        <w:t xml:space="preserve"> Cục SHTT sẽ xem xét kỹ lưỡng quyết định hủy bỏ bằng sáng chế châu Âu, đánh giá các </w:t>
      </w:r>
      <w:hyperlink r:id="rId12" w:history="1">
        <w:r w:rsidRPr="001C491C">
          <w:rPr>
            <w:rStyle w:val="Hyperlink"/>
            <w:rFonts w:ascii="Arial" w:hAnsi="Arial" w:cs="Arial"/>
            <w:sz w:val="20"/>
            <w:szCs w:val="20"/>
          </w:rPr>
          <w:t>bằng chứng và lập luận</w:t>
        </w:r>
      </w:hyperlink>
      <w:r w:rsidRPr="00C03B0D">
        <w:rPr>
          <w:rFonts w:ascii="Arial" w:hAnsi="Arial" w:cs="Arial"/>
          <w:sz w:val="20"/>
          <w:szCs w:val="20"/>
        </w:rPr>
        <w:t xml:space="preserve"> của các bên liên quan, đồng thời đối chiếu với các quy định của pháp luật Việt Nam để đưa ra quyết định cuối cùng về việc có hủy bỏ hiệu lực bằng sáng chế tại Việt Nam hay không.</w:t>
      </w:r>
    </w:p>
    <w:p w14:paraId="1427AB5C" w14:textId="4ED688DD" w:rsidR="00CE3E32" w:rsidRPr="00C03B0D" w:rsidRDefault="00CE3E32" w:rsidP="00CE3E32">
      <w:pPr>
        <w:pStyle w:val="NormalWeb"/>
        <w:spacing w:before="0" w:beforeAutospacing="0" w:after="0" w:afterAutospacing="0"/>
        <w:jc w:val="both"/>
        <w:rPr>
          <w:rFonts w:ascii="Arial" w:hAnsi="Arial" w:cs="Arial"/>
          <w:sz w:val="20"/>
          <w:szCs w:val="20"/>
        </w:rPr>
      </w:pPr>
    </w:p>
    <w:p w14:paraId="50E59E25" w14:textId="578048AB" w:rsidR="00CE3E32" w:rsidRPr="00C03B0D" w:rsidRDefault="00CE3E32" w:rsidP="00CE3E32">
      <w:pPr>
        <w:pStyle w:val="NormalWeb"/>
        <w:spacing w:before="0" w:beforeAutospacing="0" w:after="0" w:afterAutospacing="0"/>
        <w:jc w:val="both"/>
        <w:rPr>
          <w:rFonts w:ascii="Arial" w:hAnsi="Arial" w:cs="Arial"/>
          <w:sz w:val="20"/>
          <w:szCs w:val="20"/>
        </w:rPr>
      </w:pPr>
      <w:r w:rsidRPr="00C03B0D">
        <w:rPr>
          <w:rFonts w:ascii="Arial" w:hAnsi="Arial" w:cs="Arial"/>
          <w:sz w:val="20"/>
          <w:szCs w:val="20"/>
        </w:rPr>
        <w:t>Tuy nhiên, cần lưu ý rằng, quyết định hủy bỏ bằng sáng chế châu Âu không mang tính ràng buộc tuyệt đối với Cục SHTT. Cục SHTT sẽ tiến hành thẩm định độc lập dựa trên các tiêu chí và quy định của pháp luật Việt Nam. Việc hủy bỏ bằng sáng chế ở châu Âu chỉ là một trong những yếu tố được xem xét, không phải là yếu tố quyết định duy nhất.</w:t>
      </w:r>
    </w:p>
    <w:p w14:paraId="13F0D45A" w14:textId="77777777" w:rsidR="00CE3E32" w:rsidRPr="00C03B0D" w:rsidRDefault="00CE3E32" w:rsidP="00CE3E32">
      <w:pPr>
        <w:pStyle w:val="NormalWeb"/>
        <w:spacing w:before="0" w:beforeAutospacing="0" w:after="0" w:afterAutospacing="0"/>
        <w:jc w:val="both"/>
        <w:rPr>
          <w:rFonts w:ascii="Arial" w:hAnsi="Arial" w:cs="Arial"/>
          <w:b/>
          <w:bCs/>
          <w:sz w:val="20"/>
          <w:szCs w:val="20"/>
        </w:rPr>
      </w:pPr>
    </w:p>
    <w:p w14:paraId="190F2B2F" w14:textId="77777777" w:rsidR="00CE3E32" w:rsidRPr="00C03B0D" w:rsidRDefault="00CE3E32" w:rsidP="00CE3E32">
      <w:pPr>
        <w:pStyle w:val="NormalWeb"/>
        <w:spacing w:before="0" w:beforeAutospacing="0" w:after="0" w:afterAutospacing="0"/>
        <w:jc w:val="both"/>
        <w:rPr>
          <w:rFonts w:ascii="Arial" w:hAnsi="Arial" w:cs="Arial"/>
          <w:b/>
          <w:bCs/>
          <w:color w:val="2F5496" w:themeColor="accent1" w:themeShade="BF"/>
          <w:sz w:val="22"/>
          <w:szCs w:val="22"/>
        </w:rPr>
      </w:pPr>
      <w:r w:rsidRPr="00C03B0D">
        <w:rPr>
          <w:rFonts w:ascii="Arial" w:hAnsi="Arial" w:cs="Arial"/>
          <w:b/>
          <w:bCs/>
          <w:color w:val="2F5496" w:themeColor="accent1" w:themeShade="BF"/>
          <w:sz w:val="22"/>
          <w:szCs w:val="22"/>
        </w:rPr>
        <w:t>Lời kết</w:t>
      </w:r>
    </w:p>
    <w:p w14:paraId="75F85D2C" w14:textId="77777777" w:rsidR="00CE3E32" w:rsidRPr="00C03B0D" w:rsidRDefault="00CE3E32" w:rsidP="00CE3E32">
      <w:pPr>
        <w:pStyle w:val="NormalWeb"/>
        <w:spacing w:before="0" w:beforeAutospacing="0" w:after="0" w:afterAutospacing="0"/>
        <w:jc w:val="both"/>
        <w:rPr>
          <w:rFonts w:ascii="Arial" w:hAnsi="Arial" w:cs="Arial"/>
          <w:b/>
          <w:bCs/>
          <w:sz w:val="20"/>
          <w:szCs w:val="20"/>
        </w:rPr>
      </w:pPr>
    </w:p>
    <w:p w14:paraId="69B5CD14" w14:textId="5AFE9EDB" w:rsidR="007375E8" w:rsidRPr="00BA5514" w:rsidRDefault="00CE3E32" w:rsidP="00BA5514">
      <w:pPr>
        <w:pStyle w:val="NormalWeb"/>
        <w:spacing w:before="0" w:beforeAutospacing="0" w:after="0" w:afterAutospacing="0"/>
        <w:jc w:val="both"/>
        <w:rPr>
          <w:rFonts w:ascii="Arial" w:hAnsi="Arial" w:cs="Arial"/>
          <w:sz w:val="20"/>
          <w:szCs w:val="20"/>
        </w:rPr>
      </w:pPr>
      <w:r w:rsidRPr="00C03B0D">
        <w:rPr>
          <w:rFonts w:ascii="Arial" w:hAnsi="Arial" w:cs="Arial"/>
          <w:sz w:val="20"/>
          <w:szCs w:val="20"/>
        </w:rPr>
        <w:t>Việc bằng sáng chế bị hủy bỏ ở Châu Âu hay các quốc gia khác không đồng nghĩa với việc bằng sáng chế đó sẽ tự động bị hủy bỏ ở Việt Nam. Hệ thống bằng sáng chế của Việt Nam hoạt động độc lập, với các quy định và tiêu chí riêng biệt để đánh giá tính hợp lệ của một bằng sáng chế. Không phải mọi căn cứ hủy bỏ hiệu lực bằng sáng chế ở nước ngoài đều có thể áp dụng tại Việt Nam. Chủ bằng sáng chế cần đảm bảo rằng hồ sơ xin cấp bằng sáng chế của họ luôn đầy đủ, chính xác và đáp ứng các yêu cầu của pháp luật Việt Nam. Bên cạnh đó, việc chủ động theo dõi tình hình pháp lý quốc tế và cập nhật những thay đổi về pháp luật sở hữu trí tuệ Việt Nam cũng rất quan trọng để ứng phó, phản hồi hiệu quả với các tranh chấp hoặc yêu cầu hủy bỏ hiệu lực bằng sáng chế tại Việt Nam.</w:t>
      </w:r>
    </w:p>
    <w:p w14:paraId="68D8DE35" w14:textId="77777777" w:rsidR="0002156E" w:rsidRPr="00D03044" w:rsidRDefault="0002156E" w:rsidP="0002156E">
      <w:pPr>
        <w:spacing w:after="0" w:line="240" w:lineRule="auto"/>
        <w:jc w:val="right"/>
        <w:rPr>
          <w:rFonts w:ascii="Arial" w:hAnsi="Arial" w:cs="Arial"/>
          <w:b/>
          <w:sz w:val="20"/>
          <w:szCs w:val="20"/>
        </w:rPr>
      </w:pPr>
    </w:p>
    <w:p w14:paraId="425BA5B3" w14:textId="77777777" w:rsidR="00CE3E32" w:rsidRDefault="00CE3E32" w:rsidP="00CE3E32">
      <w:pPr>
        <w:spacing w:after="0" w:line="240" w:lineRule="auto"/>
        <w:jc w:val="right"/>
        <w:rPr>
          <w:rFonts w:ascii="Arial" w:hAnsi="Arial" w:cs="Arial"/>
          <w:b/>
          <w:sz w:val="20"/>
          <w:szCs w:val="20"/>
        </w:rPr>
      </w:pPr>
      <w:r>
        <w:rPr>
          <w:rFonts w:ascii="Arial" w:hAnsi="Arial" w:cs="Arial"/>
          <w:b/>
          <w:sz w:val="20"/>
          <w:szCs w:val="20"/>
        </w:rPr>
        <w:t>Nguyễn Vũ Quân | Partner, IP Attorney</w:t>
      </w:r>
    </w:p>
    <w:p w14:paraId="50F09985" w14:textId="77777777" w:rsidR="00CE3E32" w:rsidRDefault="00CE3E32" w:rsidP="00CE3E32">
      <w:pPr>
        <w:spacing w:after="0" w:line="240" w:lineRule="auto"/>
        <w:jc w:val="right"/>
        <w:rPr>
          <w:rFonts w:ascii="Arial" w:hAnsi="Arial" w:cs="Arial"/>
          <w:b/>
          <w:sz w:val="20"/>
          <w:szCs w:val="20"/>
        </w:rPr>
      </w:pPr>
      <w:r>
        <w:rPr>
          <w:rFonts w:ascii="Arial" w:hAnsi="Arial" w:cs="Arial"/>
          <w:b/>
          <w:sz w:val="20"/>
          <w:szCs w:val="20"/>
        </w:rPr>
        <w:t>Đỗ Thị Phấn |Special Counsel</w:t>
      </w:r>
    </w:p>
    <w:p w14:paraId="14A8B26E" w14:textId="2CE5952D" w:rsidR="0002156E" w:rsidRPr="00D03044" w:rsidRDefault="00CE3E32" w:rsidP="00CE3E32">
      <w:pPr>
        <w:spacing w:after="0" w:line="240" w:lineRule="auto"/>
        <w:jc w:val="right"/>
        <w:rPr>
          <w:rFonts w:ascii="Arial" w:eastAsia="Times New Roman" w:hAnsi="Arial" w:cs="Arial"/>
          <w:sz w:val="20"/>
          <w:szCs w:val="20"/>
          <w:lang w:eastAsia="ko-KR"/>
        </w:rPr>
      </w:pPr>
      <w:r>
        <w:rPr>
          <w:rFonts w:ascii="Arial" w:hAnsi="Arial" w:cs="Arial"/>
          <w:b/>
          <w:sz w:val="20"/>
          <w:szCs w:val="20"/>
        </w:rPr>
        <w:t>Đào Thị Thúy Nga | Senior Patent Attorney</w:t>
      </w:r>
    </w:p>
    <w:p w14:paraId="26D1DF48" w14:textId="7714D762" w:rsidR="0002156E" w:rsidRPr="00D03044" w:rsidRDefault="0002156E" w:rsidP="0002156E">
      <w:pPr>
        <w:spacing w:after="0" w:line="240" w:lineRule="auto"/>
        <w:rPr>
          <w:rFonts w:ascii="Arial" w:hAnsi="Arial" w:cs="Arial"/>
        </w:rPr>
      </w:pPr>
    </w:p>
    <w:p w14:paraId="5C6FA545" w14:textId="5C600A67" w:rsidR="0002156E" w:rsidRPr="00D03044" w:rsidRDefault="00376875" w:rsidP="0002156E">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69F5FF22">
                <wp:simplePos x="0" y="0"/>
                <wp:positionH relativeFrom="column">
                  <wp:posOffset>3810</wp:posOffset>
                </wp:positionH>
                <wp:positionV relativeFrom="paragraph">
                  <wp:posOffset>109627</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margin-left:.3pt;margin-top:8.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DC6E5" w14:textId="77777777" w:rsidR="00276982" w:rsidRDefault="00276982">
      <w:pPr>
        <w:spacing w:after="0" w:line="240" w:lineRule="auto"/>
      </w:pPr>
      <w:r>
        <w:separator/>
      </w:r>
    </w:p>
  </w:endnote>
  <w:endnote w:type="continuationSeparator" w:id="0">
    <w:p w14:paraId="6C806589" w14:textId="77777777" w:rsidR="00276982" w:rsidRDefault="0027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276982">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7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53E23" w14:textId="77777777" w:rsidR="00276982" w:rsidRDefault="00276982">
      <w:pPr>
        <w:spacing w:after="0" w:line="240" w:lineRule="auto"/>
      </w:pPr>
      <w:r>
        <w:separator/>
      </w:r>
    </w:p>
  </w:footnote>
  <w:footnote w:type="continuationSeparator" w:id="0">
    <w:p w14:paraId="2F1A6AA0" w14:textId="77777777" w:rsidR="00276982" w:rsidRDefault="0027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D4E"/>
    <w:multiLevelType w:val="hybridMultilevel"/>
    <w:tmpl w:val="27425CC2"/>
    <w:lvl w:ilvl="0" w:tplc="FADED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01C3C"/>
    <w:multiLevelType w:val="hybridMultilevel"/>
    <w:tmpl w:val="DFBC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861A3"/>
    <w:multiLevelType w:val="hybridMultilevel"/>
    <w:tmpl w:val="55E8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B02A4"/>
    <w:multiLevelType w:val="hybridMultilevel"/>
    <w:tmpl w:val="5DA4DFD0"/>
    <w:lvl w:ilvl="0" w:tplc="B8CA9A9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1"/>
  </w:num>
  <w:num w:numId="4">
    <w:abstractNumId w:val="17"/>
  </w:num>
  <w:num w:numId="5">
    <w:abstractNumId w:val="13"/>
  </w:num>
  <w:num w:numId="6">
    <w:abstractNumId w:val="1"/>
  </w:num>
  <w:num w:numId="7">
    <w:abstractNumId w:val="5"/>
  </w:num>
  <w:num w:numId="8">
    <w:abstractNumId w:val="18"/>
  </w:num>
  <w:num w:numId="9">
    <w:abstractNumId w:val="7"/>
  </w:num>
  <w:num w:numId="10">
    <w:abstractNumId w:val="4"/>
  </w:num>
  <w:num w:numId="11">
    <w:abstractNumId w:val="16"/>
  </w:num>
  <w:num w:numId="12">
    <w:abstractNumId w:val="2"/>
  </w:num>
  <w:num w:numId="13">
    <w:abstractNumId w:val="12"/>
  </w:num>
  <w:num w:numId="14">
    <w:abstractNumId w:val="15"/>
  </w:num>
  <w:num w:numId="15">
    <w:abstractNumId w:val="9"/>
  </w:num>
  <w:num w:numId="16">
    <w:abstractNumId w:val="20"/>
  </w:num>
  <w:num w:numId="17">
    <w:abstractNumId w:val="3"/>
  </w:num>
  <w:num w:numId="18">
    <w:abstractNumId w:val="10"/>
  </w:num>
  <w:num w:numId="19">
    <w:abstractNumId w:val="19"/>
  </w:num>
  <w:num w:numId="20">
    <w:abstractNumId w:val="8"/>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83EBB"/>
    <w:rsid w:val="00126CC7"/>
    <w:rsid w:val="001515AA"/>
    <w:rsid w:val="00174603"/>
    <w:rsid w:val="001D1CDD"/>
    <w:rsid w:val="001E0868"/>
    <w:rsid w:val="00215B22"/>
    <w:rsid w:val="00234C16"/>
    <w:rsid w:val="002753DD"/>
    <w:rsid w:val="00276982"/>
    <w:rsid w:val="002B63C0"/>
    <w:rsid w:val="0032315D"/>
    <w:rsid w:val="0033574A"/>
    <w:rsid w:val="003756D4"/>
    <w:rsid w:val="00376875"/>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BA5514"/>
    <w:rsid w:val="00C13ACF"/>
    <w:rsid w:val="00CA3F97"/>
    <w:rsid w:val="00CE035D"/>
    <w:rsid w:val="00CE3E32"/>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3585">
      <w:bodyDiv w:val="1"/>
      <w:marLeft w:val="0"/>
      <w:marRight w:val="0"/>
      <w:marTop w:val="0"/>
      <w:marBottom w:val="0"/>
      <w:divBdr>
        <w:top w:val="none" w:sz="0" w:space="0" w:color="auto"/>
        <w:left w:val="none" w:sz="0" w:space="0" w:color="auto"/>
        <w:bottom w:val="none" w:sz="0" w:space="0" w:color="auto"/>
        <w:right w:val="none" w:sz="0" w:space="0" w:color="auto"/>
      </w:divBdr>
    </w:div>
    <w:div w:id="14893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hien-thuat-evergreening-keo-dai-bao-ho-sang-che-doi-moi-hay-can-t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vi/huy-bo-hieu-luc-van-bang-bao-ho-sang-che-tai-viet-nam-nhu-the-nao" TargetMode="External"/><Relationship Id="rId12" Type="http://schemas.openxmlformats.org/officeDocument/2006/relationships/hyperlink" Target="https://kenfoxlaw.com/vi/tu-choi-bao-ho-sang-che-tai-viet-nam-ly-do-va-goi-y-cho-chu-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bao-ho-sang-che-cho-muc-dich-su-dung-thu-hai-khuyen-khich-phat-trien-hay-rao-can-cho-nganh-duoc-pham-dong-nam-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vi/ban-dich-tieng-viet-cua-ban-mo-ta-sang-che-quan-trong-nhu-the-nao-trong-bao-ho-sang-che-tai-viet-nam-2" TargetMode="External"/><Relationship Id="rId4" Type="http://schemas.openxmlformats.org/officeDocument/2006/relationships/webSettings" Target="webSettings.xml"/><Relationship Id="rId9" Type="http://schemas.openxmlformats.org/officeDocument/2006/relationships/hyperlink" Target="https://kenfoxlaw.com/vi/sua-doi-ban-mo-ta-sang-che-tai-viet-nam-nhung-dieu-chu-don-khong-duoc-bo-qu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2024-12-06T09:31:00Z</dcterms:modified>
</cp:coreProperties>
</file>