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68E03" w14:textId="62CDE656" w:rsidR="00BA269E" w:rsidRPr="0024575D" w:rsidRDefault="004D64BC" w:rsidP="0024575D">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661BC83" w:rsidR="00FA2CEE" w:rsidRPr="00BA68B8" w:rsidRDefault="00D9369F" w:rsidP="00FA2CEE">
                            <w:pPr>
                              <w:spacing w:after="0" w:line="240" w:lineRule="auto"/>
                              <w:rPr>
                                <w:rFonts w:ascii="Arial" w:hAnsi="Arial" w:cs="Arial"/>
                                <w:b/>
                                <w:color w:val="FFFFFF" w:themeColor="background1"/>
                                <w:sz w:val="20"/>
                                <w:szCs w:val="20"/>
                              </w:rPr>
                            </w:pPr>
                            <w:r w:rsidRPr="00D9369F">
                              <w:rPr>
                                <w:rFonts w:ascii="Arial" w:hAnsi="Arial" w:cs="Arial"/>
                                <w:b/>
                                <w:bCs/>
                                <w:color w:val="FFFFFF" w:themeColor="background1"/>
                                <w:sz w:val="20"/>
                                <w:szCs w:val="20"/>
                              </w:rPr>
                              <w:t>How to successfully appeal a trademark refusal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661BC83" w:rsidR="00FA2CEE" w:rsidRPr="00BA68B8" w:rsidRDefault="00D9369F" w:rsidP="00FA2CEE">
                      <w:pPr>
                        <w:spacing w:after="0" w:line="240" w:lineRule="auto"/>
                        <w:rPr>
                          <w:rFonts w:ascii="Arial" w:hAnsi="Arial" w:cs="Arial"/>
                          <w:b/>
                          <w:color w:val="FFFFFF" w:themeColor="background1"/>
                          <w:sz w:val="20"/>
                          <w:szCs w:val="20"/>
                        </w:rPr>
                      </w:pPr>
                      <w:r w:rsidRPr="00D9369F">
                        <w:rPr>
                          <w:rFonts w:ascii="Arial" w:hAnsi="Arial" w:cs="Arial"/>
                          <w:b/>
                          <w:bCs/>
                          <w:color w:val="FFFFFF" w:themeColor="background1"/>
                          <w:sz w:val="20"/>
                          <w:szCs w:val="20"/>
                        </w:rPr>
                        <w:t>How to successfully appeal a trademark refusal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97E28FF" w:rsidR="00FA2CEE" w:rsidRPr="00CC7576" w:rsidRDefault="00D9369F" w:rsidP="00FA2CEE">
                            <w:pPr>
                              <w:spacing w:after="0"/>
                              <w:jc w:val="center"/>
                              <w:rPr>
                                <w:rFonts w:ascii="Arial" w:hAnsi="Arial" w:cs="Arial"/>
                                <w:b/>
                                <w:color w:val="FFFFFF" w:themeColor="background1"/>
                                <w:sz w:val="20"/>
                                <w:szCs w:val="20"/>
                              </w:rPr>
                            </w:pPr>
                            <w:r w:rsidRPr="00D9369F">
                              <w:rPr>
                                <w:rFonts w:ascii="Arial" w:hAnsi="Arial" w:cs="Arial"/>
                                <w:b/>
                                <w:bCs/>
                                <w:color w:val="FFFFFF" w:themeColor="background1"/>
                                <w:sz w:val="20"/>
                                <w:szCs w:val="20"/>
                              </w:rPr>
                              <w:t>How to successfully appeal a trademark refusal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97E28FF" w:rsidR="00FA2CEE" w:rsidRPr="00CC7576" w:rsidRDefault="00D9369F" w:rsidP="00FA2CEE">
                      <w:pPr>
                        <w:spacing w:after="0"/>
                        <w:jc w:val="center"/>
                        <w:rPr>
                          <w:rFonts w:ascii="Arial" w:hAnsi="Arial" w:cs="Arial"/>
                          <w:b/>
                          <w:color w:val="FFFFFF" w:themeColor="background1"/>
                          <w:sz w:val="20"/>
                          <w:szCs w:val="20"/>
                        </w:rPr>
                      </w:pPr>
                      <w:r w:rsidRPr="00D9369F">
                        <w:rPr>
                          <w:rFonts w:ascii="Arial" w:hAnsi="Arial" w:cs="Arial"/>
                          <w:b/>
                          <w:bCs/>
                          <w:color w:val="FFFFFF" w:themeColor="background1"/>
                          <w:sz w:val="20"/>
                          <w:szCs w:val="20"/>
                        </w:rPr>
                        <w:t>How to successfully appeal a trademark refusal in Vietnam</w:t>
                      </w:r>
                    </w:p>
                  </w:txbxContent>
                </v:textbox>
                <w10:wrap anchorx="page"/>
              </v:rect>
            </w:pict>
          </mc:Fallback>
        </mc:AlternateContent>
      </w:r>
      <w:bookmarkStart w:id="0" w:name="_Hlk182577512"/>
      <w:r w:rsidR="00BA269E" w:rsidRPr="00BA269E">
        <w:rPr>
          <w:rFonts w:ascii="Arial" w:hAnsi="Arial" w:cs="Arial"/>
          <w:b/>
          <w:iCs/>
          <w:color w:val="C00000"/>
        </w:rPr>
        <w:t>"Fabrilcar" vs. “FABRICA” and “FABRICAIR”:</w:t>
      </w:r>
      <w:r w:rsidR="00BA269E">
        <w:rPr>
          <w:rFonts w:ascii="Arial" w:hAnsi="Arial" w:cs="Arial"/>
          <w:b/>
          <w:iCs/>
          <w:color w:val="C00000"/>
          <w:lang w:val="vi-VN"/>
        </w:rPr>
        <w:t xml:space="preserve"> </w:t>
      </w:r>
      <w:r w:rsidR="00BA269E" w:rsidRPr="00BA269E">
        <w:rPr>
          <w:rFonts w:ascii="Arial" w:hAnsi="Arial" w:cs="Arial"/>
          <w:b/>
          <w:iCs/>
          <w:color w:val="C00000"/>
        </w:rPr>
        <w:t>How to successfully appeal a trademark refusal in Vietnam?</w:t>
      </w:r>
      <w:bookmarkEnd w:id="0"/>
    </w:p>
    <w:p w14:paraId="1D92C8DB" w14:textId="77777777" w:rsidR="00BA269E" w:rsidRPr="00430F54" w:rsidRDefault="00BA269E" w:rsidP="00BA269E">
      <w:pPr>
        <w:spacing w:after="0" w:line="240" w:lineRule="auto"/>
        <w:jc w:val="both"/>
        <w:rPr>
          <w:rFonts w:ascii="Arial" w:hAnsi="Arial" w:cs="Arial"/>
          <w:color w:val="202122"/>
          <w:sz w:val="20"/>
          <w:szCs w:val="20"/>
          <w:shd w:val="clear" w:color="auto" w:fill="FFFFFF"/>
        </w:rPr>
      </w:pPr>
      <w:r>
        <w:rPr>
          <w:rFonts w:ascii="Arial" w:hAnsi="Arial" w:cs="Arial"/>
          <w:sz w:val="20"/>
          <w:szCs w:val="20"/>
          <w:lang w:val="de-DE"/>
        </w:rPr>
        <w:t>Vietnam – On 16/10/2024, t</w:t>
      </w:r>
      <w:r w:rsidRPr="00430F54">
        <w:rPr>
          <w:rFonts w:ascii="Arial" w:hAnsi="Arial" w:cs="Arial"/>
          <w:sz w:val="20"/>
          <w:szCs w:val="20"/>
          <w:lang w:val="de-DE"/>
        </w:rPr>
        <w:t>he IP Offfice of Vietnam (</w:t>
      </w:r>
      <w:r>
        <w:rPr>
          <w:rFonts w:ascii="Arial" w:hAnsi="Arial" w:cs="Arial"/>
          <w:sz w:val="20"/>
          <w:szCs w:val="20"/>
          <w:lang w:val="de-DE"/>
        </w:rPr>
        <w:t>“</w:t>
      </w:r>
      <w:r w:rsidRPr="00AF06E2">
        <w:rPr>
          <w:rFonts w:ascii="Arial" w:hAnsi="Arial" w:cs="Arial"/>
          <w:b/>
          <w:bCs/>
          <w:sz w:val="20"/>
          <w:szCs w:val="20"/>
          <w:lang w:val="de-DE"/>
        </w:rPr>
        <w:t>IP VIETNAM</w:t>
      </w:r>
      <w:r>
        <w:rPr>
          <w:rFonts w:ascii="Arial" w:hAnsi="Arial" w:cs="Arial"/>
          <w:sz w:val="20"/>
          <w:szCs w:val="20"/>
          <w:lang w:val="de-DE"/>
        </w:rPr>
        <w:t>“</w:t>
      </w:r>
      <w:r w:rsidRPr="00430F54">
        <w:rPr>
          <w:rFonts w:ascii="Arial" w:hAnsi="Arial" w:cs="Arial"/>
          <w:sz w:val="20"/>
          <w:szCs w:val="20"/>
          <w:lang w:val="de-DE"/>
        </w:rPr>
        <w:t>) issued a Decision on acceptance of IR No. 1470915 for the mark "</w:t>
      </w:r>
      <w:r w:rsidRPr="00AF06E2">
        <w:rPr>
          <w:rFonts w:ascii="Arial" w:hAnsi="Arial" w:cs="Arial"/>
          <w:b/>
          <w:bCs/>
          <w:sz w:val="20"/>
          <w:szCs w:val="20"/>
          <w:lang w:val="de-DE"/>
        </w:rPr>
        <w:t>Fabrilcar</w:t>
      </w:r>
      <w:r w:rsidRPr="00430F54">
        <w:rPr>
          <w:rFonts w:ascii="Arial" w:hAnsi="Arial" w:cs="Arial"/>
          <w:sz w:val="20"/>
          <w:szCs w:val="20"/>
          <w:lang w:val="de-DE"/>
        </w:rPr>
        <w:t xml:space="preserve">" in the name of Aspöck Systems GmbH, withdrawing its provisional refusal decision and terminating </w:t>
      </w:r>
      <w:r w:rsidRPr="00430F54">
        <w:rPr>
          <w:rFonts w:ascii="Arial" w:hAnsi="Arial" w:cs="Arial"/>
          <w:sz w:val="20"/>
          <w:szCs w:val="20"/>
        </w:rPr>
        <w:t>a lengthy 4-year appeal process</w:t>
      </w:r>
      <w:r w:rsidRPr="00430F54">
        <w:rPr>
          <w:rFonts w:ascii="Arial" w:hAnsi="Arial" w:cs="Arial"/>
          <w:sz w:val="20"/>
          <w:szCs w:val="20"/>
          <w:lang w:val="de-DE"/>
        </w:rPr>
        <w:t xml:space="preserve">. This is a great victory for our client, Aspöck Systems GmbH, an </w:t>
      </w:r>
      <w:r w:rsidRPr="00430F54">
        <w:rPr>
          <w:rFonts w:ascii="Arial" w:hAnsi="Arial" w:cs="Arial"/>
          <w:sz w:val="20"/>
          <w:szCs w:val="20"/>
        </w:rPr>
        <w:t xml:space="preserve">Austrian company that specializes in developing and manufacturing lighting systems for vehicles, founded in </w:t>
      </w:r>
      <w:r w:rsidRPr="00430F54">
        <w:rPr>
          <w:rFonts w:ascii="Arial" w:hAnsi="Arial" w:cs="Arial"/>
          <w:color w:val="202122"/>
          <w:sz w:val="20"/>
          <w:szCs w:val="20"/>
          <w:shd w:val="clear" w:color="auto" w:fill="FFFFFF"/>
        </w:rPr>
        <w:t>September 1977.</w:t>
      </w:r>
    </w:p>
    <w:p w14:paraId="23304324" w14:textId="77777777" w:rsidR="00BA269E" w:rsidRPr="00430F54" w:rsidRDefault="00BA269E" w:rsidP="00BA269E">
      <w:pPr>
        <w:spacing w:after="0" w:line="240" w:lineRule="auto"/>
        <w:jc w:val="both"/>
        <w:rPr>
          <w:rFonts w:ascii="Arial" w:hAnsi="Arial" w:cs="Arial"/>
          <w:color w:val="202122"/>
          <w:sz w:val="20"/>
          <w:szCs w:val="20"/>
          <w:shd w:val="clear" w:color="auto" w:fill="FFFFFF"/>
        </w:rPr>
      </w:pPr>
    </w:p>
    <w:p w14:paraId="0D8C7DCB"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sz w:val="20"/>
          <w:szCs w:val="20"/>
        </w:rPr>
        <w:t>The mark “</w:t>
      </w:r>
      <w:r w:rsidRPr="00D75C74">
        <w:rPr>
          <w:rFonts w:ascii="Arial" w:hAnsi="Arial" w:cs="Arial"/>
          <w:b/>
          <w:bCs/>
          <w:sz w:val="20"/>
          <w:szCs w:val="20"/>
        </w:rPr>
        <w:t>Fabricar</w:t>
      </w:r>
      <w:r w:rsidRPr="00430F54">
        <w:rPr>
          <w:rFonts w:ascii="Arial" w:hAnsi="Arial" w:cs="Arial"/>
          <w:sz w:val="20"/>
          <w:szCs w:val="20"/>
        </w:rPr>
        <w:t xml:space="preserve">” under IR No. 1470915, designating Vietnam, faced a </w:t>
      </w:r>
      <w:hyperlink r:id="rId7" w:history="1">
        <w:r w:rsidRPr="002213FD">
          <w:rPr>
            <w:rStyle w:val="Hyperlink"/>
            <w:rFonts w:ascii="Arial" w:hAnsi="Arial" w:cs="Arial"/>
            <w:sz w:val="20"/>
            <w:szCs w:val="20"/>
          </w:rPr>
          <w:t>provisional refusal</w:t>
        </w:r>
      </w:hyperlink>
      <w:r w:rsidRPr="00430F54">
        <w:rPr>
          <w:rFonts w:ascii="Arial" w:hAnsi="Arial" w:cs="Arial"/>
          <w:sz w:val="20"/>
          <w:szCs w:val="20"/>
        </w:rPr>
        <w:t xml:space="preserve"> for all goods and services in Classes 11 and 37, as well as certain goods in Class 09 and services in Class 35, due to the mark being allegedly similar to two cited marks</w:t>
      </w:r>
      <w:r>
        <w:rPr>
          <w:rFonts w:ascii="Arial" w:hAnsi="Arial" w:cs="Arial"/>
          <w:sz w:val="20"/>
          <w:szCs w:val="20"/>
        </w:rPr>
        <w:t xml:space="preserve"> “</w:t>
      </w:r>
      <w:r w:rsidRPr="00D75C74">
        <w:rPr>
          <w:rFonts w:ascii="Arial" w:hAnsi="Arial" w:cs="Arial"/>
          <w:b/>
          <w:bCs/>
          <w:sz w:val="20"/>
          <w:szCs w:val="20"/>
          <w:lang w:val="de-DE"/>
        </w:rPr>
        <w:t>FABRICA</w:t>
      </w:r>
      <w:r>
        <w:rPr>
          <w:rFonts w:ascii="Arial" w:hAnsi="Arial" w:cs="Arial"/>
          <w:sz w:val="20"/>
          <w:szCs w:val="20"/>
        </w:rPr>
        <w:t>” and “</w:t>
      </w:r>
      <w:r w:rsidRPr="00D75C74">
        <w:rPr>
          <w:rFonts w:ascii="Arial" w:hAnsi="Arial" w:cs="Arial"/>
          <w:b/>
          <w:bCs/>
          <w:sz w:val="20"/>
          <w:szCs w:val="20"/>
          <w:lang w:val="de-DE"/>
        </w:rPr>
        <w:t>FABRICAIR</w:t>
      </w:r>
      <w:r>
        <w:rPr>
          <w:rFonts w:ascii="Arial" w:hAnsi="Arial" w:cs="Arial"/>
          <w:sz w:val="20"/>
          <w:szCs w:val="20"/>
        </w:rPr>
        <w:t>”.</w:t>
      </w:r>
    </w:p>
    <w:p w14:paraId="61C293AF" w14:textId="77777777" w:rsidR="00BA269E" w:rsidRPr="00430F54" w:rsidRDefault="00BA269E" w:rsidP="00BA269E">
      <w:pPr>
        <w:spacing w:after="0" w:line="240" w:lineRule="auto"/>
        <w:jc w:val="both"/>
        <w:rPr>
          <w:rFonts w:ascii="Arial" w:hAnsi="Arial" w:cs="Arial"/>
          <w:sz w:val="20"/>
          <w:szCs w:val="20"/>
          <w:lang w:val="de-DE"/>
        </w:rPr>
      </w:pPr>
    </w:p>
    <w:tbl>
      <w:tblPr>
        <w:tblStyle w:val="TableGrid"/>
        <w:tblW w:w="9634" w:type="dxa"/>
        <w:tblLook w:val="04A0" w:firstRow="1" w:lastRow="0" w:firstColumn="1" w:lastColumn="0" w:noHBand="0" w:noVBand="1"/>
      </w:tblPr>
      <w:tblGrid>
        <w:gridCol w:w="4815"/>
        <w:gridCol w:w="4819"/>
      </w:tblGrid>
      <w:tr w:rsidR="00BA269E" w:rsidRPr="00430F54" w14:paraId="24FD5BBD" w14:textId="77777777" w:rsidTr="00D9369F">
        <w:tc>
          <w:tcPr>
            <w:tcW w:w="4815" w:type="dxa"/>
          </w:tcPr>
          <w:p w14:paraId="00A89099" w14:textId="77777777" w:rsidR="00BA269E" w:rsidRPr="00430F54" w:rsidRDefault="00BA269E" w:rsidP="00A178CD">
            <w:pPr>
              <w:jc w:val="center"/>
              <w:rPr>
                <w:rFonts w:ascii="Arial" w:hAnsi="Arial" w:cs="Arial"/>
                <w:b/>
                <w:bCs/>
                <w:sz w:val="20"/>
                <w:szCs w:val="20"/>
                <w:lang w:val="de-DE"/>
              </w:rPr>
            </w:pPr>
            <w:bookmarkStart w:id="1" w:name="_Hlk182577760"/>
            <w:r w:rsidRPr="00430F54">
              <w:rPr>
                <w:rFonts w:ascii="Arial" w:hAnsi="Arial" w:cs="Arial"/>
                <w:b/>
                <w:bCs/>
                <w:sz w:val="20"/>
                <w:szCs w:val="20"/>
                <w:lang w:val="de-DE"/>
              </w:rPr>
              <w:t>Cited mark 1</w:t>
            </w:r>
          </w:p>
        </w:tc>
        <w:tc>
          <w:tcPr>
            <w:tcW w:w="4819" w:type="dxa"/>
          </w:tcPr>
          <w:p w14:paraId="5DBFDFE6" w14:textId="77777777" w:rsidR="00BA269E" w:rsidRPr="00430F54" w:rsidRDefault="00BA269E" w:rsidP="00A178CD">
            <w:pPr>
              <w:jc w:val="center"/>
              <w:rPr>
                <w:rFonts w:ascii="Arial" w:hAnsi="Arial" w:cs="Arial"/>
                <w:b/>
                <w:bCs/>
                <w:sz w:val="20"/>
                <w:szCs w:val="20"/>
                <w:lang w:val="de-DE"/>
              </w:rPr>
            </w:pPr>
            <w:r w:rsidRPr="00430F54">
              <w:rPr>
                <w:rFonts w:ascii="Arial" w:hAnsi="Arial" w:cs="Arial"/>
                <w:b/>
                <w:bCs/>
                <w:sz w:val="20"/>
                <w:szCs w:val="20"/>
                <w:lang w:val="de-DE"/>
              </w:rPr>
              <w:t>Cited mark 2</w:t>
            </w:r>
          </w:p>
        </w:tc>
      </w:tr>
      <w:tr w:rsidR="00BA269E" w:rsidRPr="00430F54" w14:paraId="7929F720" w14:textId="77777777" w:rsidTr="00D9369F">
        <w:tc>
          <w:tcPr>
            <w:tcW w:w="4815" w:type="dxa"/>
          </w:tcPr>
          <w:p w14:paraId="26B53728" w14:textId="09E8ABBD"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 xml:space="preserve">Trademark 1 :            </w:t>
            </w:r>
            <w:r w:rsidRPr="00D75C74">
              <w:rPr>
                <w:rFonts w:ascii="Arial" w:hAnsi="Arial" w:cs="Arial"/>
                <w:b/>
                <w:bCs/>
                <w:sz w:val="20"/>
                <w:szCs w:val="20"/>
                <w:lang w:val="de-DE"/>
              </w:rPr>
              <w:t>FABRICA</w:t>
            </w:r>
          </w:p>
          <w:p w14:paraId="1111B6AD" w14:textId="5D57BC89"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Int´l Registration No.:</w:t>
            </w:r>
            <w:r w:rsidR="004907A7">
              <w:rPr>
                <w:rFonts w:ascii="Arial" w:hAnsi="Arial" w:cs="Arial"/>
                <w:sz w:val="20"/>
                <w:szCs w:val="20"/>
                <w:lang w:val="vi-VN"/>
              </w:rPr>
              <w:t xml:space="preserve"> </w:t>
            </w:r>
            <w:r w:rsidRPr="00430F54">
              <w:rPr>
                <w:rFonts w:ascii="Arial" w:hAnsi="Arial" w:cs="Arial"/>
                <w:sz w:val="20"/>
                <w:szCs w:val="20"/>
                <w:lang w:val="de-DE"/>
              </w:rPr>
              <w:t>654791</w:t>
            </w:r>
          </w:p>
          <w:p w14:paraId="6F99C6B6" w14:textId="77777777"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Registration Date:      24 April 1996</w:t>
            </w:r>
          </w:p>
          <w:p w14:paraId="79693956" w14:textId="3E112E94"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 xml:space="preserve">Owner:                       </w:t>
            </w:r>
            <w:r w:rsidRPr="00D75C74">
              <w:rPr>
                <w:rFonts w:ascii="Arial" w:hAnsi="Arial" w:cs="Arial"/>
                <w:b/>
                <w:bCs/>
                <w:sz w:val="20"/>
                <w:szCs w:val="20"/>
                <w:lang w:val="de-DE"/>
              </w:rPr>
              <w:t>FABRICA S.R.L.</w:t>
            </w:r>
          </w:p>
          <w:p w14:paraId="54C996F2" w14:textId="6D11AC1F"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Address:               Via Villa Minelli 1 PONZANO VENETO (Treviso)  (IT)</w:t>
            </w:r>
          </w:p>
          <w:p w14:paraId="54B0A1BF" w14:textId="77777777"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Classes:                     16, 25, 35, 38, 41, 42</w:t>
            </w:r>
          </w:p>
        </w:tc>
        <w:tc>
          <w:tcPr>
            <w:tcW w:w="4819" w:type="dxa"/>
          </w:tcPr>
          <w:p w14:paraId="173A0271" w14:textId="77777777"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 xml:space="preserve">Trademark 2 :             </w:t>
            </w:r>
            <w:r w:rsidRPr="00D75C74">
              <w:rPr>
                <w:rFonts w:ascii="Arial" w:hAnsi="Arial" w:cs="Arial"/>
                <w:b/>
                <w:bCs/>
                <w:sz w:val="20"/>
                <w:szCs w:val="20"/>
                <w:lang w:val="de-DE"/>
              </w:rPr>
              <w:t>FABRICAIR</w:t>
            </w:r>
            <w:r w:rsidRPr="00430F54">
              <w:rPr>
                <w:rFonts w:ascii="Arial" w:hAnsi="Arial" w:cs="Arial"/>
                <w:sz w:val="20"/>
                <w:szCs w:val="20"/>
                <w:lang w:val="de-DE"/>
              </w:rPr>
              <w:t xml:space="preserve"> </w:t>
            </w:r>
          </w:p>
          <w:p w14:paraId="277C6BAA" w14:textId="77777777"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Int´l Registration No.:  958906</w:t>
            </w:r>
          </w:p>
          <w:p w14:paraId="6B3B1E97" w14:textId="77777777"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Registration Date:      27 February 2008</w:t>
            </w:r>
          </w:p>
          <w:p w14:paraId="56116BC8" w14:textId="77777777"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 xml:space="preserve">Owner:                        </w:t>
            </w:r>
            <w:r w:rsidRPr="00D75C74">
              <w:rPr>
                <w:rFonts w:ascii="Arial" w:hAnsi="Arial" w:cs="Arial"/>
                <w:b/>
                <w:bCs/>
                <w:sz w:val="20"/>
                <w:szCs w:val="20"/>
                <w:lang w:val="de-DE"/>
              </w:rPr>
              <w:t>FABRICAIR A/S</w:t>
            </w:r>
          </w:p>
          <w:p w14:paraId="7560CB45" w14:textId="77777777"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Address:                     Islandsvej 3 DK-4681 Herfølge  (DK)</w:t>
            </w:r>
            <w:bookmarkStart w:id="2" w:name="_GoBack"/>
            <w:bookmarkEnd w:id="2"/>
          </w:p>
          <w:p w14:paraId="1D62FA53" w14:textId="77777777" w:rsidR="00BA269E" w:rsidRPr="00430F54" w:rsidRDefault="00BA269E" w:rsidP="00A178CD">
            <w:pPr>
              <w:jc w:val="both"/>
              <w:rPr>
                <w:rFonts w:ascii="Arial" w:hAnsi="Arial" w:cs="Arial"/>
                <w:sz w:val="20"/>
                <w:szCs w:val="20"/>
                <w:lang w:val="de-DE"/>
              </w:rPr>
            </w:pPr>
            <w:r w:rsidRPr="00430F54">
              <w:rPr>
                <w:rFonts w:ascii="Arial" w:hAnsi="Arial" w:cs="Arial"/>
                <w:sz w:val="20"/>
                <w:szCs w:val="20"/>
                <w:lang w:val="de-DE"/>
              </w:rPr>
              <w:t>Classes: 11, 19, 24</w:t>
            </w:r>
          </w:p>
        </w:tc>
      </w:tr>
      <w:bookmarkEnd w:id="1"/>
    </w:tbl>
    <w:p w14:paraId="59FA7093" w14:textId="77777777" w:rsidR="00BA269E" w:rsidRPr="00430F54" w:rsidRDefault="00BA269E" w:rsidP="00BA269E">
      <w:pPr>
        <w:spacing w:after="0" w:line="240" w:lineRule="auto"/>
        <w:jc w:val="both"/>
        <w:rPr>
          <w:rFonts w:ascii="Arial" w:hAnsi="Arial" w:cs="Arial"/>
          <w:sz w:val="20"/>
          <w:szCs w:val="20"/>
          <w:lang w:val="de-DE"/>
        </w:rPr>
      </w:pPr>
    </w:p>
    <w:p w14:paraId="77BD8B3E" w14:textId="77777777" w:rsidR="00BA269E" w:rsidRDefault="00BA269E" w:rsidP="00BA269E">
      <w:pPr>
        <w:spacing w:after="0" w:line="240" w:lineRule="auto"/>
        <w:jc w:val="both"/>
        <w:rPr>
          <w:rFonts w:ascii="Arial" w:hAnsi="Arial" w:cs="Arial"/>
          <w:sz w:val="20"/>
          <w:szCs w:val="20"/>
        </w:rPr>
      </w:pPr>
      <w:bookmarkStart w:id="3" w:name="_Hlk182573959"/>
      <w:r w:rsidRPr="00430F54">
        <w:rPr>
          <w:rFonts w:ascii="Arial" w:hAnsi="Arial" w:cs="Arial"/>
          <w:sz w:val="20"/>
          <w:szCs w:val="20"/>
        </w:rPr>
        <w:t xml:space="preserve">To address a trademark refusal based on alleged </w:t>
      </w:r>
      <w:hyperlink r:id="rId8" w:history="1">
        <w:r w:rsidRPr="00A719C5">
          <w:rPr>
            <w:rStyle w:val="Hyperlink"/>
            <w:rFonts w:ascii="Arial" w:hAnsi="Arial" w:cs="Arial"/>
            <w:sz w:val="20"/>
            <w:szCs w:val="20"/>
          </w:rPr>
          <w:t>similarity to prior marks</w:t>
        </w:r>
      </w:hyperlink>
      <w:r w:rsidRPr="00430F54">
        <w:rPr>
          <w:rFonts w:ascii="Arial" w:hAnsi="Arial" w:cs="Arial"/>
          <w:sz w:val="20"/>
          <w:szCs w:val="20"/>
        </w:rPr>
        <w:t>, applicants have several strategies to overcome the refusal. They can present arguments highlighting the dissimilarities between the applied-for mark and the cited marks, focusing on visual, phonetic, or conceptual distinctions.  Alternatively, they may obtain a Letter of Consent from the owner of the cited marks, allowing coexistence. Another option is to challenge the validity of the cited marks through a five-year non-use cancellation action. Additionally, applicants can amend their application by limiting or removing the conflicting goods or services to avoid overlap.</w:t>
      </w:r>
    </w:p>
    <w:p w14:paraId="3D93D38B" w14:textId="77777777" w:rsidR="00BA269E" w:rsidRPr="00430F54" w:rsidRDefault="00BA269E" w:rsidP="00BA269E">
      <w:pPr>
        <w:spacing w:after="0" w:line="240" w:lineRule="auto"/>
        <w:jc w:val="both"/>
        <w:rPr>
          <w:rFonts w:ascii="Arial" w:hAnsi="Arial" w:cs="Arial"/>
          <w:sz w:val="20"/>
          <w:szCs w:val="20"/>
        </w:rPr>
      </w:pPr>
    </w:p>
    <w:bookmarkEnd w:id="3"/>
    <w:p w14:paraId="6B274573"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sz w:val="20"/>
          <w:szCs w:val="20"/>
        </w:rPr>
        <w:t>The client informed us that Fabrica S.R.L., owner of the trademark "</w:t>
      </w:r>
      <w:r w:rsidRPr="00D75C74">
        <w:rPr>
          <w:rFonts w:ascii="Arial" w:hAnsi="Arial" w:cs="Arial"/>
          <w:b/>
          <w:bCs/>
          <w:sz w:val="20"/>
          <w:szCs w:val="20"/>
          <w:lang w:val="de-DE"/>
        </w:rPr>
        <w:t>FABRICA</w:t>
      </w:r>
      <w:r w:rsidRPr="00430F54">
        <w:rPr>
          <w:rFonts w:ascii="Arial" w:hAnsi="Arial" w:cs="Arial"/>
          <w:sz w:val="20"/>
          <w:szCs w:val="20"/>
        </w:rPr>
        <w:t xml:space="preserve">" (IR No. 654791), operates in a completely different field as a “publishing house”, whereas the Danish company </w:t>
      </w:r>
      <w:r w:rsidRPr="00430F54">
        <w:rPr>
          <w:rFonts w:ascii="Arial" w:hAnsi="Arial" w:cs="Arial"/>
          <w:sz w:val="20"/>
          <w:szCs w:val="20"/>
          <w:lang w:val="de-DE"/>
        </w:rPr>
        <w:t>FABRICAIR A/S</w:t>
      </w:r>
      <w:r w:rsidRPr="00430F54">
        <w:rPr>
          <w:rFonts w:ascii="Arial" w:hAnsi="Arial" w:cs="Arial"/>
          <w:sz w:val="20"/>
          <w:szCs w:val="20"/>
        </w:rPr>
        <w:t xml:space="preserve"> specializes in manufacturing air ducting systems under the trademark "</w:t>
      </w:r>
      <w:r w:rsidRPr="00D75C74">
        <w:rPr>
          <w:rFonts w:ascii="Arial" w:hAnsi="Arial" w:cs="Arial"/>
          <w:b/>
          <w:bCs/>
          <w:sz w:val="20"/>
          <w:szCs w:val="20"/>
          <w:lang w:val="de-DE"/>
        </w:rPr>
        <w:t>FABRICAIR</w:t>
      </w:r>
      <w:r w:rsidRPr="00430F54">
        <w:rPr>
          <w:rFonts w:ascii="Arial" w:hAnsi="Arial" w:cs="Arial"/>
          <w:sz w:val="20"/>
          <w:szCs w:val="20"/>
        </w:rPr>
        <w:t>" (No. 958906). The client asked whether we could include arguments in our response requesting IP VIETNAM to grant protection for their mark, emphasizing the distinct nature of the respective businesses.</w:t>
      </w:r>
    </w:p>
    <w:p w14:paraId="5CA03154" w14:textId="77777777" w:rsidR="00BA269E" w:rsidRPr="00430F54" w:rsidRDefault="00BA269E" w:rsidP="00BA269E">
      <w:pPr>
        <w:spacing w:after="0" w:line="240" w:lineRule="auto"/>
        <w:jc w:val="both"/>
        <w:rPr>
          <w:rFonts w:ascii="Arial" w:hAnsi="Arial" w:cs="Arial"/>
          <w:sz w:val="20"/>
          <w:szCs w:val="20"/>
          <w:lang w:val="de-DE"/>
        </w:rPr>
      </w:pPr>
    </w:p>
    <w:p w14:paraId="08915ABB"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sz w:val="20"/>
          <w:szCs w:val="20"/>
        </w:rPr>
        <w:t>This is a common argument raised by trademark owners when facing a refusal, asserting that the primary business activities of the cited trademark owner differ significantly from their own, and therefore, no conflict of interest would arise if the marks co-exist. However, in practice, IP VIETNAM examiners do not focus on the actual business sectors of the cited trademark owners. Instead, they assess the similarity of the marks by directly comparing the applied-for mark with the cited marks, as well as the respective goods or services associated with them.</w:t>
      </w:r>
    </w:p>
    <w:p w14:paraId="4B526B09" w14:textId="77777777" w:rsidR="00BA269E" w:rsidRPr="00430F54" w:rsidRDefault="00BA269E" w:rsidP="00BA269E">
      <w:pPr>
        <w:spacing w:after="0" w:line="240" w:lineRule="auto"/>
        <w:jc w:val="both"/>
        <w:rPr>
          <w:rFonts w:ascii="Arial" w:hAnsi="Arial" w:cs="Arial"/>
          <w:color w:val="000000"/>
          <w:sz w:val="20"/>
          <w:szCs w:val="20"/>
          <w:lang w:val="de-DE"/>
        </w:rPr>
      </w:pPr>
    </w:p>
    <w:p w14:paraId="33E10D77" w14:textId="77777777" w:rsidR="00BA269E" w:rsidRPr="00430F54" w:rsidRDefault="00BA269E" w:rsidP="00BA269E">
      <w:pPr>
        <w:spacing w:after="0" w:line="240" w:lineRule="auto"/>
        <w:jc w:val="both"/>
        <w:rPr>
          <w:rFonts w:ascii="Arial" w:hAnsi="Arial" w:cs="Arial"/>
          <w:color w:val="000000"/>
          <w:sz w:val="20"/>
          <w:szCs w:val="20"/>
          <w:lang w:val="de-DE"/>
        </w:rPr>
      </w:pPr>
      <w:r w:rsidRPr="00430F54">
        <w:rPr>
          <w:rFonts w:ascii="Arial" w:hAnsi="Arial" w:cs="Arial"/>
          <w:sz w:val="20"/>
          <w:szCs w:val="20"/>
        </w:rPr>
        <w:t>The client faces a challenging situation as their mark, "</w:t>
      </w:r>
      <w:r w:rsidRPr="00D75C74">
        <w:rPr>
          <w:rFonts w:ascii="Arial" w:hAnsi="Arial" w:cs="Arial"/>
          <w:b/>
          <w:bCs/>
          <w:sz w:val="20"/>
          <w:szCs w:val="20"/>
        </w:rPr>
        <w:t>Fabrilcar</w:t>
      </w:r>
      <w:r w:rsidRPr="00430F54">
        <w:rPr>
          <w:rFonts w:ascii="Arial" w:hAnsi="Arial" w:cs="Arial"/>
          <w:sz w:val="20"/>
          <w:szCs w:val="20"/>
        </w:rPr>
        <w:t>", is phonetically similar to the two cited marks, "</w:t>
      </w:r>
      <w:r w:rsidRPr="00D75C74">
        <w:rPr>
          <w:rFonts w:ascii="Arial" w:hAnsi="Arial" w:cs="Arial"/>
          <w:b/>
          <w:bCs/>
          <w:sz w:val="20"/>
          <w:szCs w:val="20"/>
        </w:rPr>
        <w:t>FABRICA</w:t>
      </w:r>
      <w:r w:rsidRPr="00430F54">
        <w:rPr>
          <w:rFonts w:ascii="Arial" w:hAnsi="Arial" w:cs="Arial"/>
          <w:sz w:val="20"/>
          <w:szCs w:val="20"/>
        </w:rPr>
        <w:t>" and "</w:t>
      </w:r>
      <w:r w:rsidRPr="00D75C74">
        <w:rPr>
          <w:rFonts w:ascii="Arial" w:hAnsi="Arial" w:cs="Arial"/>
          <w:b/>
          <w:bCs/>
          <w:sz w:val="20"/>
          <w:szCs w:val="20"/>
        </w:rPr>
        <w:t>FABRICAIR</w:t>
      </w:r>
      <w:r w:rsidRPr="00430F54">
        <w:rPr>
          <w:rFonts w:ascii="Arial" w:hAnsi="Arial" w:cs="Arial"/>
          <w:sz w:val="20"/>
          <w:szCs w:val="20"/>
        </w:rPr>
        <w:t>"</w:t>
      </w:r>
      <w:r>
        <w:rPr>
          <w:rFonts w:ascii="Arial" w:hAnsi="Arial" w:cs="Arial"/>
          <w:sz w:val="20"/>
          <w:szCs w:val="20"/>
        </w:rPr>
        <w:t>.</w:t>
      </w:r>
      <w:r w:rsidRPr="00430F54">
        <w:rPr>
          <w:rFonts w:ascii="Arial" w:hAnsi="Arial" w:cs="Arial"/>
          <w:sz w:val="20"/>
          <w:szCs w:val="20"/>
        </w:rPr>
        <w:t xml:space="preserve"> Additionally, the goods and services associated with their mark in Classes 11 and 17, as well as certain goods and services in Classes 09 and 35, are considered similar to those covered by the cited marks.</w:t>
      </w:r>
    </w:p>
    <w:p w14:paraId="5BCE55DC" w14:textId="77777777" w:rsidR="00BA269E" w:rsidRPr="00430F54" w:rsidRDefault="00BA269E" w:rsidP="00BA269E">
      <w:pPr>
        <w:spacing w:after="0" w:line="240" w:lineRule="auto"/>
        <w:jc w:val="both"/>
        <w:rPr>
          <w:rFonts w:ascii="Arial" w:hAnsi="Arial" w:cs="Arial"/>
          <w:color w:val="000000"/>
          <w:sz w:val="20"/>
          <w:szCs w:val="20"/>
          <w:lang w:val="de-DE"/>
        </w:rPr>
      </w:pPr>
    </w:p>
    <w:p w14:paraId="15C0CBA4"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sz w:val="20"/>
          <w:szCs w:val="20"/>
        </w:rPr>
        <w:t xml:space="preserve">After analyzing the cited marks, we developed a strategic approach to address the complex refusal by adopting comprehensive measures. These included </w:t>
      </w:r>
      <w:hyperlink r:id="rId9" w:history="1">
        <w:r w:rsidRPr="006B20A6">
          <w:rPr>
            <w:rStyle w:val="Hyperlink"/>
            <w:rFonts w:ascii="Arial" w:hAnsi="Arial" w:cs="Arial"/>
            <w:sz w:val="20"/>
            <w:szCs w:val="20"/>
          </w:rPr>
          <w:t>removing certain directly conflicting services</w:t>
        </w:r>
      </w:hyperlink>
      <w:r w:rsidRPr="00430F54">
        <w:rPr>
          <w:rFonts w:ascii="Arial" w:hAnsi="Arial" w:cs="Arial"/>
          <w:sz w:val="20"/>
          <w:szCs w:val="20"/>
        </w:rPr>
        <w:t xml:space="preserve"> in Class 35 to overcome the conflict with the first cited mark and obtaining a Letter of Consent from the owner of the second cited mark.</w:t>
      </w:r>
    </w:p>
    <w:p w14:paraId="20510994" w14:textId="77777777" w:rsidR="00BA269E" w:rsidRPr="00430F54" w:rsidRDefault="00BA269E" w:rsidP="00BA269E">
      <w:pPr>
        <w:spacing w:after="0" w:line="240" w:lineRule="auto"/>
        <w:jc w:val="both"/>
        <w:rPr>
          <w:rFonts w:ascii="Arial" w:hAnsi="Arial" w:cs="Arial"/>
          <w:sz w:val="20"/>
          <w:szCs w:val="20"/>
        </w:rPr>
      </w:pPr>
    </w:p>
    <w:p w14:paraId="5FE932AE"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sz w:val="20"/>
          <w:szCs w:val="20"/>
        </w:rPr>
        <w:t xml:space="preserve">After carefully taking our </w:t>
      </w:r>
      <w:r>
        <w:rPr>
          <w:rFonts w:ascii="Arial" w:hAnsi="Arial" w:cs="Arial"/>
          <w:sz w:val="20"/>
          <w:szCs w:val="20"/>
        </w:rPr>
        <w:t>appeal</w:t>
      </w:r>
      <w:r w:rsidRPr="00430F54">
        <w:rPr>
          <w:rFonts w:ascii="Arial" w:hAnsi="Arial" w:cs="Arial"/>
          <w:sz w:val="20"/>
          <w:szCs w:val="20"/>
        </w:rPr>
        <w:t xml:space="preserve"> into consideration, which presented detailed arguments on the mark's distinctiveness and the absence of consumer confusion, IP VIETNAM found our reasoning persuasive and withdrew its provisional refusal, ultimately granting protection for our client’s mark.</w:t>
      </w:r>
    </w:p>
    <w:p w14:paraId="104A14BB" w14:textId="77777777" w:rsidR="00BA269E" w:rsidRPr="00430F54" w:rsidRDefault="00BA269E" w:rsidP="00BA269E">
      <w:pPr>
        <w:spacing w:after="0" w:line="240" w:lineRule="auto"/>
        <w:jc w:val="both"/>
        <w:rPr>
          <w:rFonts w:ascii="Arial" w:hAnsi="Arial" w:cs="Arial"/>
          <w:sz w:val="20"/>
          <w:szCs w:val="20"/>
          <w:lang w:val="de-DE"/>
        </w:rPr>
      </w:pPr>
    </w:p>
    <w:p w14:paraId="050A0368" w14:textId="77777777" w:rsidR="00BA269E" w:rsidRPr="002A6F38" w:rsidRDefault="00BA269E" w:rsidP="00BA269E">
      <w:pPr>
        <w:spacing w:after="0" w:line="240" w:lineRule="auto"/>
        <w:jc w:val="both"/>
        <w:rPr>
          <w:rFonts w:ascii="Arial" w:hAnsi="Arial" w:cs="Arial"/>
          <w:b/>
          <w:bCs/>
          <w:color w:val="2F5496" w:themeColor="accent1" w:themeShade="BF"/>
          <w:lang w:val="de-DE"/>
        </w:rPr>
      </w:pPr>
      <w:r w:rsidRPr="002A6F38">
        <w:rPr>
          <w:rFonts w:ascii="Arial" w:hAnsi="Arial" w:cs="Arial"/>
          <w:b/>
          <w:bCs/>
          <w:color w:val="2F5496" w:themeColor="accent1" w:themeShade="BF"/>
          <w:lang w:val="de-DE"/>
        </w:rPr>
        <w:t>Key takeways</w:t>
      </w:r>
    </w:p>
    <w:p w14:paraId="6C316C78" w14:textId="77777777" w:rsidR="00BA269E" w:rsidRPr="002A6F38" w:rsidRDefault="00BA269E" w:rsidP="00BA269E">
      <w:pPr>
        <w:spacing w:after="0" w:line="240" w:lineRule="auto"/>
        <w:jc w:val="both"/>
        <w:rPr>
          <w:rFonts w:ascii="Arial" w:hAnsi="Arial" w:cs="Arial"/>
          <w:color w:val="2F5496" w:themeColor="accent1" w:themeShade="BF"/>
          <w:lang w:val="de-DE"/>
        </w:rPr>
      </w:pPr>
    </w:p>
    <w:p w14:paraId="0EBD46F3" w14:textId="2872270B" w:rsidR="00BA269E" w:rsidRDefault="00BA269E" w:rsidP="00BA269E">
      <w:pPr>
        <w:spacing w:after="0" w:line="240" w:lineRule="auto"/>
        <w:jc w:val="both"/>
        <w:rPr>
          <w:rFonts w:ascii="Arial" w:hAnsi="Arial" w:cs="Arial"/>
          <w:b/>
          <w:bCs/>
          <w:color w:val="2F5496" w:themeColor="accent1" w:themeShade="BF"/>
          <w:lang w:val="de-DE"/>
        </w:rPr>
      </w:pPr>
      <w:r w:rsidRPr="0024575D">
        <w:rPr>
          <w:rFonts w:ascii="Arial" w:hAnsi="Arial" w:cs="Arial"/>
          <w:b/>
          <w:color w:val="2F5496" w:themeColor="accent1" w:themeShade="BF"/>
          <w:lang w:val="de-DE"/>
        </w:rPr>
        <w:t>[1]</w:t>
      </w:r>
      <w:r w:rsidRPr="002A6F38">
        <w:rPr>
          <w:rFonts w:ascii="Arial" w:hAnsi="Arial" w:cs="Arial"/>
          <w:b/>
          <w:bCs/>
          <w:color w:val="2F5496" w:themeColor="accent1" w:themeShade="BF"/>
          <w:lang w:val="de-DE"/>
        </w:rPr>
        <w:t xml:space="preserve"> Letter of Consent</w:t>
      </w:r>
    </w:p>
    <w:p w14:paraId="3E5092DC" w14:textId="77777777" w:rsidR="0024575D" w:rsidRPr="0024575D" w:rsidRDefault="0024575D" w:rsidP="00BA269E">
      <w:pPr>
        <w:spacing w:after="0" w:line="240" w:lineRule="auto"/>
        <w:jc w:val="both"/>
        <w:rPr>
          <w:rFonts w:ascii="Arial" w:hAnsi="Arial" w:cs="Arial"/>
          <w:b/>
          <w:bCs/>
          <w:color w:val="2F5496" w:themeColor="accent1" w:themeShade="BF"/>
          <w:lang w:val="de-DE"/>
        </w:rPr>
      </w:pPr>
    </w:p>
    <w:p w14:paraId="0E579DD0" w14:textId="607166FD" w:rsidR="00BA269E" w:rsidRPr="00430F54" w:rsidRDefault="00D9369F" w:rsidP="00BA269E">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988F4BD" wp14:editId="6BF154CE">
                <wp:simplePos x="0" y="0"/>
                <wp:positionH relativeFrom="column">
                  <wp:posOffset>6381750</wp:posOffset>
                </wp:positionH>
                <wp:positionV relativeFrom="paragraph">
                  <wp:posOffset>-314960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F980C" w14:textId="77777777" w:rsidR="00D9369F" w:rsidRPr="00BA68B8" w:rsidRDefault="00D9369F" w:rsidP="00D9369F">
                            <w:pPr>
                              <w:spacing w:after="0" w:line="240" w:lineRule="auto"/>
                              <w:rPr>
                                <w:rFonts w:ascii="Arial" w:hAnsi="Arial" w:cs="Arial"/>
                                <w:b/>
                                <w:color w:val="FFFFFF" w:themeColor="background1"/>
                                <w:sz w:val="20"/>
                                <w:szCs w:val="20"/>
                              </w:rPr>
                            </w:pPr>
                            <w:r w:rsidRPr="00D9369F">
                              <w:rPr>
                                <w:rFonts w:ascii="Arial" w:hAnsi="Arial" w:cs="Arial"/>
                                <w:b/>
                                <w:bCs/>
                                <w:color w:val="FFFFFF" w:themeColor="background1"/>
                                <w:sz w:val="20"/>
                                <w:szCs w:val="20"/>
                              </w:rPr>
                              <w:t>How to successfully appeal a trademark refusal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8F4BD" id="Rectangle 1" o:spid="_x0000_s1028" style="position:absolute;left:0;text-align:left;margin-left:502.5pt;margin-top:-24.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HKW78viAAAADgEAAA8AAABkcnMvZG93&#10;bnJldi54bWxMj81OwzAQhO9IvIO1SNxaG0TSEuJUCIkDSAgolSpubrwkEfEPttMEnp7NCW4z2tHs&#10;N+VmMj07YoidsxIulgIY2trpzjYSdm/3izWwmJTVqncWJXxjhE11elKqQrvRvuJxmxpGJTYWSkKb&#10;ki84j3WLRsWl82jp9uGCUYlsaLgOaqRy0/NLIXJuVGfpQ6s83rVYf24HI8Hvnwf/PoSXn4dxPe7r&#10;1eMT7r6kPD+bbm+AJZzSXxhmfEKHipgObrA6sp68EBmNSRIWV9c5sDkislkdSGWrPANelfz/jOoX&#10;AAD//wMAUEsBAi0AFAAGAAgAAAAhALaDOJL+AAAA4QEAABMAAAAAAAAAAAAAAAAAAAAAAFtDb250&#10;ZW50X1R5cGVzXS54bWxQSwECLQAUAAYACAAAACEAOP0h/9YAAACUAQAACwAAAAAAAAAAAAAAAAAv&#10;AQAAX3JlbHMvLnJlbHNQSwECLQAUAAYACAAAACEAD/60YqACAADHBQAADgAAAAAAAAAAAAAAAAAu&#10;AgAAZHJzL2Uyb0RvYy54bWxQSwECLQAUAAYACAAAACEAcpbvy+IAAAAOAQAADwAAAAAAAAAAAAAA&#10;AAD6BAAAZHJzL2Rvd25yZXYueG1sUEsFBgAAAAAEAAQA8wAAAAkGAAAAAA==&#10;" fillcolor="#00b39c" strokecolor="#00b39c" strokeweight="0">
                <v:textbox style="layout-flow:vertical">
                  <w:txbxContent>
                    <w:p w14:paraId="6DDF980C" w14:textId="77777777" w:rsidR="00D9369F" w:rsidRPr="00BA68B8" w:rsidRDefault="00D9369F" w:rsidP="00D9369F">
                      <w:pPr>
                        <w:spacing w:after="0" w:line="240" w:lineRule="auto"/>
                        <w:rPr>
                          <w:rFonts w:ascii="Arial" w:hAnsi="Arial" w:cs="Arial"/>
                          <w:b/>
                          <w:color w:val="FFFFFF" w:themeColor="background1"/>
                          <w:sz w:val="20"/>
                          <w:szCs w:val="20"/>
                        </w:rPr>
                      </w:pPr>
                      <w:r w:rsidRPr="00D9369F">
                        <w:rPr>
                          <w:rFonts w:ascii="Arial" w:hAnsi="Arial" w:cs="Arial"/>
                          <w:b/>
                          <w:bCs/>
                          <w:color w:val="FFFFFF" w:themeColor="background1"/>
                          <w:sz w:val="20"/>
                          <w:szCs w:val="20"/>
                        </w:rPr>
                        <w:t>How to successfully appeal a trademark refusal in Vietnam</w:t>
                      </w:r>
                    </w:p>
                  </w:txbxContent>
                </v:textbox>
              </v:rect>
            </w:pict>
          </mc:Fallback>
        </mc:AlternateContent>
      </w:r>
      <w:r w:rsidR="00BA269E" w:rsidRPr="00430F54">
        <w:rPr>
          <w:rFonts w:ascii="Arial" w:hAnsi="Arial" w:cs="Arial"/>
          <w:color w:val="000000"/>
          <w:sz w:val="20"/>
          <w:szCs w:val="20"/>
          <w:shd w:val="clear" w:color="auto" w:fill="FFFFFF"/>
        </w:rPr>
        <w:t>Statutorily, Vietnam does not adopt consent letter regime to exclude the likelihood of confusion. V</w:t>
      </w:r>
      <w:r w:rsidR="00BA269E" w:rsidRPr="00430F54">
        <w:rPr>
          <w:rFonts w:ascii="Arial" w:hAnsi="Arial" w:cs="Arial"/>
          <w:sz w:val="20"/>
          <w:szCs w:val="20"/>
        </w:rPr>
        <w:t>ietnam's IP law doesn't explicitly include Letters of Consent</w:t>
      </w:r>
      <w:r w:rsidR="00BA269E">
        <w:rPr>
          <w:rFonts w:ascii="Arial" w:hAnsi="Arial" w:cs="Arial"/>
          <w:sz w:val="20"/>
          <w:szCs w:val="20"/>
        </w:rPr>
        <w:t xml:space="preserve"> (“</w:t>
      </w:r>
      <w:r w:rsidR="00BA269E" w:rsidRPr="00D75C74">
        <w:rPr>
          <w:rFonts w:ascii="Arial" w:hAnsi="Arial" w:cs="Arial"/>
          <w:b/>
          <w:bCs/>
          <w:sz w:val="20"/>
          <w:szCs w:val="20"/>
        </w:rPr>
        <w:t>LoC</w:t>
      </w:r>
      <w:r w:rsidR="00BA269E">
        <w:rPr>
          <w:rFonts w:ascii="Arial" w:hAnsi="Arial" w:cs="Arial"/>
          <w:sz w:val="20"/>
          <w:szCs w:val="20"/>
        </w:rPr>
        <w:t>”)</w:t>
      </w:r>
      <w:r w:rsidR="00BA269E" w:rsidRPr="00430F54">
        <w:rPr>
          <w:rFonts w:ascii="Arial" w:hAnsi="Arial" w:cs="Arial"/>
          <w:sz w:val="20"/>
          <w:szCs w:val="20"/>
        </w:rPr>
        <w:t xml:space="preserve"> as a deciding factor in trademark disputes. This means IP Vietnam isn't obligated to accept an LoC as automatic proof that confusion is unlikely. The core principle in trademark law is preventing consumer confusion. Even if two trademark owners agree that confusion isn't likely, IP Vietnam's primary focus is whether the marks are similar enough to confuse consumers about the origin of goods or services. This is why clear evidence of dissimilarity is so important, even with an LoC.</w:t>
      </w:r>
    </w:p>
    <w:p w14:paraId="524DFD9E" w14:textId="77777777" w:rsidR="00BA269E" w:rsidRPr="00430F54" w:rsidRDefault="00BA269E" w:rsidP="00BA269E">
      <w:pPr>
        <w:spacing w:after="0" w:line="240" w:lineRule="auto"/>
        <w:jc w:val="both"/>
        <w:rPr>
          <w:rFonts w:ascii="Arial" w:hAnsi="Arial" w:cs="Arial"/>
          <w:sz w:val="20"/>
          <w:szCs w:val="20"/>
        </w:rPr>
      </w:pPr>
    </w:p>
    <w:p w14:paraId="15077410"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sz w:val="20"/>
          <w:szCs w:val="20"/>
        </w:rPr>
        <w:t xml:space="preserve">However, a LoC </w:t>
      </w:r>
      <w:r w:rsidRPr="00430F54">
        <w:rPr>
          <w:rStyle w:val="Emphasis"/>
          <w:rFonts w:ascii="Arial" w:hAnsi="Arial" w:cs="Arial"/>
          <w:sz w:val="20"/>
          <w:szCs w:val="20"/>
        </w:rPr>
        <w:t>does</w:t>
      </w:r>
      <w:r w:rsidRPr="00430F54">
        <w:rPr>
          <w:rFonts w:ascii="Arial" w:hAnsi="Arial" w:cs="Arial"/>
          <w:sz w:val="20"/>
          <w:szCs w:val="20"/>
        </w:rPr>
        <w:t xml:space="preserve"> hold value as supporting evidence. While not legally binding, a Letter of Consent can positively influence IP Vietnam examiners. It can demonstrate that the owner of the prior mark doesn't believe there will be confusion and thus doesn't object to the </w:t>
      </w:r>
      <w:hyperlink r:id="rId10" w:history="1">
        <w:r w:rsidRPr="003F6A25">
          <w:rPr>
            <w:rStyle w:val="Hyperlink"/>
            <w:rFonts w:ascii="Arial" w:hAnsi="Arial" w:cs="Arial"/>
            <w:sz w:val="20"/>
            <w:szCs w:val="20"/>
          </w:rPr>
          <w:t>registration</w:t>
        </w:r>
      </w:hyperlink>
      <w:r w:rsidRPr="00430F54">
        <w:rPr>
          <w:rFonts w:ascii="Arial" w:hAnsi="Arial" w:cs="Arial"/>
          <w:sz w:val="20"/>
          <w:szCs w:val="20"/>
        </w:rPr>
        <w:t xml:space="preserve"> of the adverse party’s mark. This can strengthen arguments on distinguisability between the marks in questions because:</w:t>
      </w:r>
    </w:p>
    <w:p w14:paraId="59FC3F3C"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sz w:val="20"/>
          <w:szCs w:val="20"/>
        </w:rPr>
        <w:t xml:space="preserve"> </w:t>
      </w:r>
    </w:p>
    <w:p w14:paraId="3D12CE31" w14:textId="77777777" w:rsidR="00BA269E" w:rsidRPr="00430F54" w:rsidRDefault="00BA269E" w:rsidP="00BA269E">
      <w:pPr>
        <w:pStyle w:val="ListParagraph"/>
        <w:numPr>
          <w:ilvl w:val="0"/>
          <w:numId w:val="19"/>
        </w:numPr>
        <w:spacing w:after="0" w:line="240" w:lineRule="auto"/>
        <w:ind w:left="450" w:hanging="450"/>
        <w:jc w:val="both"/>
        <w:rPr>
          <w:rFonts w:ascii="Arial" w:hAnsi="Arial" w:cs="Arial"/>
          <w:sz w:val="20"/>
          <w:szCs w:val="20"/>
        </w:rPr>
      </w:pPr>
      <w:r w:rsidRPr="00430F54">
        <w:rPr>
          <w:rFonts w:ascii="Arial" w:hAnsi="Arial" w:cs="Arial"/>
          <w:sz w:val="20"/>
          <w:szCs w:val="20"/>
        </w:rPr>
        <w:t xml:space="preserve">When a trademark owner provides a Letter of Consent, they implicitly acknowledge that they don't see the applicant's mark as an </w:t>
      </w:r>
      <w:hyperlink r:id="rId11" w:history="1">
        <w:r w:rsidRPr="007F6E22">
          <w:rPr>
            <w:rStyle w:val="Hyperlink"/>
            <w:rFonts w:ascii="Arial" w:hAnsi="Arial" w:cs="Arial"/>
            <w:sz w:val="20"/>
            <w:szCs w:val="20"/>
          </w:rPr>
          <w:t>infringement</w:t>
        </w:r>
      </w:hyperlink>
      <w:r w:rsidRPr="00430F54">
        <w:rPr>
          <w:rFonts w:ascii="Arial" w:hAnsi="Arial" w:cs="Arial"/>
          <w:sz w:val="20"/>
          <w:szCs w:val="20"/>
        </w:rPr>
        <w:t xml:space="preserve"> of their own. It suggests that the parties most likely to be harmed by potential confusion (i.e., the trademark owners themselves) don't see a problem and thus, they believe the marks are sufficiently different to coexist in the marketplace without causing confusion.</w:t>
      </w:r>
    </w:p>
    <w:p w14:paraId="157D0F23" w14:textId="77777777" w:rsidR="00BA269E" w:rsidRPr="00430F54" w:rsidRDefault="00BA269E" w:rsidP="00BA269E">
      <w:pPr>
        <w:pStyle w:val="ListParagraph"/>
        <w:numPr>
          <w:ilvl w:val="0"/>
          <w:numId w:val="19"/>
        </w:numPr>
        <w:spacing w:after="0" w:line="240" w:lineRule="auto"/>
        <w:ind w:left="450" w:hanging="450"/>
        <w:jc w:val="both"/>
        <w:rPr>
          <w:rFonts w:ascii="Arial" w:hAnsi="Arial" w:cs="Arial"/>
          <w:color w:val="000000"/>
          <w:sz w:val="20"/>
          <w:szCs w:val="20"/>
          <w:shd w:val="clear" w:color="auto" w:fill="FFFFFF"/>
        </w:rPr>
      </w:pPr>
      <w:r w:rsidRPr="00430F54">
        <w:rPr>
          <w:rFonts w:ascii="Arial" w:hAnsi="Arial" w:cs="Arial"/>
          <w:sz w:val="20"/>
          <w:szCs w:val="20"/>
        </w:rPr>
        <w:t>It signals to IP Vietnam that the two parties have already resolved any potential disputes themselves, making the examiner more likely to accept the applicant's arguments for distinguishability.</w:t>
      </w:r>
    </w:p>
    <w:p w14:paraId="79BA6350" w14:textId="77777777" w:rsidR="00BA269E" w:rsidRPr="00430F54" w:rsidRDefault="00BA269E" w:rsidP="00BA269E">
      <w:pPr>
        <w:pStyle w:val="ListParagraph"/>
        <w:numPr>
          <w:ilvl w:val="0"/>
          <w:numId w:val="19"/>
        </w:numPr>
        <w:spacing w:after="0" w:line="240" w:lineRule="auto"/>
        <w:ind w:left="450" w:hanging="450"/>
        <w:jc w:val="both"/>
        <w:rPr>
          <w:rFonts w:ascii="Arial" w:hAnsi="Arial" w:cs="Arial"/>
          <w:color w:val="000000"/>
          <w:sz w:val="20"/>
          <w:szCs w:val="20"/>
          <w:shd w:val="clear" w:color="auto" w:fill="FFFFFF"/>
        </w:rPr>
      </w:pPr>
      <w:r w:rsidRPr="00430F54">
        <w:rPr>
          <w:rFonts w:ascii="Arial" w:hAnsi="Arial" w:cs="Arial"/>
          <w:sz w:val="20"/>
          <w:szCs w:val="20"/>
        </w:rPr>
        <w:t>With the issue of potential infringement seemingly resolved by the LoC, IP Vietnam can focus more objectively on assessing the inherent differences between the marks. This allows you to emphasize those distinctions more effectively.</w:t>
      </w:r>
    </w:p>
    <w:p w14:paraId="7E80FDB4" w14:textId="77777777" w:rsidR="00BA269E" w:rsidRPr="00430F54" w:rsidRDefault="00BA269E" w:rsidP="00BA269E">
      <w:pPr>
        <w:spacing w:after="0" w:line="240" w:lineRule="auto"/>
        <w:jc w:val="both"/>
        <w:rPr>
          <w:rFonts w:ascii="Arial" w:hAnsi="Arial" w:cs="Arial"/>
          <w:sz w:val="20"/>
          <w:szCs w:val="20"/>
        </w:rPr>
      </w:pPr>
    </w:p>
    <w:p w14:paraId="3591D628"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sz w:val="20"/>
          <w:szCs w:val="20"/>
        </w:rPr>
        <w:t xml:space="preserve">IP </w:t>
      </w:r>
      <w:r>
        <w:rPr>
          <w:rFonts w:ascii="Arial" w:hAnsi="Arial" w:cs="Arial"/>
          <w:sz w:val="20"/>
          <w:szCs w:val="20"/>
        </w:rPr>
        <w:t>VIETNAM</w:t>
      </w:r>
      <w:r w:rsidRPr="00430F54">
        <w:rPr>
          <w:rFonts w:ascii="Arial" w:hAnsi="Arial" w:cs="Arial"/>
          <w:sz w:val="20"/>
          <w:szCs w:val="20"/>
        </w:rPr>
        <w:t xml:space="preserve"> handles LoCs on a case-by-case basis. The strength of your arguments and the specific circumstances of your case will significantly impact the outcome. You must still present compelling arguments on dissimilarities between the marks at issues concerning </w:t>
      </w:r>
      <w:r w:rsidRPr="00430F54">
        <w:rPr>
          <w:rFonts w:ascii="Arial" w:hAnsi="Arial" w:cs="Arial"/>
          <w:color w:val="000000"/>
          <w:sz w:val="20"/>
          <w:szCs w:val="20"/>
          <w:shd w:val="clear" w:color="auto" w:fill="FFFFFF"/>
        </w:rPr>
        <w:t>Visual appearance, pronunciation, meaning, target consumers and goods/services,</w:t>
      </w:r>
      <w:r w:rsidRPr="00430F54">
        <w:rPr>
          <w:rFonts w:ascii="Arial" w:hAnsi="Arial" w:cs="Arial"/>
          <w:sz w:val="20"/>
          <w:szCs w:val="20"/>
        </w:rPr>
        <w:t xml:space="preserve"> demonstrating minimal likelihood of confusion to increase your chances of success.</w:t>
      </w:r>
    </w:p>
    <w:p w14:paraId="36D1886F" w14:textId="77777777" w:rsidR="00BA269E" w:rsidRPr="00430F54" w:rsidRDefault="00BA269E" w:rsidP="00BA269E">
      <w:pPr>
        <w:spacing w:after="0" w:line="240" w:lineRule="auto"/>
        <w:jc w:val="both"/>
        <w:rPr>
          <w:rFonts w:ascii="Arial" w:hAnsi="Arial" w:cs="Arial"/>
          <w:color w:val="000000"/>
          <w:sz w:val="20"/>
          <w:szCs w:val="20"/>
          <w:shd w:val="clear" w:color="auto" w:fill="FFFFFF"/>
        </w:rPr>
      </w:pPr>
    </w:p>
    <w:p w14:paraId="1F6BE43E" w14:textId="77777777" w:rsidR="00BA269E" w:rsidRPr="002A6F38" w:rsidRDefault="00BA269E" w:rsidP="00BA269E">
      <w:pPr>
        <w:spacing w:after="0" w:line="240" w:lineRule="auto"/>
        <w:jc w:val="both"/>
        <w:rPr>
          <w:rFonts w:ascii="Arial" w:hAnsi="Arial" w:cs="Arial"/>
          <w:b/>
          <w:bCs/>
          <w:color w:val="2F5496" w:themeColor="accent1" w:themeShade="BF"/>
          <w:lang w:val="de-DE"/>
        </w:rPr>
      </w:pPr>
      <w:r w:rsidRPr="0024575D">
        <w:rPr>
          <w:rFonts w:ascii="Arial" w:hAnsi="Arial" w:cs="Arial"/>
          <w:b/>
          <w:color w:val="2F5496" w:themeColor="accent1" w:themeShade="BF"/>
          <w:lang w:val="de-DE"/>
        </w:rPr>
        <w:t>[2]</w:t>
      </w:r>
      <w:r w:rsidRPr="002A6F38">
        <w:rPr>
          <w:rFonts w:ascii="Arial" w:hAnsi="Arial" w:cs="Arial"/>
          <w:b/>
          <w:bCs/>
          <w:color w:val="2F5496" w:themeColor="accent1" w:themeShade="BF"/>
          <w:lang w:val="de-DE"/>
        </w:rPr>
        <w:t xml:space="preserve"> Deleting </w:t>
      </w:r>
      <w:r>
        <w:rPr>
          <w:rFonts w:ascii="Arial" w:hAnsi="Arial" w:cs="Arial"/>
          <w:b/>
          <w:bCs/>
          <w:color w:val="2F5496" w:themeColor="accent1" w:themeShade="BF"/>
          <w:lang w:val="de-DE"/>
        </w:rPr>
        <w:t xml:space="preserve">the </w:t>
      </w:r>
      <w:r w:rsidRPr="002A6F38">
        <w:rPr>
          <w:rFonts w:ascii="Arial" w:hAnsi="Arial" w:cs="Arial"/>
          <w:b/>
          <w:bCs/>
          <w:color w:val="2F5496" w:themeColor="accent1" w:themeShade="BF"/>
          <w:lang w:val="de-DE"/>
        </w:rPr>
        <w:t>conflicting goods/services</w:t>
      </w:r>
    </w:p>
    <w:p w14:paraId="091FD0CE" w14:textId="77777777" w:rsidR="00BA269E" w:rsidRPr="00430F54" w:rsidRDefault="00BA269E" w:rsidP="00BA269E">
      <w:pPr>
        <w:spacing w:after="0" w:line="240" w:lineRule="auto"/>
        <w:jc w:val="both"/>
        <w:rPr>
          <w:rFonts w:ascii="Arial" w:hAnsi="Arial" w:cs="Arial"/>
          <w:color w:val="000000"/>
          <w:sz w:val="20"/>
          <w:szCs w:val="20"/>
          <w:shd w:val="clear" w:color="auto" w:fill="FFFFFF"/>
        </w:rPr>
      </w:pPr>
    </w:p>
    <w:p w14:paraId="249A1DBE"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color w:val="000000"/>
          <w:sz w:val="20"/>
          <w:szCs w:val="20"/>
          <w:shd w:val="clear" w:color="auto" w:fill="FFFFFF"/>
        </w:rPr>
        <w:t xml:space="preserve">Rendering strong arguments against a trademark refusal is helpful to overcome the refusal, but it is not always the case, especially, when two marks are highly similar and the goods/services are closely related. </w:t>
      </w:r>
      <w:r w:rsidRPr="00430F54">
        <w:rPr>
          <w:rFonts w:ascii="Arial" w:hAnsi="Arial" w:cs="Arial"/>
          <w:sz w:val="20"/>
          <w:szCs w:val="20"/>
        </w:rPr>
        <w:t xml:space="preserve">If the marks are visually, phonetically, or conceptually very similar, it becomes harder to convince IP Vietnam that there is no likelihood of confusion. Therefore, if </w:t>
      </w:r>
      <w:hyperlink r:id="rId12" w:history="1">
        <w:r w:rsidRPr="00CB49EC">
          <w:rPr>
            <w:rStyle w:val="Hyperlink"/>
            <w:rFonts w:ascii="Arial" w:hAnsi="Arial" w:cs="Arial"/>
            <w:sz w:val="20"/>
            <w:szCs w:val="20"/>
          </w:rPr>
          <w:t>the chances of overcoming the refusal</w:t>
        </w:r>
      </w:hyperlink>
      <w:r w:rsidRPr="00430F54">
        <w:rPr>
          <w:rFonts w:ascii="Arial" w:hAnsi="Arial" w:cs="Arial"/>
          <w:sz w:val="20"/>
          <w:szCs w:val="20"/>
        </w:rPr>
        <w:t xml:space="preserve"> seem slim, relying solely on </w:t>
      </w:r>
      <w:r w:rsidRPr="00430F54">
        <w:rPr>
          <w:rFonts w:ascii="Arial" w:hAnsi="Arial" w:cs="Arial"/>
          <w:color w:val="000000"/>
          <w:sz w:val="20"/>
          <w:szCs w:val="20"/>
          <w:shd w:val="clear" w:color="auto" w:fill="FFFFFF"/>
        </w:rPr>
        <w:t xml:space="preserve">arguments </w:t>
      </w:r>
      <w:r w:rsidRPr="00430F54">
        <w:rPr>
          <w:rFonts w:ascii="Arial" w:hAnsi="Arial" w:cs="Arial"/>
          <w:sz w:val="20"/>
          <w:szCs w:val="20"/>
        </w:rPr>
        <w:t>in cases of high similarity is risky. To mitigate this risk, proactively explore alternative options such as deleting the directly conflicting goods/services. Deleting conflicting goods/services demonstrates to IP Vietnam that you're willing to take steps to address their concerns and coexist peacefully with the owner of the cited mark. This can make them more receptive to your arguments for the remaining goods/services.</w:t>
      </w:r>
    </w:p>
    <w:p w14:paraId="4773D0A0" w14:textId="77777777" w:rsidR="00BA269E" w:rsidRPr="00430F54" w:rsidRDefault="00BA269E" w:rsidP="00BA269E">
      <w:pPr>
        <w:spacing w:after="0" w:line="240" w:lineRule="auto"/>
        <w:jc w:val="both"/>
        <w:rPr>
          <w:rFonts w:ascii="Arial" w:hAnsi="Arial" w:cs="Arial"/>
          <w:sz w:val="20"/>
          <w:szCs w:val="20"/>
        </w:rPr>
      </w:pPr>
    </w:p>
    <w:p w14:paraId="4117525B" w14:textId="77777777" w:rsidR="00BA269E" w:rsidRPr="00430F54" w:rsidRDefault="00BA269E" w:rsidP="00BA269E">
      <w:pPr>
        <w:spacing w:after="0" w:line="240" w:lineRule="auto"/>
        <w:jc w:val="both"/>
        <w:rPr>
          <w:rFonts w:ascii="Arial" w:hAnsi="Arial" w:cs="Arial"/>
          <w:sz w:val="20"/>
          <w:szCs w:val="20"/>
        </w:rPr>
      </w:pPr>
      <w:r w:rsidRPr="00430F54">
        <w:rPr>
          <w:rFonts w:ascii="Arial" w:hAnsi="Arial" w:cs="Arial"/>
          <w:sz w:val="20"/>
          <w:szCs w:val="20"/>
        </w:rPr>
        <w:t>Deleting overlapping goods/services can be a highly effective strategy for overcoming trademark refusals in Vietnam, especially in cases of high similarity. If the conflicting goods/services are not core to your business, deleting them might be a worthwhile trade-off to secure the trademark for your main offerings</w:t>
      </w:r>
      <w:r>
        <w:rPr>
          <w:rFonts w:ascii="Arial" w:hAnsi="Arial" w:cs="Arial"/>
          <w:sz w:val="20"/>
          <w:szCs w:val="20"/>
        </w:rPr>
        <w:t>.</w:t>
      </w:r>
    </w:p>
    <w:p w14:paraId="36BF4ACB" w14:textId="77777777" w:rsidR="00BA269E" w:rsidRPr="00430F54" w:rsidRDefault="00BA269E" w:rsidP="00BA269E">
      <w:pPr>
        <w:spacing w:after="0" w:line="240" w:lineRule="auto"/>
        <w:jc w:val="both"/>
        <w:rPr>
          <w:rFonts w:ascii="Arial" w:hAnsi="Arial" w:cs="Arial"/>
          <w:color w:val="000000"/>
          <w:sz w:val="20"/>
          <w:szCs w:val="20"/>
          <w:shd w:val="clear" w:color="auto" w:fill="FFFFFF"/>
        </w:rPr>
      </w:pPr>
    </w:p>
    <w:p w14:paraId="63A53080" w14:textId="77777777" w:rsidR="00BA269E" w:rsidRPr="002A6F38" w:rsidRDefault="00BA269E" w:rsidP="00BA269E">
      <w:pPr>
        <w:spacing w:after="0" w:line="240" w:lineRule="auto"/>
        <w:jc w:val="both"/>
        <w:rPr>
          <w:rFonts w:ascii="Arial" w:hAnsi="Arial" w:cs="Arial"/>
          <w:b/>
          <w:bCs/>
          <w:color w:val="2F5496" w:themeColor="accent1" w:themeShade="BF"/>
          <w:lang w:val="de-DE"/>
        </w:rPr>
      </w:pPr>
      <w:r w:rsidRPr="002A6F38">
        <w:rPr>
          <w:rFonts w:ascii="Arial" w:hAnsi="Arial" w:cs="Arial"/>
          <w:b/>
          <w:bCs/>
          <w:color w:val="2F5496" w:themeColor="accent1" w:themeShade="BF"/>
          <w:lang w:val="de-DE"/>
        </w:rPr>
        <w:t>Final thoughts</w:t>
      </w:r>
    </w:p>
    <w:p w14:paraId="534287C6" w14:textId="77777777" w:rsidR="00BA269E" w:rsidRPr="00430F54" w:rsidRDefault="00BA269E" w:rsidP="00BA269E">
      <w:pPr>
        <w:spacing w:after="0" w:line="240" w:lineRule="auto"/>
        <w:jc w:val="both"/>
        <w:rPr>
          <w:rFonts w:ascii="Arial" w:hAnsi="Arial" w:cs="Arial"/>
          <w:sz w:val="20"/>
          <w:szCs w:val="20"/>
        </w:rPr>
      </w:pPr>
    </w:p>
    <w:p w14:paraId="3A5F98A3" w14:textId="77777777" w:rsidR="00BA269E" w:rsidRDefault="00BA269E" w:rsidP="00BA269E">
      <w:pPr>
        <w:spacing w:after="0" w:line="240" w:lineRule="auto"/>
        <w:jc w:val="both"/>
        <w:rPr>
          <w:rFonts w:ascii="Arial" w:hAnsi="Arial" w:cs="Arial"/>
          <w:sz w:val="20"/>
          <w:szCs w:val="20"/>
        </w:rPr>
      </w:pPr>
      <w:r w:rsidRPr="00834F20">
        <w:rPr>
          <w:rFonts w:ascii="Arial" w:hAnsi="Arial" w:cs="Arial"/>
          <w:sz w:val="20"/>
          <w:szCs w:val="20"/>
        </w:rPr>
        <w:t xml:space="preserve">Overcoming </w:t>
      </w:r>
      <w:hyperlink r:id="rId13" w:history="1">
        <w:r w:rsidRPr="00033D0D">
          <w:rPr>
            <w:rStyle w:val="Hyperlink"/>
            <w:rFonts w:ascii="Arial" w:hAnsi="Arial" w:cs="Arial"/>
            <w:sz w:val="20"/>
            <w:szCs w:val="20"/>
          </w:rPr>
          <w:t>trademark refusals in Vietnam</w:t>
        </w:r>
      </w:hyperlink>
      <w:r w:rsidRPr="00834F20">
        <w:rPr>
          <w:rFonts w:ascii="Arial" w:hAnsi="Arial" w:cs="Arial"/>
          <w:sz w:val="20"/>
          <w:szCs w:val="20"/>
        </w:rPr>
        <w:t xml:space="preserve"> requires deep expertise and strategic persistence. Trademark refusals based on similarity can be difficult to overcome, especially, high similarity between marks and related goods/services can make success challenging. </w:t>
      </w:r>
    </w:p>
    <w:p w14:paraId="006F79AA" w14:textId="77777777" w:rsidR="00BA269E" w:rsidRDefault="00BA269E" w:rsidP="00BA269E">
      <w:pPr>
        <w:spacing w:after="0" w:line="240" w:lineRule="auto"/>
        <w:jc w:val="both"/>
        <w:rPr>
          <w:rFonts w:ascii="Arial" w:hAnsi="Arial" w:cs="Arial"/>
          <w:sz w:val="20"/>
          <w:szCs w:val="20"/>
        </w:rPr>
      </w:pPr>
    </w:p>
    <w:p w14:paraId="4F9B1712" w14:textId="77777777" w:rsidR="00BA269E" w:rsidRPr="00834F20" w:rsidRDefault="00BA269E" w:rsidP="00BA269E">
      <w:pPr>
        <w:spacing w:after="0" w:line="240" w:lineRule="auto"/>
        <w:jc w:val="both"/>
        <w:rPr>
          <w:rFonts w:ascii="Arial" w:hAnsi="Arial" w:cs="Arial"/>
          <w:sz w:val="20"/>
          <w:szCs w:val="20"/>
        </w:rPr>
      </w:pPr>
      <w:r w:rsidRPr="00834F20">
        <w:rPr>
          <w:rFonts w:ascii="Arial" w:hAnsi="Arial" w:cs="Arial"/>
          <w:sz w:val="20"/>
          <w:szCs w:val="20"/>
        </w:rPr>
        <w:t>However, it is not the end of the road. By combining meticulous argumentation with proactive measures like securing a Letter of Consent and strategically deleting conflicting goods/services, applicants can increase their chances of securing trademark protection in Vietnam, even in the face of challenging refusals.</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1D3AD2A3" w14:textId="77777777" w:rsidR="003765D9" w:rsidRPr="0090530A" w:rsidRDefault="003765D9" w:rsidP="003765D9">
      <w:pPr>
        <w:spacing w:after="0" w:line="240" w:lineRule="auto"/>
        <w:jc w:val="right"/>
        <w:rPr>
          <w:rFonts w:ascii="Arial" w:hAnsi="Arial" w:cs="Arial"/>
          <w:b/>
          <w:sz w:val="20"/>
          <w:szCs w:val="20"/>
        </w:rPr>
      </w:pPr>
      <w:r w:rsidRPr="0090530A">
        <w:rPr>
          <w:rFonts w:ascii="Arial" w:hAnsi="Arial" w:cs="Arial"/>
          <w:b/>
          <w:sz w:val="20"/>
          <w:szCs w:val="20"/>
        </w:rPr>
        <w:t>QUAN, Nguyen Vu | Partner, IP Attorney</w:t>
      </w:r>
    </w:p>
    <w:p w14:paraId="0B8DF818" w14:textId="77777777" w:rsidR="003765D9" w:rsidRDefault="003765D9" w:rsidP="003765D9">
      <w:pPr>
        <w:spacing w:after="0" w:line="240" w:lineRule="auto"/>
        <w:jc w:val="right"/>
        <w:rPr>
          <w:rFonts w:ascii="Arial" w:hAnsi="Arial" w:cs="Arial"/>
          <w:b/>
          <w:sz w:val="20"/>
          <w:szCs w:val="20"/>
        </w:rPr>
      </w:pPr>
      <w:r w:rsidRPr="0090530A">
        <w:rPr>
          <w:rFonts w:ascii="Arial" w:hAnsi="Arial" w:cs="Arial"/>
          <w:b/>
          <w:sz w:val="20"/>
          <w:szCs w:val="20"/>
        </w:rPr>
        <w:t>HONG, Hoang Thi Tuyet | Senior Trademark Attorney</w:t>
      </w:r>
    </w:p>
    <w:p w14:paraId="60735E33" w14:textId="2F60BBBE" w:rsidR="003765D9" w:rsidRDefault="003765D9" w:rsidP="003765D9">
      <w:pPr>
        <w:spacing w:after="0" w:line="240" w:lineRule="auto"/>
        <w:jc w:val="right"/>
        <w:rPr>
          <w:rFonts w:ascii="Arial" w:hAnsi="Arial" w:cs="Arial"/>
          <w:b/>
          <w:sz w:val="20"/>
          <w:szCs w:val="20"/>
        </w:rPr>
      </w:pPr>
      <w:r>
        <w:rPr>
          <w:rFonts w:ascii="Arial" w:hAnsi="Arial" w:cs="Arial"/>
          <w:b/>
          <w:sz w:val="20"/>
          <w:szCs w:val="20"/>
          <w:lang w:val="vi-VN"/>
        </w:rPr>
        <w:t>LY</w:t>
      </w:r>
      <w:r w:rsidRPr="0090530A">
        <w:rPr>
          <w:rFonts w:ascii="Arial" w:hAnsi="Arial" w:cs="Arial"/>
          <w:b/>
          <w:sz w:val="20"/>
          <w:szCs w:val="20"/>
        </w:rPr>
        <w:t xml:space="preserve">, </w:t>
      </w:r>
      <w:r>
        <w:rPr>
          <w:rFonts w:ascii="Arial" w:hAnsi="Arial" w:cs="Arial"/>
          <w:b/>
          <w:sz w:val="20"/>
          <w:szCs w:val="20"/>
          <w:lang w:val="vi-VN"/>
        </w:rPr>
        <w:t>Dinh Trang</w:t>
      </w:r>
      <w:r w:rsidRPr="0090530A">
        <w:rPr>
          <w:rFonts w:ascii="Arial" w:hAnsi="Arial" w:cs="Arial"/>
          <w:b/>
          <w:sz w:val="20"/>
          <w:szCs w:val="20"/>
        </w:rPr>
        <w:t xml:space="preserve"> | Associate</w:t>
      </w:r>
    </w:p>
    <w:p w14:paraId="1998C420" w14:textId="36F9839C" w:rsidR="0002156E" w:rsidRPr="00D03044" w:rsidRDefault="0002156E"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5BC7CFC2">
                <wp:simplePos x="0" y="0"/>
                <wp:positionH relativeFrom="column">
                  <wp:posOffset>3810</wp:posOffset>
                </wp:positionH>
                <wp:positionV relativeFrom="paragraph">
                  <wp:posOffset>78105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6.1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jf3QZ2wAAAAcBAAAPAAAAZHJzL2Rvd25yZXYueG1sTI5BbsIwEEX3lbiDNUjdFYdQUJrG&#10;QQip7aZdlHIAE0/iQDyOYgNpT9/pqizn/a8/r1iPrhMXHELrScF8loBAqrxpqVGw/3p5yECEqMno&#10;zhMq+MYA63JyV+jc+Ct94mUXG8EjFHKtwMbY51KGyqLTYeZ7JM5qPzgd+RwaaQZ95XHXyTRJVtLp&#10;lviD1T1uLVan3dkpWNJban82r0ezf3wfW+xlXX/USt1Px80ziIhj/C/Dnz6rQ8lOB38mE0SnYMU9&#10;pukCBKfLNGNwYPCULUCWhbz1L38BAAD//wMAUEsBAi0AFAAGAAgAAAAhALaDOJL+AAAA4QEAABMA&#10;AAAAAAAAAAAAAAAAAAAAAFtDb250ZW50X1R5cGVzXS54bWxQSwECLQAUAAYACAAAACEAOP0h/9YA&#10;AACUAQAACwAAAAAAAAAAAAAAAAAvAQAAX3JlbHMvLnJlbHNQSwECLQAUAAYACAAAACEA0XFz40oC&#10;AADCBAAADgAAAAAAAAAAAAAAAAAuAgAAZHJzL2Uyb0RvYy54bWxQSwECLQAUAAYACAAAACEAY390&#10;Gd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B5219" w14:textId="77777777" w:rsidR="00E9731E" w:rsidRDefault="00E9731E">
      <w:pPr>
        <w:spacing w:after="0" w:line="240" w:lineRule="auto"/>
      </w:pPr>
      <w:r>
        <w:separator/>
      </w:r>
    </w:p>
  </w:endnote>
  <w:endnote w:type="continuationSeparator" w:id="0">
    <w:p w14:paraId="41D41B71" w14:textId="77777777" w:rsidR="00E9731E" w:rsidRDefault="00E9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E9731E">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9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DEA80" w14:textId="77777777" w:rsidR="00E9731E" w:rsidRDefault="00E9731E">
      <w:pPr>
        <w:spacing w:after="0" w:line="240" w:lineRule="auto"/>
      </w:pPr>
      <w:r>
        <w:separator/>
      </w:r>
    </w:p>
  </w:footnote>
  <w:footnote w:type="continuationSeparator" w:id="0">
    <w:p w14:paraId="090E0808" w14:textId="77777777" w:rsidR="00E9731E" w:rsidRDefault="00E97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01B1E"/>
    <w:multiLevelType w:val="hybridMultilevel"/>
    <w:tmpl w:val="3B04575A"/>
    <w:lvl w:ilvl="0" w:tplc="B46C2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num>
  <w:num w:numId="4">
    <w:abstractNumId w:val="15"/>
  </w:num>
  <w:num w:numId="5">
    <w:abstractNumId w:val="12"/>
  </w:num>
  <w:num w:numId="6">
    <w:abstractNumId w:val="0"/>
  </w:num>
  <w:num w:numId="7">
    <w:abstractNumId w:val="5"/>
  </w:num>
  <w:num w:numId="8">
    <w:abstractNumId w:val="16"/>
  </w:num>
  <w:num w:numId="9">
    <w:abstractNumId w:val="7"/>
  </w:num>
  <w:num w:numId="10">
    <w:abstractNumId w:val="4"/>
  </w:num>
  <w:num w:numId="11">
    <w:abstractNumId w:val="14"/>
  </w:num>
  <w:num w:numId="12">
    <w:abstractNumId w:val="2"/>
  </w:num>
  <w:num w:numId="13">
    <w:abstractNumId w:val="11"/>
  </w:num>
  <w:num w:numId="14">
    <w:abstractNumId w:val="13"/>
  </w:num>
  <w:num w:numId="15">
    <w:abstractNumId w:val="8"/>
  </w:num>
  <w:num w:numId="16">
    <w:abstractNumId w:val="17"/>
  </w:num>
  <w:num w:numId="17">
    <w:abstractNumId w:val="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4575D"/>
    <w:rsid w:val="002753DD"/>
    <w:rsid w:val="002B63C0"/>
    <w:rsid w:val="0032315D"/>
    <w:rsid w:val="0033574A"/>
    <w:rsid w:val="003756D4"/>
    <w:rsid w:val="003765D9"/>
    <w:rsid w:val="003A10FA"/>
    <w:rsid w:val="003D7C8C"/>
    <w:rsid w:val="003E03BE"/>
    <w:rsid w:val="004907A7"/>
    <w:rsid w:val="004A1761"/>
    <w:rsid w:val="004D64BC"/>
    <w:rsid w:val="00531173"/>
    <w:rsid w:val="00576438"/>
    <w:rsid w:val="005D32F9"/>
    <w:rsid w:val="005E7A62"/>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BA269E"/>
    <w:rsid w:val="00C13ACF"/>
    <w:rsid w:val="00CA3F97"/>
    <w:rsid w:val="00CE035D"/>
    <w:rsid w:val="00D02775"/>
    <w:rsid w:val="00D03044"/>
    <w:rsid w:val="00D04B4E"/>
    <w:rsid w:val="00D417C1"/>
    <w:rsid w:val="00D645F2"/>
    <w:rsid w:val="00D75958"/>
    <w:rsid w:val="00D9190F"/>
    <w:rsid w:val="00D9369F"/>
    <w:rsid w:val="00DC0506"/>
    <w:rsid w:val="00E02884"/>
    <w:rsid w:val="00E9731E"/>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Emphasis">
    <w:name w:val="Emphasis"/>
    <w:basedOn w:val="DefaultParagraphFont"/>
    <w:uiPriority w:val="20"/>
    <w:qFormat/>
    <w:rsid w:val="00BA26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approaches-to-overcome-a-refusal-of-a-trademark-application-that-is-identical-or-similar-to-an-expired-mark-in-vietnam" TargetMode="External"/><Relationship Id="rId13" Type="http://schemas.openxmlformats.org/officeDocument/2006/relationships/hyperlink" Target="https://kenfoxlaw.com/overcome-a-provisional-refusal-against-an-international-registration-designating-vietnam-difficult-but-never-give-up" TargetMode="External"/><Relationship Id="rId3" Type="http://schemas.openxmlformats.org/officeDocument/2006/relationships/settings" Target="settings.xml"/><Relationship Id="rId7" Type="http://schemas.openxmlformats.org/officeDocument/2006/relationships/hyperlink" Target="https://kenfoxlaw.com/facing-a-trademark-refusal-in-vietnam-learn-how-to-appeal-and-win" TargetMode="External"/><Relationship Id="rId12" Type="http://schemas.openxmlformats.org/officeDocument/2006/relationships/hyperlink" Target="https://kenfoxlaw.com/when-new-facts-will-be-accepted-for-an-ip-appeal-in-viet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handling-trademark-infringement-in-vietnam-8-key-consider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trademark-registration-in-vietnam-what-you-need-to-know" TargetMode="External"/><Relationship Id="rId4" Type="http://schemas.openxmlformats.org/officeDocument/2006/relationships/webSettings" Target="webSettings.xml"/><Relationship Id="rId9" Type="http://schemas.openxmlformats.org/officeDocument/2006/relationships/hyperlink" Target="https://kenfoxlaw.com/should-you-abandon-a-trademark-application-temporarily-refused-registration-in-vietna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2024-11-27T09:32:00Z</dcterms:modified>
</cp:coreProperties>
</file>