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C988" w14:textId="5181163E" w:rsidR="00265D54" w:rsidRDefault="004D64BC" w:rsidP="00744F68">
      <w:pPr>
        <w:spacing w:after="0" w:line="240" w:lineRule="auto"/>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752C0A4" w:rsidR="00FA2CEE" w:rsidRPr="00BA68B8" w:rsidRDefault="008147DB" w:rsidP="00FA2CEE">
                            <w:pPr>
                              <w:spacing w:after="0" w:line="240" w:lineRule="auto"/>
                              <w:rPr>
                                <w:rFonts w:ascii="Arial" w:hAnsi="Arial" w:cs="Arial"/>
                                <w:b/>
                                <w:color w:val="FFFFFF" w:themeColor="background1"/>
                                <w:sz w:val="20"/>
                                <w:szCs w:val="20"/>
                              </w:rPr>
                            </w:pPr>
                            <w:r w:rsidRPr="008147DB">
                              <w:rPr>
                                <w:rFonts w:ascii="Arial" w:hAnsi="Arial" w:cs="Arial"/>
                                <w:b/>
                                <w:bCs/>
                                <w:color w:val="FFFFFF" w:themeColor="background1"/>
                                <w:sz w:val="20"/>
                                <w:szCs w:val="20"/>
                              </w:rPr>
                              <w:t>Pharmaceutical Trademark Opposed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752C0A4" w:rsidR="00FA2CEE" w:rsidRPr="00BA68B8" w:rsidRDefault="008147DB" w:rsidP="00FA2CEE">
                      <w:pPr>
                        <w:spacing w:after="0" w:line="240" w:lineRule="auto"/>
                        <w:rPr>
                          <w:rFonts w:ascii="Arial" w:hAnsi="Arial" w:cs="Arial"/>
                          <w:b/>
                          <w:color w:val="FFFFFF" w:themeColor="background1"/>
                          <w:sz w:val="20"/>
                          <w:szCs w:val="20"/>
                        </w:rPr>
                      </w:pPr>
                      <w:r w:rsidRPr="008147DB">
                        <w:rPr>
                          <w:rFonts w:ascii="Arial" w:hAnsi="Arial" w:cs="Arial"/>
                          <w:b/>
                          <w:bCs/>
                          <w:color w:val="FFFFFF" w:themeColor="background1"/>
                          <w:sz w:val="20"/>
                          <w:szCs w:val="20"/>
                        </w:rPr>
                        <w:t>Pharmaceutical Trademark Opposed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AB9AF62" w:rsidR="00FA2CEE" w:rsidRPr="00CC7576" w:rsidRDefault="008147DB" w:rsidP="00FA2CEE">
                            <w:pPr>
                              <w:spacing w:after="0"/>
                              <w:jc w:val="center"/>
                              <w:rPr>
                                <w:rFonts w:ascii="Arial" w:hAnsi="Arial" w:cs="Arial"/>
                                <w:b/>
                                <w:color w:val="FFFFFF" w:themeColor="background1"/>
                                <w:sz w:val="20"/>
                                <w:szCs w:val="20"/>
                              </w:rPr>
                            </w:pPr>
                            <w:r w:rsidRPr="008147DB">
                              <w:rPr>
                                <w:rFonts w:ascii="Arial" w:hAnsi="Arial" w:cs="Arial"/>
                                <w:b/>
                                <w:bCs/>
                                <w:color w:val="FFFFFF" w:themeColor="background1"/>
                                <w:sz w:val="20"/>
                                <w:szCs w:val="20"/>
                              </w:rPr>
                              <w:t>Pharmaceutical Trademark Opposed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AB9AF62" w:rsidR="00FA2CEE" w:rsidRPr="00CC7576" w:rsidRDefault="008147DB" w:rsidP="00FA2CEE">
                      <w:pPr>
                        <w:spacing w:after="0"/>
                        <w:jc w:val="center"/>
                        <w:rPr>
                          <w:rFonts w:ascii="Arial" w:hAnsi="Arial" w:cs="Arial"/>
                          <w:b/>
                          <w:color w:val="FFFFFF" w:themeColor="background1"/>
                          <w:sz w:val="20"/>
                          <w:szCs w:val="20"/>
                        </w:rPr>
                      </w:pPr>
                      <w:r w:rsidRPr="008147DB">
                        <w:rPr>
                          <w:rFonts w:ascii="Arial" w:hAnsi="Arial" w:cs="Arial"/>
                          <w:b/>
                          <w:bCs/>
                          <w:color w:val="FFFFFF" w:themeColor="background1"/>
                          <w:sz w:val="20"/>
                          <w:szCs w:val="20"/>
                        </w:rPr>
                        <w:t>Pharmaceutical Trademark Opposed in Vietnam</w:t>
                      </w:r>
                    </w:p>
                  </w:txbxContent>
                </v:textbox>
                <w10:wrap anchorx="page"/>
              </v:rect>
            </w:pict>
          </mc:Fallback>
        </mc:AlternateContent>
      </w:r>
      <w:r w:rsidR="00745E08" w:rsidRPr="00745E08">
        <w:rPr>
          <w:rFonts w:ascii="Arial" w:hAnsi="Arial" w:cs="Arial"/>
          <w:b/>
          <w:iCs/>
          <w:color w:val="C00000"/>
        </w:rPr>
        <w:t xml:space="preserve"> </w:t>
      </w:r>
      <w:r w:rsidR="00265D54" w:rsidRPr="00265D54">
        <w:rPr>
          <w:rFonts w:ascii="Arial" w:hAnsi="Arial" w:cs="Arial"/>
          <w:b/>
          <w:iCs/>
          <w:color w:val="C00000"/>
        </w:rPr>
        <w:t>Pharmaceutical Trademark Opposed in Vietnam: What Strategies for Successful Defense?</w:t>
      </w:r>
    </w:p>
    <w:p w14:paraId="603F1AB8" w14:textId="77777777" w:rsidR="008147DB" w:rsidRPr="00265D54" w:rsidRDefault="008147DB" w:rsidP="00744F68">
      <w:pPr>
        <w:spacing w:after="0" w:line="240" w:lineRule="auto"/>
        <w:jc w:val="center"/>
        <w:outlineLvl w:val="0"/>
        <w:rPr>
          <w:rFonts w:ascii="Arial" w:hAnsi="Arial" w:cs="Arial"/>
          <w:b/>
          <w:iCs/>
          <w:color w:val="C00000"/>
        </w:rPr>
      </w:pPr>
    </w:p>
    <w:p w14:paraId="1475201B" w14:textId="77777777" w:rsidR="00265D54" w:rsidRPr="00193654" w:rsidRDefault="00265D54" w:rsidP="00744F68">
      <w:pPr>
        <w:spacing w:after="0" w:line="240" w:lineRule="auto"/>
        <w:jc w:val="both"/>
        <w:rPr>
          <w:rFonts w:ascii="Arial" w:hAnsi="Arial" w:cs="Arial"/>
          <w:sz w:val="20"/>
          <w:szCs w:val="20"/>
          <w:lang w:val="es-ES"/>
        </w:rPr>
      </w:pPr>
      <w:r w:rsidRPr="00193654">
        <w:rPr>
          <w:rFonts w:ascii="Arial" w:hAnsi="Arial" w:cs="Arial"/>
          <w:sz w:val="20"/>
          <w:szCs w:val="20"/>
        </w:rPr>
        <w:t xml:space="preserve">In a recent trademark opposition case, our firm, KENFOX ip &amp; Law Offfice, successfully defended AJANTA PHARMA LIMITED's pharmaceutical trademark "VILDAREL" against opposition from BIOFARMA, owner of the prior mark "VASTAREL" (IR No. 221430). </w:t>
      </w:r>
      <w:hyperlink r:id="rId7" w:history="1">
        <w:r w:rsidRPr="003B22D0">
          <w:rPr>
            <w:rStyle w:val="Hyperlink"/>
            <w:rFonts w:ascii="Arial" w:hAnsi="Arial" w:cs="Arial"/>
            <w:sz w:val="20"/>
            <w:szCs w:val="20"/>
          </w:rPr>
          <w:t>The opposition</w:t>
        </w:r>
      </w:hyperlink>
      <w:r w:rsidRPr="00193654">
        <w:rPr>
          <w:rFonts w:ascii="Arial" w:hAnsi="Arial" w:cs="Arial"/>
          <w:sz w:val="20"/>
          <w:szCs w:val="20"/>
        </w:rPr>
        <w:t>, based on Article 74.2(e) of Vietnam's IP Law, alleged that "VILDAREL" was confusingly similar to "VASTAREL" and could potentially harm BIOFARMA's brand reputation.</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536"/>
      </w:tblGrid>
      <w:tr w:rsidR="00265D54" w:rsidRPr="00193654" w14:paraId="37B34DD8" w14:textId="77777777" w:rsidTr="00C4660B">
        <w:tc>
          <w:tcPr>
            <w:tcW w:w="4990" w:type="dxa"/>
            <w:vAlign w:val="center"/>
          </w:tcPr>
          <w:p w14:paraId="6C5D5A09" w14:textId="77777777" w:rsidR="00265D54" w:rsidRPr="00193654" w:rsidRDefault="00265D54" w:rsidP="00C4660B">
            <w:pPr>
              <w:pStyle w:val="BodyTextIndent"/>
              <w:spacing w:before="40" w:after="40" w:line="240" w:lineRule="auto"/>
              <w:jc w:val="center"/>
              <w:rPr>
                <w:rFonts w:ascii="Arial" w:hAnsi="Arial" w:cs="Arial"/>
                <w:b/>
                <w:sz w:val="20"/>
                <w:lang w:val="es-ES"/>
              </w:rPr>
            </w:pPr>
            <w:bookmarkStart w:id="0" w:name="_Hlk179628762"/>
            <w:r w:rsidRPr="00193654">
              <w:rPr>
                <w:rFonts w:ascii="Arial" w:hAnsi="Arial" w:cs="Arial"/>
                <w:b/>
                <w:sz w:val="20"/>
                <w:lang w:val="es-ES"/>
              </w:rPr>
              <w:t xml:space="preserve">The applied-for mark filed by </w:t>
            </w:r>
            <w:r w:rsidRPr="00193654">
              <w:rPr>
                <w:rFonts w:ascii="Arial" w:hAnsi="Arial" w:cs="Arial"/>
                <w:b/>
                <w:sz w:val="20"/>
              </w:rPr>
              <w:t>AJANTA PHARMA LIMITED</w:t>
            </w:r>
          </w:p>
        </w:tc>
        <w:tc>
          <w:tcPr>
            <w:tcW w:w="4536" w:type="dxa"/>
            <w:vAlign w:val="center"/>
          </w:tcPr>
          <w:p w14:paraId="54540E3E" w14:textId="77777777" w:rsidR="00265D54" w:rsidRPr="00193654" w:rsidRDefault="00265D54" w:rsidP="00C4660B">
            <w:pPr>
              <w:pStyle w:val="BodyTextIndent"/>
              <w:spacing w:before="40" w:after="40" w:line="240" w:lineRule="auto"/>
              <w:jc w:val="center"/>
              <w:rPr>
                <w:rFonts w:ascii="Arial" w:hAnsi="Arial" w:cs="Arial"/>
                <w:b/>
                <w:color w:val="000000"/>
                <w:sz w:val="20"/>
              </w:rPr>
            </w:pPr>
            <w:r w:rsidRPr="00193654">
              <w:rPr>
                <w:rFonts w:ascii="Arial" w:hAnsi="Arial" w:cs="Arial"/>
                <w:b/>
                <w:sz w:val="20"/>
                <w:lang w:val="es-ES"/>
              </w:rPr>
              <w:t>The prior mark in the name of BIOFARMA</w:t>
            </w:r>
          </w:p>
        </w:tc>
      </w:tr>
      <w:tr w:rsidR="00265D54" w:rsidRPr="00193654" w14:paraId="4B7DA6AB" w14:textId="77777777" w:rsidTr="00C4660B">
        <w:trPr>
          <w:trHeight w:val="789"/>
        </w:trPr>
        <w:tc>
          <w:tcPr>
            <w:tcW w:w="4990" w:type="dxa"/>
            <w:vAlign w:val="center"/>
          </w:tcPr>
          <w:p w14:paraId="426E7C36" w14:textId="53B4EE30" w:rsidR="00265D54" w:rsidRPr="00265D54" w:rsidRDefault="00265D54" w:rsidP="00C4660B">
            <w:pPr>
              <w:pStyle w:val="BodyTextIndent"/>
              <w:spacing w:before="40" w:after="40" w:line="240" w:lineRule="auto"/>
              <w:ind w:left="0"/>
              <w:jc w:val="center"/>
              <w:rPr>
                <w:rFonts w:ascii="Arial" w:hAnsi="Arial" w:cs="Arial"/>
                <w:sz w:val="20"/>
              </w:rPr>
            </w:pPr>
            <w:r>
              <w:rPr>
                <w:rFonts w:ascii="Arial" w:hAnsi="Arial" w:cs="Arial"/>
                <w:noProof/>
                <w:sz w:val="20"/>
              </w:rPr>
              <w:fldChar w:fldCharType="begin"/>
            </w:r>
            <w:r>
              <w:rPr>
                <w:rFonts w:ascii="Arial" w:hAnsi="Arial" w:cs="Arial"/>
                <w:noProof/>
                <w:sz w:val="20"/>
              </w:rPr>
              <w:instrText xml:space="preserve"> INCLUDEPICTURE  \d "https://ipplatform.gov.vn:88/TM_PIC_LOCATION/2020_2020/3/6614083Pictu001.jpg" \* MERGEFORMATINET </w:instrText>
            </w:r>
            <w:r>
              <w:rPr>
                <w:rFonts w:ascii="Arial" w:hAnsi="Arial" w:cs="Arial"/>
                <w:noProof/>
                <w:sz w:val="20"/>
              </w:rPr>
              <w:fldChar w:fldCharType="separate"/>
            </w:r>
            <w:r>
              <w:rPr>
                <w:rFonts w:ascii="Arial" w:hAnsi="Arial" w:cs="Arial"/>
                <w:noProof/>
                <w:sz w:val="20"/>
              </w:rPr>
              <w:fldChar w:fldCharType="begin"/>
            </w:r>
            <w:r>
              <w:rPr>
                <w:rFonts w:ascii="Arial" w:hAnsi="Arial" w:cs="Arial"/>
                <w:noProof/>
                <w:sz w:val="20"/>
              </w:rPr>
              <w:instrText xml:space="preserve"> INCLUDEPICTURE  \d "https://ipplatform.gov.vn:88/TM_PIC_LOCATION/2020_2020/3/6614083Pictu001.jpg" \* MERGEFORMATINET </w:instrText>
            </w:r>
            <w:r>
              <w:rPr>
                <w:rFonts w:ascii="Arial" w:hAnsi="Arial" w:cs="Arial"/>
                <w:noProof/>
                <w:sz w:val="20"/>
              </w:rPr>
              <w:fldChar w:fldCharType="separate"/>
            </w:r>
            <w:r>
              <w:rPr>
                <w:rFonts w:ascii="Arial" w:hAnsi="Arial" w:cs="Arial"/>
                <w:noProof/>
                <w:sz w:val="20"/>
              </w:rPr>
              <w:pict w14:anchorId="44910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https://ipplatform.gov.vn:88/TM_PIC_LOCATION/2020_2020/3/6614083Pictu001.jpg" style="width:150.75pt;height:26.25pt;visibility:visible">
                  <v:imagedata r:id="rId8" croptop="9362f" cropbottom="7022f" cropleft="2482f" cropright="2979f"/>
                </v:shape>
              </w:pict>
            </w:r>
            <w:r>
              <w:rPr>
                <w:rFonts w:ascii="Arial" w:hAnsi="Arial" w:cs="Arial"/>
                <w:noProof/>
                <w:sz w:val="20"/>
              </w:rPr>
              <w:fldChar w:fldCharType="end"/>
            </w:r>
            <w:r>
              <w:rPr>
                <w:rFonts w:ascii="Arial" w:hAnsi="Arial" w:cs="Arial"/>
                <w:noProof/>
                <w:sz w:val="20"/>
              </w:rPr>
              <w:fldChar w:fldCharType="end"/>
            </w:r>
          </w:p>
        </w:tc>
        <w:tc>
          <w:tcPr>
            <w:tcW w:w="4536" w:type="dxa"/>
            <w:vAlign w:val="center"/>
          </w:tcPr>
          <w:p w14:paraId="239FFB6F" w14:textId="77777777" w:rsidR="00265D54" w:rsidRPr="004067B6" w:rsidRDefault="00265D54" w:rsidP="00C4660B">
            <w:pPr>
              <w:pStyle w:val="BodyTextIndent"/>
              <w:spacing w:before="40" w:after="40" w:line="240" w:lineRule="auto"/>
              <w:ind w:left="0"/>
              <w:jc w:val="center"/>
              <w:rPr>
                <w:rFonts w:ascii="Arial" w:hAnsi="Arial" w:cs="Arial"/>
                <w:b/>
                <w:bCs/>
                <w:sz w:val="40"/>
                <w:szCs w:val="40"/>
                <w:lang w:val="es-ES"/>
              </w:rPr>
            </w:pPr>
            <w:r w:rsidRPr="004067B6">
              <w:rPr>
                <w:rFonts w:ascii="Arial" w:hAnsi="Arial" w:cs="Arial"/>
                <w:b/>
                <w:bCs/>
                <w:sz w:val="40"/>
                <w:szCs w:val="40"/>
                <w:lang w:val="es-ES"/>
              </w:rPr>
              <w:t>VASTAREL</w:t>
            </w:r>
          </w:p>
        </w:tc>
      </w:tr>
      <w:bookmarkEnd w:id="0"/>
    </w:tbl>
    <w:p w14:paraId="3D1FEF9C" w14:textId="77777777" w:rsidR="00265D54" w:rsidRDefault="00265D54" w:rsidP="00744F68">
      <w:pPr>
        <w:spacing w:after="0" w:line="240" w:lineRule="auto"/>
        <w:jc w:val="both"/>
        <w:rPr>
          <w:rFonts w:ascii="Arial" w:hAnsi="Arial" w:cs="Arial"/>
          <w:sz w:val="20"/>
          <w:szCs w:val="20"/>
        </w:rPr>
      </w:pPr>
    </w:p>
    <w:p w14:paraId="10B3216A" w14:textId="77DF1E53" w:rsidR="00265D54" w:rsidRDefault="00265D54" w:rsidP="00744F68">
      <w:pPr>
        <w:spacing w:after="0" w:line="240" w:lineRule="auto"/>
        <w:jc w:val="both"/>
        <w:rPr>
          <w:rFonts w:ascii="Arial" w:hAnsi="Arial" w:cs="Arial"/>
          <w:sz w:val="20"/>
          <w:szCs w:val="20"/>
        </w:rPr>
      </w:pPr>
      <w:r w:rsidRPr="00193654">
        <w:rPr>
          <w:rFonts w:ascii="Arial" w:hAnsi="Arial" w:cs="Arial"/>
          <w:sz w:val="20"/>
          <w:szCs w:val="20"/>
        </w:rPr>
        <w:t>To bolster its claim of similarity, BIOFARMA presented a comparison table highlighting the purported similarities between "VILDAREL" and "VASTAREL." This table aimed to visually demonstrate the points of convergence between the two marks, attempting to persuade the VNIPO of their potential for confusion:</w:t>
      </w:r>
    </w:p>
    <w:p w14:paraId="459B614B" w14:textId="77777777" w:rsidR="00744F68" w:rsidRPr="00193654" w:rsidRDefault="00744F68" w:rsidP="00744F68">
      <w:pPr>
        <w:spacing w:after="0" w:line="240" w:lineRule="auto"/>
        <w:jc w:val="both"/>
        <w:rPr>
          <w:rFonts w:ascii="Arial" w:hAnsi="Arial" w:cs="Arial"/>
          <w:sz w:val="20"/>
          <w:szCs w:val="20"/>
        </w:rPr>
      </w:pPr>
    </w:p>
    <w:tbl>
      <w:tblPr>
        <w:tblStyle w:val="TableGrid"/>
        <w:tblW w:w="9634" w:type="dxa"/>
        <w:tblLook w:val="04A0" w:firstRow="1" w:lastRow="0" w:firstColumn="1" w:lastColumn="0" w:noHBand="0" w:noVBand="1"/>
      </w:tblPr>
      <w:tblGrid>
        <w:gridCol w:w="1345"/>
        <w:gridCol w:w="918"/>
        <w:gridCol w:w="1062"/>
        <w:gridCol w:w="1065"/>
        <w:gridCol w:w="1036"/>
        <w:gridCol w:w="948"/>
        <w:gridCol w:w="1014"/>
        <w:gridCol w:w="1112"/>
        <w:gridCol w:w="1134"/>
      </w:tblGrid>
      <w:tr w:rsidR="00265D54" w:rsidRPr="00193654" w14:paraId="64B140D2" w14:textId="77777777" w:rsidTr="00C4660B">
        <w:trPr>
          <w:trHeight w:val="289"/>
        </w:trPr>
        <w:tc>
          <w:tcPr>
            <w:tcW w:w="1345" w:type="dxa"/>
            <w:vAlign w:val="center"/>
          </w:tcPr>
          <w:p w14:paraId="43159741" w14:textId="77777777" w:rsidR="00265D54" w:rsidRPr="00193654" w:rsidRDefault="00265D54" w:rsidP="007B132A">
            <w:pPr>
              <w:spacing w:before="40" w:after="40"/>
              <w:rPr>
                <w:rFonts w:ascii="Arial" w:hAnsi="Arial" w:cs="Arial"/>
                <w:sz w:val="20"/>
                <w:szCs w:val="20"/>
              </w:rPr>
            </w:pPr>
            <w:bookmarkStart w:id="1" w:name="_Hlk179629154"/>
            <w:r w:rsidRPr="00193654">
              <w:rPr>
                <w:rFonts w:ascii="Arial" w:hAnsi="Arial" w:cs="Arial"/>
                <w:sz w:val="20"/>
                <w:szCs w:val="20"/>
              </w:rPr>
              <w:t>Prior mark</w:t>
            </w:r>
          </w:p>
        </w:tc>
        <w:tc>
          <w:tcPr>
            <w:tcW w:w="918" w:type="dxa"/>
            <w:vAlign w:val="center"/>
          </w:tcPr>
          <w:p w14:paraId="2E5877D9"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V</w:t>
            </w:r>
          </w:p>
        </w:tc>
        <w:tc>
          <w:tcPr>
            <w:tcW w:w="1062" w:type="dxa"/>
            <w:vAlign w:val="center"/>
          </w:tcPr>
          <w:p w14:paraId="12FA9481" w14:textId="77777777" w:rsidR="00265D54" w:rsidRPr="00193654" w:rsidRDefault="00265D54" w:rsidP="007B132A">
            <w:pPr>
              <w:spacing w:before="40" w:after="40"/>
              <w:jc w:val="center"/>
              <w:rPr>
                <w:rFonts w:ascii="Arial" w:hAnsi="Arial" w:cs="Arial"/>
                <w:b/>
                <w:bCs/>
                <w:sz w:val="20"/>
                <w:szCs w:val="20"/>
              </w:rPr>
            </w:pPr>
            <w:r w:rsidRPr="00193654">
              <w:rPr>
                <w:rFonts w:ascii="Arial" w:hAnsi="Arial" w:cs="Arial"/>
                <w:b/>
                <w:bCs/>
                <w:sz w:val="20"/>
                <w:szCs w:val="20"/>
              </w:rPr>
              <w:t>A</w:t>
            </w:r>
          </w:p>
        </w:tc>
        <w:tc>
          <w:tcPr>
            <w:tcW w:w="1065" w:type="dxa"/>
            <w:vAlign w:val="center"/>
          </w:tcPr>
          <w:p w14:paraId="321FD615" w14:textId="77777777" w:rsidR="00265D54" w:rsidRPr="00193654" w:rsidRDefault="00265D54" w:rsidP="007B132A">
            <w:pPr>
              <w:spacing w:before="40" w:after="40"/>
              <w:jc w:val="center"/>
              <w:rPr>
                <w:rFonts w:ascii="Arial" w:hAnsi="Arial" w:cs="Arial"/>
                <w:b/>
                <w:bCs/>
                <w:sz w:val="20"/>
                <w:szCs w:val="20"/>
              </w:rPr>
            </w:pPr>
            <w:r w:rsidRPr="00193654">
              <w:rPr>
                <w:rFonts w:ascii="Arial" w:hAnsi="Arial" w:cs="Arial"/>
                <w:b/>
                <w:bCs/>
                <w:sz w:val="20"/>
                <w:szCs w:val="20"/>
              </w:rPr>
              <w:t>S</w:t>
            </w:r>
          </w:p>
        </w:tc>
        <w:tc>
          <w:tcPr>
            <w:tcW w:w="1036" w:type="dxa"/>
            <w:vAlign w:val="center"/>
          </w:tcPr>
          <w:p w14:paraId="0A64A678" w14:textId="77777777" w:rsidR="00265D54" w:rsidRPr="00193654" w:rsidRDefault="00265D54" w:rsidP="007B132A">
            <w:pPr>
              <w:spacing w:before="40" w:after="40"/>
              <w:jc w:val="center"/>
              <w:rPr>
                <w:rFonts w:ascii="Arial" w:hAnsi="Arial" w:cs="Arial"/>
                <w:b/>
                <w:bCs/>
                <w:sz w:val="20"/>
                <w:szCs w:val="20"/>
              </w:rPr>
            </w:pPr>
            <w:r w:rsidRPr="00193654">
              <w:rPr>
                <w:rFonts w:ascii="Arial" w:hAnsi="Arial" w:cs="Arial"/>
                <w:b/>
                <w:bCs/>
                <w:sz w:val="20"/>
                <w:szCs w:val="20"/>
              </w:rPr>
              <w:t>T</w:t>
            </w:r>
          </w:p>
        </w:tc>
        <w:tc>
          <w:tcPr>
            <w:tcW w:w="948" w:type="dxa"/>
            <w:vAlign w:val="center"/>
          </w:tcPr>
          <w:p w14:paraId="5252FDF8"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A</w:t>
            </w:r>
          </w:p>
        </w:tc>
        <w:tc>
          <w:tcPr>
            <w:tcW w:w="1014" w:type="dxa"/>
            <w:vAlign w:val="center"/>
          </w:tcPr>
          <w:p w14:paraId="54E5EBA8"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R</w:t>
            </w:r>
          </w:p>
        </w:tc>
        <w:tc>
          <w:tcPr>
            <w:tcW w:w="1112" w:type="dxa"/>
            <w:vAlign w:val="center"/>
          </w:tcPr>
          <w:p w14:paraId="138E80B3"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E</w:t>
            </w:r>
          </w:p>
        </w:tc>
        <w:tc>
          <w:tcPr>
            <w:tcW w:w="1134" w:type="dxa"/>
            <w:vAlign w:val="center"/>
          </w:tcPr>
          <w:p w14:paraId="5CEBFF62"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L</w:t>
            </w:r>
          </w:p>
        </w:tc>
      </w:tr>
      <w:tr w:rsidR="00265D54" w:rsidRPr="00193654" w14:paraId="78CCA72E" w14:textId="77777777" w:rsidTr="00C4660B">
        <w:tc>
          <w:tcPr>
            <w:tcW w:w="1345" w:type="dxa"/>
            <w:vAlign w:val="center"/>
          </w:tcPr>
          <w:p w14:paraId="7F10998B" w14:textId="77777777" w:rsidR="00265D54" w:rsidRPr="00193654" w:rsidRDefault="00265D54" w:rsidP="007B132A">
            <w:pPr>
              <w:spacing w:before="40" w:after="40"/>
              <w:rPr>
                <w:rFonts w:ascii="Arial" w:hAnsi="Arial" w:cs="Arial"/>
                <w:sz w:val="20"/>
                <w:szCs w:val="20"/>
              </w:rPr>
            </w:pPr>
            <w:r w:rsidRPr="00193654">
              <w:rPr>
                <w:rFonts w:ascii="Arial" w:hAnsi="Arial" w:cs="Arial"/>
                <w:sz w:val="20"/>
                <w:szCs w:val="20"/>
              </w:rPr>
              <w:t>Opposed mark</w:t>
            </w:r>
          </w:p>
        </w:tc>
        <w:tc>
          <w:tcPr>
            <w:tcW w:w="918" w:type="dxa"/>
            <w:vAlign w:val="center"/>
          </w:tcPr>
          <w:p w14:paraId="3ADF60DC"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V</w:t>
            </w:r>
          </w:p>
        </w:tc>
        <w:tc>
          <w:tcPr>
            <w:tcW w:w="1062" w:type="dxa"/>
            <w:vAlign w:val="center"/>
          </w:tcPr>
          <w:p w14:paraId="26939909" w14:textId="77777777" w:rsidR="00265D54" w:rsidRPr="00193654" w:rsidRDefault="00265D54" w:rsidP="007B132A">
            <w:pPr>
              <w:spacing w:before="40" w:after="40"/>
              <w:jc w:val="center"/>
              <w:rPr>
                <w:rFonts w:ascii="Arial" w:hAnsi="Arial" w:cs="Arial"/>
                <w:b/>
                <w:bCs/>
                <w:sz w:val="20"/>
                <w:szCs w:val="20"/>
              </w:rPr>
            </w:pPr>
            <w:r w:rsidRPr="00193654">
              <w:rPr>
                <w:rFonts w:ascii="Arial" w:hAnsi="Arial" w:cs="Arial"/>
                <w:b/>
                <w:bCs/>
                <w:sz w:val="20"/>
                <w:szCs w:val="20"/>
              </w:rPr>
              <w:t>I</w:t>
            </w:r>
          </w:p>
        </w:tc>
        <w:tc>
          <w:tcPr>
            <w:tcW w:w="1065" w:type="dxa"/>
            <w:vAlign w:val="center"/>
          </w:tcPr>
          <w:p w14:paraId="0762C231" w14:textId="77777777" w:rsidR="00265D54" w:rsidRPr="00193654" w:rsidRDefault="00265D54" w:rsidP="007B132A">
            <w:pPr>
              <w:spacing w:before="40" w:after="40"/>
              <w:jc w:val="center"/>
              <w:rPr>
                <w:rFonts w:ascii="Arial" w:hAnsi="Arial" w:cs="Arial"/>
                <w:b/>
                <w:bCs/>
                <w:sz w:val="20"/>
                <w:szCs w:val="20"/>
              </w:rPr>
            </w:pPr>
            <w:r w:rsidRPr="00193654">
              <w:rPr>
                <w:rFonts w:ascii="Arial" w:hAnsi="Arial" w:cs="Arial"/>
                <w:b/>
                <w:bCs/>
                <w:sz w:val="20"/>
                <w:szCs w:val="20"/>
              </w:rPr>
              <w:t>L</w:t>
            </w:r>
          </w:p>
        </w:tc>
        <w:tc>
          <w:tcPr>
            <w:tcW w:w="1036" w:type="dxa"/>
            <w:vAlign w:val="center"/>
          </w:tcPr>
          <w:p w14:paraId="72C0960F" w14:textId="77777777" w:rsidR="00265D54" w:rsidRPr="00193654" w:rsidRDefault="00265D54" w:rsidP="007B132A">
            <w:pPr>
              <w:spacing w:before="40" w:after="40"/>
              <w:jc w:val="center"/>
              <w:rPr>
                <w:rFonts w:ascii="Arial" w:hAnsi="Arial" w:cs="Arial"/>
                <w:b/>
                <w:bCs/>
                <w:sz w:val="20"/>
                <w:szCs w:val="20"/>
              </w:rPr>
            </w:pPr>
            <w:r w:rsidRPr="00193654">
              <w:rPr>
                <w:rFonts w:ascii="Arial" w:hAnsi="Arial" w:cs="Arial"/>
                <w:b/>
                <w:bCs/>
                <w:sz w:val="20"/>
                <w:szCs w:val="20"/>
              </w:rPr>
              <w:t>D</w:t>
            </w:r>
          </w:p>
        </w:tc>
        <w:tc>
          <w:tcPr>
            <w:tcW w:w="948" w:type="dxa"/>
            <w:vAlign w:val="center"/>
          </w:tcPr>
          <w:p w14:paraId="6149A97E"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A</w:t>
            </w:r>
          </w:p>
        </w:tc>
        <w:tc>
          <w:tcPr>
            <w:tcW w:w="1014" w:type="dxa"/>
            <w:vAlign w:val="center"/>
          </w:tcPr>
          <w:p w14:paraId="61F84447"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R</w:t>
            </w:r>
          </w:p>
        </w:tc>
        <w:tc>
          <w:tcPr>
            <w:tcW w:w="1112" w:type="dxa"/>
            <w:vAlign w:val="center"/>
          </w:tcPr>
          <w:p w14:paraId="0C603B27"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E</w:t>
            </w:r>
          </w:p>
        </w:tc>
        <w:tc>
          <w:tcPr>
            <w:tcW w:w="1134" w:type="dxa"/>
            <w:vAlign w:val="center"/>
          </w:tcPr>
          <w:p w14:paraId="62C9F519" w14:textId="77777777" w:rsidR="00265D54" w:rsidRPr="00193654" w:rsidRDefault="00265D54" w:rsidP="007B132A">
            <w:pPr>
              <w:spacing w:before="40" w:after="40"/>
              <w:jc w:val="center"/>
              <w:rPr>
                <w:rFonts w:ascii="Arial" w:hAnsi="Arial" w:cs="Arial"/>
                <w:b/>
                <w:bCs/>
                <w:sz w:val="20"/>
                <w:szCs w:val="20"/>
                <w:u w:val="single"/>
              </w:rPr>
            </w:pPr>
            <w:r w:rsidRPr="00193654">
              <w:rPr>
                <w:rFonts w:ascii="Arial" w:hAnsi="Arial" w:cs="Arial"/>
                <w:b/>
                <w:bCs/>
                <w:sz w:val="20"/>
                <w:szCs w:val="20"/>
                <w:u w:val="single"/>
              </w:rPr>
              <w:t>L</w:t>
            </w:r>
          </w:p>
        </w:tc>
      </w:tr>
    </w:tbl>
    <w:p w14:paraId="5E368D84" w14:textId="77777777" w:rsidR="00265D54" w:rsidRPr="00193654" w:rsidRDefault="00265D54" w:rsidP="00744F68">
      <w:pPr>
        <w:spacing w:after="0" w:line="240" w:lineRule="auto"/>
        <w:jc w:val="both"/>
        <w:rPr>
          <w:rFonts w:ascii="Arial" w:hAnsi="Arial" w:cs="Arial"/>
          <w:sz w:val="20"/>
          <w:szCs w:val="20"/>
        </w:rPr>
      </w:pPr>
    </w:p>
    <w:bookmarkEnd w:id="1"/>
    <w:p w14:paraId="6DDFD9E4" w14:textId="74F05FEC" w:rsidR="00265D54" w:rsidRDefault="00265D54" w:rsidP="00744F68">
      <w:pPr>
        <w:spacing w:after="0" w:line="240" w:lineRule="auto"/>
        <w:jc w:val="both"/>
        <w:rPr>
          <w:rFonts w:ascii="Arial" w:hAnsi="Arial" w:cs="Arial"/>
          <w:sz w:val="20"/>
          <w:szCs w:val="20"/>
        </w:rPr>
      </w:pPr>
      <w:r w:rsidRPr="00193654">
        <w:rPr>
          <w:rFonts w:ascii="Arial" w:hAnsi="Arial" w:cs="Arial"/>
          <w:sz w:val="20"/>
          <w:szCs w:val="20"/>
        </w:rPr>
        <w:t xml:space="preserve">BIOFARMA further supported its opposition by citing precedents from earlier trademark cases involving "VASTAREL". Specifically, they referenced VNIPO's refusals of the marks "VOSFAREL" and "VOSFAREL-DOMESCO" due to their similarity to "VASTAREL". To strengthen this argument, BIOFARMA presented expert opinions from the </w:t>
      </w:r>
      <w:hyperlink r:id="rId9" w:history="1">
        <w:r w:rsidRPr="002A13D1">
          <w:rPr>
            <w:rStyle w:val="Hyperlink"/>
            <w:rFonts w:ascii="Arial" w:hAnsi="Arial" w:cs="Arial"/>
            <w:sz w:val="20"/>
            <w:szCs w:val="20"/>
          </w:rPr>
          <w:t>Vietnam Intellectual Property Research Institute</w:t>
        </w:r>
      </w:hyperlink>
      <w:r w:rsidRPr="00193654">
        <w:rPr>
          <w:rFonts w:ascii="Arial" w:hAnsi="Arial" w:cs="Arial"/>
          <w:sz w:val="20"/>
          <w:szCs w:val="20"/>
        </w:rPr>
        <w:t xml:space="preserve"> (VIPRI) confirming that "VOSFAREL" infringed upon the "VASTAREL" trademark. Additionally, they cited an inspection conclusion from the Inspectorate of the Ministry of Science &amp; Technology, which deemed "VOSFAREL-DOMESCO" and "VOSFAREL Mr-DOMESCO" confusingly similar to "VASTAREL"</w:t>
      </w:r>
      <w:r>
        <w:rPr>
          <w:rFonts w:ascii="Arial" w:hAnsi="Arial" w:cs="Arial"/>
          <w:sz w:val="20"/>
          <w:szCs w:val="20"/>
        </w:rPr>
        <w:t>,</w:t>
      </w:r>
      <w:r w:rsidRPr="00193654">
        <w:rPr>
          <w:rFonts w:ascii="Arial" w:hAnsi="Arial" w:cs="Arial"/>
          <w:sz w:val="20"/>
          <w:szCs w:val="20"/>
        </w:rPr>
        <w:t xml:space="preserve"> constituting trademark infringement".</w:t>
      </w:r>
    </w:p>
    <w:p w14:paraId="449CCD3B" w14:textId="77777777" w:rsidR="00744F68" w:rsidRPr="00193654" w:rsidRDefault="00744F68" w:rsidP="00744F68">
      <w:pPr>
        <w:spacing w:after="0" w:line="240" w:lineRule="auto"/>
        <w:jc w:val="both"/>
        <w:rPr>
          <w:rFonts w:ascii="Arial" w:hAnsi="Arial" w:cs="Arial"/>
          <w:sz w:val="20"/>
          <w:szCs w:val="20"/>
        </w:rPr>
      </w:pPr>
    </w:p>
    <w:p w14:paraId="3FB6F0F8" w14:textId="7F62BAF5" w:rsidR="00265D54" w:rsidRDefault="00265D54" w:rsidP="00744F68">
      <w:pPr>
        <w:spacing w:after="0" w:line="240" w:lineRule="auto"/>
        <w:jc w:val="both"/>
        <w:rPr>
          <w:rFonts w:ascii="Arial" w:hAnsi="Arial" w:cs="Arial"/>
          <w:sz w:val="20"/>
          <w:szCs w:val="20"/>
        </w:rPr>
      </w:pPr>
      <w:r w:rsidRPr="00193654">
        <w:rPr>
          <w:rFonts w:ascii="Arial" w:hAnsi="Arial" w:cs="Arial"/>
          <w:sz w:val="20"/>
          <w:szCs w:val="20"/>
        </w:rPr>
        <w:t xml:space="preserve">We concurred with VNIPO's previous refusals in the "VASTAREL" v. "VOSFAREL" cases but stressed the unique circumstances surrounding "VILDAREL". Our </w:t>
      </w:r>
      <w:hyperlink r:id="rId10" w:history="1">
        <w:r w:rsidRPr="00104CDA">
          <w:rPr>
            <w:rStyle w:val="Hyperlink"/>
            <w:rFonts w:ascii="Arial" w:hAnsi="Arial" w:cs="Arial"/>
            <w:sz w:val="20"/>
            <w:szCs w:val="20"/>
          </w:rPr>
          <w:t>counter-arguments</w:t>
        </w:r>
      </w:hyperlink>
      <w:r w:rsidRPr="00193654">
        <w:rPr>
          <w:rFonts w:ascii="Arial" w:hAnsi="Arial" w:cs="Arial"/>
          <w:sz w:val="20"/>
          <w:szCs w:val="20"/>
        </w:rPr>
        <w:t xml:space="preserve"> effectively demonstrated the significant differences between the marks at issue, persuading VNIPO to reject BIOFARMA's opposition. This resulted in a favorable outcome for our client, with VNIPO granting registration for the "VILDAREL" trademark.</w:t>
      </w:r>
    </w:p>
    <w:p w14:paraId="09AB4098" w14:textId="77777777" w:rsidR="00744F68" w:rsidRPr="00193654" w:rsidRDefault="00744F68" w:rsidP="00744F68">
      <w:pPr>
        <w:spacing w:after="0" w:line="240" w:lineRule="auto"/>
        <w:jc w:val="both"/>
        <w:rPr>
          <w:rFonts w:ascii="Arial" w:hAnsi="Arial" w:cs="Arial"/>
          <w:sz w:val="20"/>
          <w:szCs w:val="20"/>
        </w:rPr>
      </w:pPr>
    </w:p>
    <w:p w14:paraId="68473EB8" w14:textId="09D9B6CD" w:rsidR="00265D54" w:rsidRDefault="00265D54" w:rsidP="00744F68">
      <w:pPr>
        <w:spacing w:after="0" w:line="240" w:lineRule="auto"/>
        <w:jc w:val="both"/>
        <w:rPr>
          <w:rFonts w:ascii="Arial" w:hAnsi="Arial" w:cs="Arial"/>
          <w:b/>
          <w:bCs/>
          <w:color w:val="2F5496" w:themeColor="accent1" w:themeShade="BF"/>
          <w:lang w:val="es-ES"/>
        </w:rPr>
      </w:pPr>
      <w:r w:rsidRPr="0026741E">
        <w:rPr>
          <w:rFonts w:ascii="Arial" w:hAnsi="Arial" w:cs="Arial"/>
          <w:b/>
          <w:bCs/>
          <w:color w:val="2F5496" w:themeColor="accent1" w:themeShade="BF"/>
          <w:lang w:val="es-ES"/>
        </w:rPr>
        <w:t>KEY TAKEAWAYS</w:t>
      </w:r>
    </w:p>
    <w:p w14:paraId="00469711" w14:textId="77777777" w:rsidR="00744F68" w:rsidRPr="0026741E" w:rsidRDefault="00744F68" w:rsidP="00744F68">
      <w:pPr>
        <w:spacing w:after="0" w:line="240" w:lineRule="auto"/>
        <w:jc w:val="both"/>
        <w:rPr>
          <w:rFonts w:ascii="Arial" w:hAnsi="Arial" w:cs="Arial"/>
          <w:b/>
          <w:bCs/>
          <w:color w:val="2F5496" w:themeColor="accent1" w:themeShade="BF"/>
          <w:lang w:val="es-ES"/>
        </w:rPr>
      </w:pPr>
    </w:p>
    <w:p w14:paraId="103E16E0" w14:textId="2F1E0A52" w:rsidR="00265D54" w:rsidRDefault="00265D54" w:rsidP="00744F68">
      <w:pPr>
        <w:spacing w:after="0" w:line="240" w:lineRule="auto"/>
        <w:jc w:val="both"/>
        <w:rPr>
          <w:rFonts w:ascii="Arial" w:hAnsi="Arial" w:cs="Arial"/>
          <w:b/>
          <w:bCs/>
          <w:color w:val="2F5496" w:themeColor="accent1" w:themeShade="BF"/>
          <w:lang w:val="es-ES"/>
        </w:rPr>
      </w:pPr>
      <w:r w:rsidRPr="0026741E">
        <w:rPr>
          <w:rFonts w:ascii="Arial" w:hAnsi="Arial" w:cs="Arial"/>
          <w:b/>
          <w:bCs/>
          <w:color w:val="2F5496" w:themeColor="accent1" w:themeShade="BF"/>
          <w:lang w:val="es-ES"/>
        </w:rPr>
        <w:t>1. Consituent elements of pharmaceutical trademarks</w:t>
      </w:r>
    </w:p>
    <w:p w14:paraId="2E7EA689" w14:textId="77777777" w:rsidR="00744F68" w:rsidRPr="0026741E" w:rsidRDefault="00744F68" w:rsidP="00744F68">
      <w:pPr>
        <w:spacing w:after="0" w:line="240" w:lineRule="auto"/>
        <w:jc w:val="both"/>
        <w:rPr>
          <w:rFonts w:ascii="Arial" w:hAnsi="Arial" w:cs="Arial"/>
          <w:b/>
          <w:bCs/>
          <w:color w:val="2F5496" w:themeColor="accent1" w:themeShade="BF"/>
          <w:lang w:val="es-ES"/>
        </w:rPr>
      </w:pPr>
    </w:p>
    <w:p w14:paraId="390056C8" w14:textId="4BC7A737" w:rsidR="00265D54" w:rsidRDefault="00265D54" w:rsidP="00744F68">
      <w:pPr>
        <w:spacing w:after="0" w:line="240" w:lineRule="auto"/>
        <w:jc w:val="both"/>
        <w:rPr>
          <w:rFonts w:ascii="Arial" w:hAnsi="Arial" w:cs="Arial"/>
          <w:sz w:val="20"/>
          <w:szCs w:val="20"/>
        </w:rPr>
      </w:pPr>
      <w:r w:rsidRPr="00193654">
        <w:rPr>
          <w:rFonts w:ascii="Arial" w:hAnsi="Arial" w:cs="Arial"/>
          <w:sz w:val="20"/>
          <w:szCs w:val="20"/>
        </w:rPr>
        <w:t xml:space="preserve">Pharmaceutical trademarks are often based on their underlying molecule or ingredient names, offering clues to the drug's function or composition. This practice stems from the desire for memorability, as healthcare professionals and patients can more easily recall names that subtly reflect the drug's purpose. Furthermore, companies frequently use common prefixes or suffixes (like "-mab" for monoclonal antibodies, as in "Rituximab" or "Adalimumab") to signal the drug's therapeutic area. This approach, coupled with the frequent use of International Nonproprietary Names as a foundation for trademarks, contributes to the observed similarities between different brands. </w:t>
      </w:r>
    </w:p>
    <w:p w14:paraId="4566D3D4" w14:textId="77777777" w:rsidR="00744F68" w:rsidRPr="00193654" w:rsidRDefault="00744F68" w:rsidP="00744F68">
      <w:pPr>
        <w:spacing w:after="0" w:line="240" w:lineRule="auto"/>
        <w:jc w:val="both"/>
        <w:rPr>
          <w:rFonts w:ascii="Arial" w:hAnsi="Arial" w:cs="Arial"/>
          <w:sz w:val="20"/>
          <w:szCs w:val="20"/>
        </w:rPr>
      </w:pPr>
    </w:p>
    <w:p w14:paraId="5D0E1477" w14:textId="14D9469B" w:rsidR="00265D54" w:rsidRDefault="00265D54" w:rsidP="00744F68">
      <w:pPr>
        <w:spacing w:after="0" w:line="240" w:lineRule="auto"/>
        <w:jc w:val="both"/>
        <w:rPr>
          <w:rFonts w:ascii="Arial" w:hAnsi="Arial" w:cs="Arial"/>
          <w:sz w:val="20"/>
          <w:szCs w:val="20"/>
        </w:rPr>
      </w:pPr>
      <w:r w:rsidRPr="00193654">
        <w:rPr>
          <w:rFonts w:ascii="Arial" w:hAnsi="Arial" w:cs="Arial"/>
          <w:sz w:val="20"/>
          <w:szCs w:val="20"/>
        </w:rPr>
        <w:t xml:space="preserve">If you could identify a common source or origin for the pharmaceutical trademarks in dispute, focus your arguments on the distinct connotations and meanings they convey. </w:t>
      </w:r>
    </w:p>
    <w:p w14:paraId="6E7672EF" w14:textId="77777777" w:rsidR="00744F68" w:rsidRPr="00193654" w:rsidRDefault="00744F68" w:rsidP="00744F68">
      <w:pPr>
        <w:spacing w:after="0" w:line="240" w:lineRule="auto"/>
        <w:jc w:val="both"/>
        <w:rPr>
          <w:rFonts w:ascii="Arial" w:hAnsi="Arial" w:cs="Arial"/>
          <w:sz w:val="20"/>
          <w:szCs w:val="20"/>
        </w:rPr>
      </w:pPr>
    </w:p>
    <w:p w14:paraId="003402F5" w14:textId="77777777" w:rsidR="00265D54" w:rsidRPr="00193654" w:rsidRDefault="00265D54" w:rsidP="00744F68">
      <w:pPr>
        <w:pStyle w:val="ListParagraph"/>
        <w:numPr>
          <w:ilvl w:val="0"/>
          <w:numId w:val="19"/>
        </w:numPr>
        <w:spacing w:after="0" w:line="240" w:lineRule="auto"/>
        <w:jc w:val="both"/>
        <w:rPr>
          <w:rFonts w:ascii="Arial" w:hAnsi="Arial" w:cs="Arial"/>
          <w:sz w:val="20"/>
          <w:szCs w:val="20"/>
        </w:rPr>
      </w:pPr>
      <w:r w:rsidRPr="00193654">
        <w:rPr>
          <w:rFonts w:ascii="Arial" w:hAnsi="Arial" w:cs="Arial"/>
          <w:sz w:val="20"/>
          <w:szCs w:val="20"/>
        </w:rPr>
        <w:t xml:space="preserve">Even though pharmaceutical trademarks might share a common origin (molecule name, INN, etc.), the subtle variations and the way those elements are combined can create significant differences in connotation and meaning. This allows companies to differentiate their products and establish unique brand identities. </w:t>
      </w:r>
    </w:p>
    <w:p w14:paraId="66622FCB" w14:textId="77777777" w:rsidR="00265D54" w:rsidRPr="00193654" w:rsidRDefault="00265D54" w:rsidP="00744F68">
      <w:pPr>
        <w:pStyle w:val="ListParagraph"/>
        <w:numPr>
          <w:ilvl w:val="0"/>
          <w:numId w:val="19"/>
        </w:numPr>
        <w:spacing w:after="0" w:line="240" w:lineRule="auto"/>
        <w:jc w:val="both"/>
        <w:rPr>
          <w:rFonts w:ascii="Arial" w:hAnsi="Arial" w:cs="Arial"/>
          <w:sz w:val="20"/>
          <w:szCs w:val="20"/>
        </w:rPr>
      </w:pPr>
      <w:r w:rsidRPr="00193654">
        <w:rPr>
          <w:rFonts w:ascii="Arial" w:hAnsi="Arial" w:cs="Arial"/>
          <w:sz w:val="20"/>
          <w:szCs w:val="20"/>
        </w:rPr>
        <w:t xml:space="preserve">Even if two trademarks share a common root, they might emphasize different parts of it. This can lead to distinct associations. For example, one might highlight the therapeutic effect while another focuses on the mechanism of action. </w:t>
      </w:r>
    </w:p>
    <w:p w14:paraId="5FD060D4" w14:textId="77777777" w:rsidR="00265D54" w:rsidRPr="00193654" w:rsidRDefault="00265D54" w:rsidP="00744F68">
      <w:pPr>
        <w:pStyle w:val="ListParagraph"/>
        <w:numPr>
          <w:ilvl w:val="0"/>
          <w:numId w:val="19"/>
        </w:numPr>
        <w:spacing w:after="0" w:line="240" w:lineRule="auto"/>
        <w:jc w:val="both"/>
        <w:rPr>
          <w:rFonts w:ascii="Arial" w:hAnsi="Arial" w:cs="Arial"/>
          <w:sz w:val="20"/>
          <w:szCs w:val="20"/>
        </w:rPr>
      </w:pPr>
      <w:r w:rsidRPr="00193654">
        <w:rPr>
          <w:rFonts w:ascii="Arial" w:hAnsi="Arial" w:cs="Arial"/>
          <w:sz w:val="20"/>
          <w:szCs w:val="20"/>
        </w:rPr>
        <w:t xml:space="preserve">Companies often combine elements derived from the source with unique prefixes, suffixes, or other invented components. These additions can significantly alter the overall impression and </w:t>
      </w:r>
      <w:hyperlink r:id="rId11" w:history="1">
        <w:r w:rsidRPr="00D73561">
          <w:rPr>
            <w:rStyle w:val="Hyperlink"/>
            <w:rFonts w:ascii="Arial" w:hAnsi="Arial" w:cs="Arial"/>
            <w:sz w:val="20"/>
            <w:szCs w:val="20"/>
          </w:rPr>
          <w:t>create a distinct identity</w:t>
        </w:r>
      </w:hyperlink>
      <w:r w:rsidRPr="00193654">
        <w:rPr>
          <w:rFonts w:ascii="Arial" w:hAnsi="Arial" w:cs="Arial"/>
          <w:sz w:val="20"/>
          <w:szCs w:val="20"/>
        </w:rPr>
        <w:t>.</w:t>
      </w:r>
    </w:p>
    <w:p w14:paraId="581F8453" w14:textId="73410AB1" w:rsidR="00265D54" w:rsidRPr="00193654" w:rsidRDefault="00F72F30" w:rsidP="00744F68">
      <w:pPr>
        <w:pStyle w:val="ListParagraph"/>
        <w:numPr>
          <w:ilvl w:val="0"/>
          <w:numId w:val="19"/>
        </w:num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1CDA1ED" wp14:editId="26E6D900">
                <wp:simplePos x="0" y="0"/>
                <wp:positionH relativeFrom="column">
                  <wp:posOffset>6372225</wp:posOffset>
                </wp:positionH>
                <wp:positionV relativeFrom="paragraph">
                  <wp:posOffset>-307340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ED696" w14:textId="77777777" w:rsidR="00F72F30" w:rsidRPr="00BA68B8" w:rsidRDefault="00F72F30" w:rsidP="00F72F30">
                            <w:pPr>
                              <w:spacing w:after="0" w:line="240" w:lineRule="auto"/>
                              <w:rPr>
                                <w:rFonts w:ascii="Arial" w:hAnsi="Arial" w:cs="Arial"/>
                                <w:b/>
                                <w:color w:val="FFFFFF" w:themeColor="background1"/>
                                <w:sz w:val="20"/>
                                <w:szCs w:val="20"/>
                              </w:rPr>
                            </w:pPr>
                            <w:r w:rsidRPr="008147DB">
                              <w:rPr>
                                <w:rFonts w:ascii="Arial" w:hAnsi="Arial" w:cs="Arial"/>
                                <w:b/>
                                <w:bCs/>
                                <w:color w:val="FFFFFF" w:themeColor="background1"/>
                                <w:sz w:val="20"/>
                                <w:szCs w:val="20"/>
                              </w:rPr>
                              <w:t>Pharmaceutical Trademark Opposed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DA1ED" id="Rectangle 1" o:spid="_x0000_s1028" style="position:absolute;left:0;text-align:left;margin-left:501.75pt;margin-top:-24.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" fillcolor="#00b39c" strokecolor="#00b39c" strokeweight="0">
                <v:textbox style="layout-flow:vertical">
                  <w:txbxContent>
                    <w:p w14:paraId="770ED696" w14:textId="77777777" w:rsidR="00F72F30" w:rsidRPr="00BA68B8" w:rsidRDefault="00F72F30" w:rsidP="00F72F30">
                      <w:pPr>
                        <w:spacing w:after="0" w:line="240" w:lineRule="auto"/>
                        <w:rPr>
                          <w:rFonts w:ascii="Arial" w:hAnsi="Arial" w:cs="Arial"/>
                          <w:b/>
                          <w:color w:val="FFFFFF" w:themeColor="background1"/>
                          <w:sz w:val="20"/>
                          <w:szCs w:val="20"/>
                        </w:rPr>
                      </w:pPr>
                      <w:r w:rsidRPr="008147DB">
                        <w:rPr>
                          <w:rFonts w:ascii="Arial" w:hAnsi="Arial" w:cs="Arial"/>
                          <w:b/>
                          <w:bCs/>
                          <w:color w:val="FFFFFF" w:themeColor="background1"/>
                          <w:sz w:val="20"/>
                          <w:szCs w:val="20"/>
                        </w:rPr>
                        <w:t>Pharmaceutical Trademark Opposed in Vietnam</w:t>
                      </w:r>
                    </w:p>
                  </w:txbxContent>
                </v:textbox>
              </v:rect>
            </w:pict>
          </mc:Fallback>
        </mc:AlternateContent>
      </w:r>
      <w:r w:rsidR="00265D54" w:rsidRPr="00193654">
        <w:rPr>
          <w:rFonts w:ascii="Arial" w:hAnsi="Arial" w:cs="Arial"/>
          <w:sz w:val="20"/>
          <w:szCs w:val="20"/>
        </w:rPr>
        <w:t>Even small changes in spelling or pronunciation can create significant differences in how a trademark is perceived and remembered. This can be achieved through creative use of vowels, consonants, and syllable structure.</w:t>
      </w:r>
    </w:p>
    <w:p w14:paraId="4C243FCA" w14:textId="030A3F10" w:rsidR="00265D54" w:rsidRPr="0026741E" w:rsidRDefault="00265D54" w:rsidP="00744F68">
      <w:pPr>
        <w:pStyle w:val="ListParagraph"/>
        <w:numPr>
          <w:ilvl w:val="0"/>
          <w:numId w:val="19"/>
        </w:numPr>
        <w:spacing w:after="0" w:line="240" w:lineRule="auto"/>
        <w:jc w:val="both"/>
        <w:rPr>
          <w:rFonts w:ascii="Arial" w:hAnsi="Arial" w:cs="Arial"/>
          <w:sz w:val="20"/>
          <w:szCs w:val="20"/>
        </w:rPr>
      </w:pPr>
      <w:r w:rsidRPr="00193654">
        <w:rPr>
          <w:rFonts w:ascii="Arial" w:hAnsi="Arial" w:cs="Arial"/>
          <w:sz w:val="20"/>
          <w:szCs w:val="20"/>
        </w:rPr>
        <w:t xml:space="preserve">The trademark is just one element of a broader brand strategy. Marketing campaigns, packaging design, and other communication efforts contribute to the overall perception of the drug and its </w:t>
      </w:r>
      <w:r w:rsidRPr="0026741E">
        <w:rPr>
          <w:rFonts w:ascii="Arial" w:hAnsi="Arial" w:cs="Arial"/>
          <w:sz w:val="20"/>
          <w:szCs w:val="20"/>
        </w:rPr>
        <w:t>associated brand.</w:t>
      </w:r>
    </w:p>
    <w:p w14:paraId="25B007D8" w14:textId="0182C8EF" w:rsidR="00265D54" w:rsidRDefault="00265D54" w:rsidP="00744F68">
      <w:pPr>
        <w:spacing w:after="0" w:line="240" w:lineRule="auto"/>
        <w:jc w:val="both"/>
        <w:rPr>
          <w:rFonts w:ascii="Arial" w:hAnsi="Arial" w:cs="Arial"/>
          <w:sz w:val="20"/>
          <w:szCs w:val="20"/>
        </w:rPr>
      </w:pPr>
    </w:p>
    <w:p w14:paraId="6D29ACAD" w14:textId="2C7C03AA" w:rsidR="00265D54" w:rsidRDefault="00265D54" w:rsidP="00744F68">
      <w:pPr>
        <w:spacing w:after="0" w:line="240" w:lineRule="auto"/>
        <w:jc w:val="both"/>
        <w:rPr>
          <w:rFonts w:ascii="Arial" w:hAnsi="Arial" w:cs="Arial"/>
          <w:sz w:val="20"/>
          <w:szCs w:val="20"/>
        </w:rPr>
      </w:pPr>
      <w:r w:rsidRPr="0026741E">
        <w:rPr>
          <w:rFonts w:ascii="Arial" w:hAnsi="Arial" w:cs="Arial"/>
          <w:sz w:val="20"/>
          <w:szCs w:val="20"/>
        </w:rPr>
        <w:t xml:space="preserve">Highlight how subtle variations, distinctive elements, and phonetic or visual nuances create unique brand identities, impacting perception and memorability. This demonstration of individualized brand identity is crucial for successfully defending your trademark in </w:t>
      </w:r>
      <w:hyperlink r:id="rId12" w:history="1">
        <w:r w:rsidRPr="003B22D0">
          <w:rPr>
            <w:rStyle w:val="Hyperlink"/>
            <w:rFonts w:ascii="Arial" w:hAnsi="Arial" w:cs="Arial"/>
            <w:sz w:val="20"/>
            <w:szCs w:val="20"/>
          </w:rPr>
          <w:t>opposition, refusal</w:t>
        </w:r>
      </w:hyperlink>
      <w:r w:rsidRPr="0026741E">
        <w:rPr>
          <w:rFonts w:ascii="Arial" w:hAnsi="Arial" w:cs="Arial"/>
          <w:sz w:val="20"/>
          <w:szCs w:val="20"/>
        </w:rPr>
        <w:t>, or invalidation cases in Vietnam.</w:t>
      </w:r>
    </w:p>
    <w:p w14:paraId="72D2666D" w14:textId="34A803F7" w:rsidR="00265D54" w:rsidRPr="0026741E" w:rsidRDefault="00265D54" w:rsidP="00744F68">
      <w:pPr>
        <w:spacing w:after="0" w:line="240" w:lineRule="auto"/>
        <w:jc w:val="both"/>
        <w:rPr>
          <w:rFonts w:ascii="Arial" w:hAnsi="Arial" w:cs="Arial"/>
          <w:sz w:val="20"/>
          <w:szCs w:val="20"/>
          <w:lang w:val="es-ES"/>
        </w:rPr>
      </w:pPr>
    </w:p>
    <w:p w14:paraId="0CB04DED" w14:textId="47BDD341" w:rsidR="00265D54" w:rsidRDefault="00265D54" w:rsidP="00744F68">
      <w:pPr>
        <w:spacing w:after="0" w:line="240" w:lineRule="auto"/>
        <w:jc w:val="both"/>
        <w:rPr>
          <w:rFonts w:ascii="Arial" w:hAnsi="Arial" w:cs="Arial"/>
          <w:sz w:val="20"/>
          <w:szCs w:val="20"/>
        </w:rPr>
      </w:pPr>
      <w:r w:rsidRPr="0026741E">
        <w:rPr>
          <w:rFonts w:ascii="Arial" w:hAnsi="Arial" w:cs="Arial"/>
          <w:sz w:val="20"/>
          <w:szCs w:val="20"/>
        </w:rPr>
        <w:t>In essence, while the origin of pharmaceutical trademarks might be similar, the subtle ways in which companies manipulate and combine these elements can lead to vastly different connotations and ultimately influence how the brands are recognized, perceived, and memorized.</w:t>
      </w:r>
    </w:p>
    <w:p w14:paraId="62AA26FB" w14:textId="0B9ACD20" w:rsidR="00265D54" w:rsidRPr="0026741E" w:rsidRDefault="00265D54" w:rsidP="00744F68">
      <w:pPr>
        <w:spacing w:after="0" w:line="240" w:lineRule="auto"/>
        <w:jc w:val="both"/>
        <w:rPr>
          <w:rFonts w:ascii="Arial" w:hAnsi="Arial" w:cs="Arial"/>
          <w:sz w:val="20"/>
          <w:szCs w:val="20"/>
        </w:rPr>
      </w:pPr>
    </w:p>
    <w:p w14:paraId="34A659A1" w14:textId="601642F3" w:rsidR="00265D54" w:rsidRDefault="00265D54" w:rsidP="00744F68">
      <w:pPr>
        <w:spacing w:after="0" w:line="240" w:lineRule="auto"/>
        <w:jc w:val="both"/>
        <w:rPr>
          <w:rFonts w:ascii="Arial" w:hAnsi="Arial" w:cs="Arial"/>
          <w:sz w:val="20"/>
          <w:szCs w:val="20"/>
        </w:rPr>
      </w:pPr>
      <w:r w:rsidRPr="0026741E">
        <w:rPr>
          <w:rFonts w:ascii="Arial" w:hAnsi="Arial" w:cs="Arial"/>
          <w:sz w:val="20"/>
          <w:szCs w:val="20"/>
        </w:rPr>
        <w:t>In the "VILDAREL" case, we successfully argued that despite sharing a popular prefix with "VASTAREL," the marks were distinguishable due to their distinct suffixes and overall impressions. We emphasized the specialized knowledge of healthcare professionals, the target consumers, and their ability to differentiate between subtle variations in pharmaceutical trademarks.</w:t>
      </w:r>
    </w:p>
    <w:p w14:paraId="6CC94549" w14:textId="77777777" w:rsidR="00265D54" w:rsidRPr="0026741E" w:rsidRDefault="00265D54" w:rsidP="00744F68">
      <w:pPr>
        <w:spacing w:after="0" w:line="240" w:lineRule="auto"/>
        <w:jc w:val="both"/>
        <w:rPr>
          <w:rFonts w:ascii="Arial" w:hAnsi="Arial" w:cs="Arial"/>
        </w:rPr>
      </w:pPr>
    </w:p>
    <w:p w14:paraId="0073EC85" w14:textId="77777777" w:rsidR="00265D54" w:rsidRPr="0026741E" w:rsidRDefault="00265D54" w:rsidP="00744F68">
      <w:pPr>
        <w:spacing w:after="0" w:line="240" w:lineRule="auto"/>
        <w:jc w:val="both"/>
        <w:rPr>
          <w:rFonts w:ascii="Arial" w:hAnsi="Arial" w:cs="Arial"/>
          <w:b/>
          <w:bCs/>
          <w:color w:val="2F5496" w:themeColor="accent1" w:themeShade="BF"/>
          <w:lang w:val="es-ES"/>
        </w:rPr>
      </w:pPr>
      <w:r w:rsidRPr="0026741E">
        <w:rPr>
          <w:rFonts w:ascii="Arial" w:hAnsi="Arial" w:cs="Arial"/>
          <w:b/>
          <w:bCs/>
          <w:color w:val="2F5496" w:themeColor="accent1" w:themeShade="BF"/>
          <w:lang w:val="es-ES"/>
        </w:rPr>
        <w:t>2.  Trademark examination in other jurisdictions where two marks are filed for registration</w:t>
      </w:r>
    </w:p>
    <w:p w14:paraId="7A456C7A" w14:textId="77777777" w:rsidR="00265D54" w:rsidRDefault="00265D54" w:rsidP="00744F68">
      <w:pPr>
        <w:spacing w:after="0" w:line="240" w:lineRule="auto"/>
        <w:jc w:val="both"/>
        <w:rPr>
          <w:rFonts w:ascii="Arial" w:eastAsia="Times New Roman" w:hAnsi="Arial" w:cs="Arial"/>
          <w:sz w:val="20"/>
          <w:szCs w:val="20"/>
        </w:rPr>
      </w:pPr>
    </w:p>
    <w:p w14:paraId="545F6D12" w14:textId="77777777" w:rsidR="00265D54" w:rsidRDefault="00265D54" w:rsidP="00744F68">
      <w:pPr>
        <w:spacing w:after="0" w:line="240" w:lineRule="auto"/>
        <w:jc w:val="both"/>
        <w:rPr>
          <w:rFonts w:ascii="Arial" w:eastAsia="Times New Roman" w:hAnsi="Arial" w:cs="Arial"/>
          <w:sz w:val="20"/>
          <w:szCs w:val="20"/>
        </w:rPr>
      </w:pPr>
      <w:r w:rsidRPr="0026741E">
        <w:rPr>
          <w:rFonts w:ascii="Arial" w:eastAsia="Times New Roman" w:hAnsi="Arial" w:cs="Arial"/>
          <w:sz w:val="20"/>
          <w:szCs w:val="20"/>
        </w:rPr>
        <w:t>Trademark examination outcomes in other jurisdictions can provide valuable support in defending pharmaceutical trademarks in Vietnam. Positive decisions from countries with robust IP systems, such as India, China, the EU, or the US, can serve as persuasive precedents, demonstrating that similar marks have been deemed distinguishable elsewhere.</w:t>
      </w:r>
    </w:p>
    <w:p w14:paraId="6BE82E5E" w14:textId="77777777" w:rsidR="00265D54" w:rsidRPr="0026741E" w:rsidRDefault="00265D54" w:rsidP="00744F68">
      <w:pPr>
        <w:spacing w:after="0" w:line="240" w:lineRule="auto"/>
        <w:jc w:val="both"/>
        <w:rPr>
          <w:rFonts w:ascii="Arial" w:eastAsia="Times New Roman" w:hAnsi="Arial" w:cs="Arial"/>
          <w:sz w:val="20"/>
          <w:szCs w:val="20"/>
        </w:rPr>
      </w:pPr>
    </w:p>
    <w:p w14:paraId="4547BC64" w14:textId="77777777" w:rsidR="00265D54" w:rsidRDefault="00265D54" w:rsidP="00744F68">
      <w:pPr>
        <w:spacing w:after="0" w:line="240" w:lineRule="auto"/>
        <w:jc w:val="both"/>
        <w:rPr>
          <w:rFonts w:ascii="Arial" w:eastAsia="Times New Roman" w:hAnsi="Arial" w:cs="Arial"/>
          <w:sz w:val="20"/>
          <w:szCs w:val="20"/>
        </w:rPr>
      </w:pPr>
      <w:r w:rsidRPr="0026741E">
        <w:rPr>
          <w:rFonts w:ascii="Arial" w:eastAsia="Times New Roman" w:hAnsi="Arial" w:cs="Arial"/>
          <w:sz w:val="20"/>
          <w:szCs w:val="20"/>
        </w:rPr>
        <w:t xml:space="preserve">When citing international precedents, it is essential to (i) </w:t>
      </w:r>
      <w:r w:rsidRPr="0026741E">
        <w:rPr>
          <w:rFonts w:ascii="Arial" w:eastAsia="Times New Roman" w:hAnsi="Arial" w:cs="Arial"/>
          <w:b/>
          <w:bCs/>
          <w:sz w:val="20"/>
          <w:szCs w:val="20"/>
        </w:rPr>
        <w:t>Select relevant jurisdictions:</w:t>
      </w:r>
      <w:r w:rsidRPr="0026741E">
        <w:rPr>
          <w:rFonts w:ascii="Arial" w:eastAsia="Times New Roman" w:hAnsi="Arial" w:cs="Arial"/>
          <w:sz w:val="20"/>
          <w:szCs w:val="20"/>
        </w:rPr>
        <w:t xml:space="preserve"> Prioritize jurisdictions with comparable legal frameworks and examination standards. (ii) </w:t>
      </w:r>
      <w:r w:rsidRPr="0026741E">
        <w:rPr>
          <w:rFonts w:ascii="Arial" w:eastAsia="Times New Roman" w:hAnsi="Arial" w:cs="Arial"/>
          <w:b/>
          <w:bCs/>
          <w:sz w:val="20"/>
          <w:szCs w:val="20"/>
        </w:rPr>
        <w:t>Conduct thorough research:</w:t>
      </w:r>
      <w:r w:rsidRPr="0026741E">
        <w:rPr>
          <w:rFonts w:ascii="Arial" w:eastAsia="Times New Roman" w:hAnsi="Arial" w:cs="Arial"/>
          <w:sz w:val="20"/>
          <w:szCs w:val="20"/>
        </w:rPr>
        <w:t xml:space="preserve"> Ensure the cited cases are factually similar and involve comparable marks, and (iii) </w:t>
      </w:r>
      <w:r w:rsidRPr="0026741E">
        <w:rPr>
          <w:rFonts w:ascii="Arial" w:eastAsia="Times New Roman" w:hAnsi="Arial" w:cs="Arial"/>
          <w:b/>
          <w:bCs/>
          <w:sz w:val="20"/>
          <w:szCs w:val="20"/>
        </w:rPr>
        <w:t>Provide clear comparisons:</w:t>
      </w:r>
      <w:r w:rsidRPr="0026741E">
        <w:rPr>
          <w:rFonts w:ascii="Arial" w:eastAsia="Times New Roman" w:hAnsi="Arial" w:cs="Arial"/>
          <w:sz w:val="20"/>
          <w:szCs w:val="20"/>
        </w:rPr>
        <w:t xml:space="preserve"> Present a concise comparative analysis highlighting the phonetic, visual, and conceptual differences between the marks.</w:t>
      </w:r>
    </w:p>
    <w:p w14:paraId="6C132610" w14:textId="77777777" w:rsidR="00265D54" w:rsidRPr="0026741E" w:rsidRDefault="00265D54" w:rsidP="00744F68">
      <w:pPr>
        <w:spacing w:after="0" w:line="240" w:lineRule="auto"/>
        <w:jc w:val="both"/>
        <w:rPr>
          <w:rFonts w:ascii="Arial" w:eastAsia="Times New Roman" w:hAnsi="Arial" w:cs="Arial"/>
          <w:sz w:val="20"/>
          <w:szCs w:val="20"/>
        </w:rPr>
      </w:pPr>
    </w:p>
    <w:p w14:paraId="35A81692" w14:textId="77777777" w:rsidR="00265D54" w:rsidRDefault="00265D54" w:rsidP="00744F68">
      <w:pPr>
        <w:spacing w:after="0" w:line="240" w:lineRule="auto"/>
        <w:jc w:val="both"/>
        <w:rPr>
          <w:rFonts w:ascii="Arial" w:eastAsia="Times New Roman" w:hAnsi="Arial" w:cs="Arial"/>
          <w:sz w:val="20"/>
          <w:szCs w:val="20"/>
        </w:rPr>
      </w:pPr>
      <w:r w:rsidRPr="0026741E">
        <w:rPr>
          <w:rFonts w:ascii="Arial" w:eastAsia="Times New Roman" w:hAnsi="Arial" w:cs="Arial"/>
          <w:sz w:val="20"/>
          <w:szCs w:val="20"/>
        </w:rPr>
        <w:t xml:space="preserve">In the "VILDAREL" case, we used the positive trademark examination result from India to support our arguments for distinctiveness. Despite "VASTAREL" having an earlier filing date in India, the Intellectual Property Office of India granted </w:t>
      </w:r>
      <w:hyperlink r:id="rId13" w:history="1">
        <w:r w:rsidRPr="009064D8">
          <w:rPr>
            <w:rStyle w:val="Hyperlink"/>
            <w:rFonts w:ascii="Arial" w:eastAsia="Times New Roman" w:hAnsi="Arial" w:cs="Arial"/>
            <w:sz w:val="20"/>
            <w:szCs w:val="20"/>
          </w:rPr>
          <w:t>registration</w:t>
        </w:r>
      </w:hyperlink>
      <w:r w:rsidRPr="0026741E">
        <w:rPr>
          <w:rFonts w:ascii="Arial" w:eastAsia="Times New Roman" w:hAnsi="Arial" w:cs="Arial"/>
          <w:sz w:val="20"/>
          <w:szCs w:val="20"/>
        </w:rPr>
        <w:t xml:space="preserve"> to "VILDAREL", recognizing the sufficient differences between the marks. This precedent reinforced our argument that the marks could coexist without confusion in the marketplace.</w:t>
      </w:r>
    </w:p>
    <w:p w14:paraId="0C76A21A" w14:textId="77777777" w:rsidR="00265D54" w:rsidRPr="0026741E" w:rsidRDefault="00265D54" w:rsidP="00744F68">
      <w:pPr>
        <w:spacing w:after="0" w:line="240" w:lineRule="auto"/>
        <w:jc w:val="both"/>
        <w:rPr>
          <w:rFonts w:ascii="Arial" w:eastAsia="Times New Roman" w:hAnsi="Arial" w:cs="Arial"/>
          <w:sz w:val="20"/>
          <w:szCs w:val="20"/>
        </w:rPr>
      </w:pPr>
    </w:p>
    <w:p w14:paraId="3E3588BA" w14:textId="77777777" w:rsidR="00265D54" w:rsidRDefault="00265D54" w:rsidP="00744F68">
      <w:pPr>
        <w:spacing w:after="0" w:line="240" w:lineRule="auto"/>
        <w:jc w:val="both"/>
        <w:rPr>
          <w:rFonts w:ascii="Arial" w:eastAsia="Times New Roman" w:hAnsi="Arial" w:cs="Arial"/>
          <w:sz w:val="20"/>
          <w:szCs w:val="20"/>
        </w:rPr>
      </w:pPr>
      <w:r w:rsidRPr="0026741E">
        <w:rPr>
          <w:rFonts w:ascii="Arial" w:eastAsia="Times New Roman" w:hAnsi="Arial" w:cs="Arial"/>
          <w:sz w:val="20"/>
          <w:szCs w:val="20"/>
        </w:rPr>
        <w:t>Utilizing international precedents strategically can bolster arguments for distinctiveness and contribute to a successful defense in Vietnamese trademark disputes.</w:t>
      </w:r>
    </w:p>
    <w:p w14:paraId="26CB13C6" w14:textId="77777777" w:rsidR="00265D54" w:rsidRPr="0026741E" w:rsidRDefault="00265D54" w:rsidP="00744F68">
      <w:pPr>
        <w:spacing w:after="0" w:line="240" w:lineRule="auto"/>
        <w:jc w:val="both"/>
        <w:rPr>
          <w:rFonts w:ascii="Arial" w:eastAsia="Times New Roman" w:hAnsi="Arial" w:cs="Arial"/>
        </w:rPr>
      </w:pPr>
    </w:p>
    <w:p w14:paraId="57C2625A" w14:textId="77777777" w:rsidR="00265D54" w:rsidRPr="0026741E" w:rsidRDefault="00265D54" w:rsidP="00744F68">
      <w:pPr>
        <w:spacing w:after="0" w:line="240" w:lineRule="auto"/>
        <w:jc w:val="both"/>
        <w:rPr>
          <w:rFonts w:ascii="Arial" w:hAnsi="Arial" w:cs="Arial"/>
          <w:b/>
          <w:bCs/>
          <w:color w:val="2F5496" w:themeColor="accent1" w:themeShade="BF"/>
          <w:lang w:val="es-ES"/>
        </w:rPr>
      </w:pPr>
      <w:r w:rsidRPr="0026741E">
        <w:rPr>
          <w:rFonts w:ascii="Arial" w:hAnsi="Arial" w:cs="Arial"/>
          <w:b/>
          <w:bCs/>
          <w:color w:val="2F5496" w:themeColor="accent1" w:themeShade="BF"/>
          <w:lang w:val="es-ES"/>
        </w:rPr>
        <w:t>3. Precedents of similar pharmaceutial trademarks</w:t>
      </w:r>
    </w:p>
    <w:p w14:paraId="57440537" w14:textId="77777777" w:rsidR="00265D54" w:rsidRPr="0026741E" w:rsidRDefault="00265D54" w:rsidP="00744F68">
      <w:pPr>
        <w:spacing w:after="0" w:line="240" w:lineRule="auto"/>
        <w:jc w:val="both"/>
        <w:rPr>
          <w:rFonts w:ascii="Arial" w:hAnsi="Arial" w:cs="Arial"/>
          <w:b/>
          <w:bCs/>
          <w:color w:val="2F5496" w:themeColor="accent1" w:themeShade="BF"/>
          <w:sz w:val="20"/>
          <w:szCs w:val="20"/>
          <w:lang w:val="es-ES"/>
        </w:rPr>
      </w:pPr>
    </w:p>
    <w:p w14:paraId="6788E5BF" w14:textId="77777777" w:rsidR="00265D54" w:rsidRDefault="00265D54" w:rsidP="00744F68">
      <w:pPr>
        <w:spacing w:after="0" w:line="240" w:lineRule="auto"/>
        <w:jc w:val="both"/>
        <w:rPr>
          <w:rFonts w:ascii="Arial" w:hAnsi="Arial" w:cs="Arial"/>
          <w:sz w:val="20"/>
          <w:szCs w:val="20"/>
        </w:rPr>
      </w:pPr>
      <w:r w:rsidRPr="0026741E">
        <w:rPr>
          <w:rFonts w:ascii="Arial" w:hAnsi="Arial" w:cs="Arial"/>
          <w:sz w:val="20"/>
          <w:szCs w:val="20"/>
        </w:rPr>
        <w:t xml:space="preserve">Providing examples of similar pharmaceutical trademarks that have been successfully registered in Vietnam can significantly bolster your arguments for distinctiveness. It demonstrates that the VNIPO has previously accepted marks with similar characteristics, suggesting a precedent for accepting your mark as well. It suggests consistency in VNIPO's examination practices, implying that if similar marks were previously accepted, your mark should also be </w:t>
      </w:r>
      <w:hyperlink r:id="rId14" w:history="1">
        <w:r w:rsidRPr="004A2B7C">
          <w:rPr>
            <w:rStyle w:val="Hyperlink"/>
            <w:rFonts w:ascii="Arial" w:hAnsi="Arial" w:cs="Arial"/>
            <w:sz w:val="20"/>
            <w:szCs w:val="20"/>
          </w:rPr>
          <w:t>considered favorably</w:t>
        </w:r>
      </w:hyperlink>
      <w:r w:rsidRPr="0026741E">
        <w:rPr>
          <w:rFonts w:ascii="Arial" w:hAnsi="Arial" w:cs="Arial"/>
          <w:sz w:val="20"/>
          <w:szCs w:val="20"/>
        </w:rPr>
        <w:t>. Presenting concrete examples can help mitigate any subjective judgment by the examiner and provide a more objective basis for assessment.</w:t>
      </w:r>
    </w:p>
    <w:p w14:paraId="09E2B744" w14:textId="77777777" w:rsidR="00265D54" w:rsidRPr="0026741E" w:rsidRDefault="00265D54" w:rsidP="00744F68">
      <w:pPr>
        <w:spacing w:after="0" w:line="240" w:lineRule="auto"/>
        <w:jc w:val="both"/>
        <w:rPr>
          <w:rFonts w:ascii="Arial" w:hAnsi="Arial" w:cs="Arial"/>
          <w:sz w:val="20"/>
          <w:szCs w:val="20"/>
        </w:rPr>
      </w:pPr>
    </w:p>
    <w:p w14:paraId="599D6E3D" w14:textId="77777777" w:rsidR="00265D54" w:rsidRDefault="00265D54" w:rsidP="00744F68">
      <w:pPr>
        <w:spacing w:after="0" w:line="240" w:lineRule="auto"/>
        <w:jc w:val="both"/>
        <w:rPr>
          <w:rFonts w:ascii="Arial" w:hAnsi="Arial" w:cs="Arial"/>
          <w:sz w:val="20"/>
          <w:szCs w:val="20"/>
        </w:rPr>
      </w:pPr>
      <w:r w:rsidRPr="0026741E">
        <w:rPr>
          <w:rFonts w:ascii="Arial" w:hAnsi="Arial" w:cs="Arial"/>
          <w:sz w:val="20"/>
          <w:szCs w:val="20"/>
          <w:lang w:val="es-ES"/>
        </w:rPr>
        <w:t xml:space="preserve">To this end, you need to </w:t>
      </w:r>
      <w:hyperlink r:id="rId15" w:history="1">
        <w:r w:rsidRPr="007610B5">
          <w:rPr>
            <w:rStyle w:val="Hyperlink"/>
            <w:rFonts w:ascii="Arial" w:hAnsi="Arial" w:cs="Arial"/>
            <w:sz w:val="20"/>
            <w:szCs w:val="20"/>
            <w:lang w:val="es-ES"/>
          </w:rPr>
          <w:t>c</w:t>
        </w:r>
        <w:r w:rsidRPr="007610B5">
          <w:rPr>
            <w:rStyle w:val="Hyperlink"/>
            <w:rFonts w:ascii="Arial" w:hAnsi="Arial" w:cs="Arial"/>
            <w:sz w:val="20"/>
            <w:szCs w:val="20"/>
          </w:rPr>
          <w:t>onduct thorough searches</w:t>
        </w:r>
      </w:hyperlink>
      <w:r w:rsidRPr="0026741E">
        <w:rPr>
          <w:rFonts w:ascii="Arial" w:hAnsi="Arial" w:cs="Arial"/>
          <w:sz w:val="20"/>
          <w:szCs w:val="20"/>
        </w:rPr>
        <w:t xml:space="preserve"> on the VNIPO's online trademark database to identify registered marks that share similarities with yours. Focus on marks in the same class (pharmaceutical products) and those with similar prefixes, suffixes, or overall construction. Use this strategy in conjunction with other arguments, such as emphasizing the differences between the marks, targeting the relevant consumer, and demonstrating honest intentions. The following similar marks have been found to support our arguments:</w:t>
      </w:r>
    </w:p>
    <w:p w14:paraId="079AFF64" w14:textId="77777777" w:rsidR="00265D54" w:rsidRPr="0026741E" w:rsidRDefault="00265D54" w:rsidP="00744F68">
      <w:pPr>
        <w:spacing w:after="0" w:line="240" w:lineRule="auto"/>
        <w:jc w:val="both"/>
        <w:rPr>
          <w:rFonts w:ascii="Arial" w:hAnsi="Arial" w:cs="Arial"/>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4050"/>
        <w:gridCol w:w="3969"/>
      </w:tblGrid>
      <w:tr w:rsidR="00265D54" w:rsidRPr="0026741E" w14:paraId="140A998B" w14:textId="77777777" w:rsidTr="00C4660B">
        <w:tc>
          <w:tcPr>
            <w:tcW w:w="1620" w:type="dxa"/>
            <w:shd w:val="clear" w:color="auto" w:fill="auto"/>
          </w:tcPr>
          <w:p w14:paraId="43D8A3B6"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Trademark 1</w:t>
            </w:r>
          </w:p>
        </w:tc>
        <w:tc>
          <w:tcPr>
            <w:tcW w:w="4050" w:type="dxa"/>
            <w:shd w:val="clear" w:color="auto" w:fill="auto"/>
          </w:tcPr>
          <w:p w14:paraId="690D4306" w14:textId="77777777" w:rsidR="00265D54" w:rsidRPr="0026741E" w:rsidRDefault="00265D54" w:rsidP="008147DB">
            <w:pPr>
              <w:pStyle w:val="BodyTextIndent"/>
              <w:spacing w:before="40" w:after="40" w:line="240" w:lineRule="auto"/>
              <w:ind w:left="0"/>
              <w:rPr>
                <w:rFonts w:ascii="Arial" w:hAnsi="Arial" w:cs="Arial"/>
                <w:b/>
                <w:sz w:val="20"/>
              </w:rPr>
            </w:pPr>
            <w:r w:rsidRPr="0026741E">
              <w:rPr>
                <w:rFonts w:ascii="Arial" w:hAnsi="Arial" w:cs="Arial"/>
                <w:b/>
                <w:sz w:val="20"/>
              </w:rPr>
              <w:t>V</w:t>
            </w:r>
            <w:r w:rsidRPr="0026741E">
              <w:rPr>
                <w:rFonts w:ascii="Arial" w:hAnsi="Arial" w:cs="Arial"/>
                <w:b/>
                <w:sz w:val="20"/>
                <w:u w:val="single"/>
              </w:rPr>
              <w:t>IL</w:t>
            </w:r>
            <w:r w:rsidRPr="0026741E">
              <w:rPr>
                <w:rFonts w:ascii="Arial" w:hAnsi="Arial" w:cs="Arial"/>
                <w:b/>
                <w:sz w:val="20"/>
              </w:rPr>
              <w:t>OGREL</w:t>
            </w:r>
          </w:p>
          <w:p w14:paraId="3CD12914"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Application No.: 4-2008-04763</w:t>
            </w:r>
          </w:p>
          <w:p w14:paraId="3F21AD52"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Filing date: 11/03/2008</w:t>
            </w:r>
          </w:p>
          <w:p w14:paraId="0A030074"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Registration No.: 128297</w:t>
            </w:r>
          </w:p>
          <w:p w14:paraId="30351791"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lastRenderedPageBreak/>
              <w:t>Registration date: 29/06/2009</w:t>
            </w:r>
          </w:p>
          <w:p w14:paraId="7FD5DCB4"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Owner: Công ty cổ phần dược phẩm Cửu Long</w:t>
            </w:r>
          </w:p>
          <w:p w14:paraId="4A80ED16" w14:textId="77777777" w:rsidR="00265D54" w:rsidRPr="0026741E" w:rsidRDefault="00265D54" w:rsidP="008147DB">
            <w:pPr>
              <w:pStyle w:val="BodyTextIndent"/>
              <w:spacing w:before="40" w:after="40" w:line="240" w:lineRule="auto"/>
              <w:ind w:left="0"/>
              <w:rPr>
                <w:rFonts w:ascii="Arial" w:hAnsi="Arial" w:cs="Arial"/>
                <w:b/>
                <w:sz w:val="20"/>
              </w:rPr>
            </w:pPr>
            <w:r w:rsidRPr="0026741E">
              <w:rPr>
                <w:rFonts w:ascii="Arial" w:hAnsi="Arial" w:cs="Arial"/>
                <w:sz w:val="20"/>
              </w:rPr>
              <w:t>Class 05: Pharmaceutical preparations</w:t>
            </w:r>
          </w:p>
        </w:tc>
        <w:tc>
          <w:tcPr>
            <w:tcW w:w="3969" w:type="dxa"/>
            <w:shd w:val="clear" w:color="auto" w:fill="auto"/>
          </w:tcPr>
          <w:p w14:paraId="4F143D08" w14:textId="77777777" w:rsidR="00265D54" w:rsidRPr="0026741E" w:rsidRDefault="00265D54" w:rsidP="008147DB">
            <w:pPr>
              <w:pStyle w:val="BodyTextIndent"/>
              <w:spacing w:before="40" w:after="40" w:line="240" w:lineRule="auto"/>
              <w:ind w:left="0"/>
              <w:rPr>
                <w:rFonts w:ascii="Arial" w:hAnsi="Arial" w:cs="Arial"/>
                <w:b/>
                <w:sz w:val="20"/>
              </w:rPr>
            </w:pPr>
            <w:r w:rsidRPr="0026741E">
              <w:rPr>
                <w:rFonts w:ascii="Arial" w:hAnsi="Arial" w:cs="Arial"/>
                <w:b/>
                <w:sz w:val="20"/>
              </w:rPr>
              <w:lastRenderedPageBreak/>
              <w:t>V</w:t>
            </w:r>
            <w:r w:rsidRPr="0026741E">
              <w:rPr>
                <w:rFonts w:ascii="Arial" w:hAnsi="Arial" w:cs="Arial"/>
                <w:b/>
                <w:sz w:val="20"/>
                <w:u w:val="single"/>
              </w:rPr>
              <w:t>AZ</w:t>
            </w:r>
            <w:r w:rsidRPr="0026741E">
              <w:rPr>
                <w:rFonts w:ascii="Arial" w:hAnsi="Arial" w:cs="Arial"/>
                <w:b/>
                <w:sz w:val="20"/>
              </w:rPr>
              <w:t>OGREL</w:t>
            </w:r>
          </w:p>
          <w:p w14:paraId="56764627"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Application No.: 4-2015-34982</w:t>
            </w:r>
          </w:p>
          <w:p w14:paraId="126E35BD"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Filing date: 11/12/2015</w:t>
            </w:r>
          </w:p>
          <w:p w14:paraId="291058E5"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Registration No.: 306646</w:t>
            </w:r>
          </w:p>
          <w:p w14:paraId="732F1CBC"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lastRenderedPageBreak/>
              <w:t>Registration date: 15/10/2018</w:t>
            </w:r>
          </w:p>
          <w:p w14:paraId="716E4670"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Owner: Công ty cổ phần dược phẩm Sao Kim</w:t>
            </w:r>
          </w:p>
          <w:p w14:paraId="2E91377E" w14:textId="77777777" w:rsidR="00265D54" w:rsidRPr="0026741E" w:rsidRDefault="00265D54" w:rsidP="008147DB">
            <w:pPr>
              <w:pStyle w:val="BodyTextIndent"/>
              <w:spacing w:before="40" w:after="40" w:line="240" w:lineRule="auto"/>
              <w:ind w:left="0"/>
              <w:rPr>
                <w:rFonts w:ascii="Arial" w:hAnsi="Arial" w:cs="Arial"/>
                <w:b/>
                <w:sz w:val="20"/>
              </w:rPr>
            </w:pPr>
            <w:r w:rsidRPr="0026741E">
              <w:rPr>
                <w:rFonts w:ascii="Arial" w:hAnsi="Arial" w:cs="Arial"/>
                <w:sz w:val="20"/>
              </w:rPr>
              <w:t>Class 05: Pharmaceutical preparations</w:t>
            </w:r>
          </w:p>
        </w:tc>
      </w:tr>
      <w:tr w:rsidR="00265D54" w:rsidRPr="0026741E" w14:paraId="399DD8F1" w14:textId="77777777" w:rsidTr="00C4660B">
        <w:tc>
          <w:tcPr>
            <w:tcW w:w="1620" w:type="dxa"/>
            <w:shd w:val="clear" w:color="auto" w:fill="auto"/>
          </w:tcPr>
          <w:p w14:paraId="75B128E2" w14:textId="77777777" w:rsidR="00265D54" w:rsidRPr="0026741E" w:rsidRDefault="00265D54" w:rsidP="008147DB">
            <w:pPr>
              <w:pStyle w:val="BodyTextIndent"/>
              <w:spacing w:before="40" w:after="40" w:line="240" w:lineRule="auto"/>
              <w:ind w:left="0"/>
              <w:rPr>
                <w:rFonts w:ascii="Arial" w:hAnsi="Arial" w:cs="Arial"/>
                <w:sz w:val="20"/>
                <w:lang w:val="es-ES"/>
              </w:rPr>
            </w:pPr>
            <w:r w:rsidRPr="0026741E">
              <w:rPr>
                <w:rFonts w:ascii="Arial" w:hAnsi="Arial" w:cs="Arial"/>
                <w:sz w:val="20"/>
              </w:rPr>
              <w:lastRenderedPageBreak/>
              <w:t>Trademark 2</w:t>
            </w:r>
          </w:p>
        </w:tc>
        <w:tc>
          <w:tcPr>
            <w:tcW w:w="4050" w:type="dxa"/>
            <w:shd w:val="clear" w:color="auto" w:fill="auto"/>
          </w:tcPr>
          <w:p w14:paraId="287A5991" w14:textId="77777777" w:rsidR="00265D54" w:rsidRPr="0026741E" w:rsidRDefault="00265D54" w:rsidP="008147DB">
            <w:pPr>
              <w:pStyle w:val="BodyTextIndent"/>
              <w:spacing w:before="40" w:after="40" w:line="240" w:lineRule="auto"/>
              <w:ind w:left="0"/>
              <w:rPr>
                <w:rFonts w:ascii="Arial" w:hAnsi="Arial" w:cs="Arial"/>
                <w:b/>
                <w:sz w:val="20"/>
              </w:rPr>
            </w:pPr>
            <w:r w:rsidRPr="0026741E">
              <w:rPr>
                <w:rFonts w:ascii="Arial" w:hAnsi="Arial" w:cs="Arial"/>
                <w:b/>
                <w:sz w:val="20"/>
                <w:u w:val="single"/>
              </w:rPr>
              <w:t>P</w:t>
            </w:r>
            <w:r w:rsidRPr="0026741E">
              <w:rPr>
                <w:rFonts w:ascii="Arial" w:hAnsi="Arial" w:cs="Arial"/>
                <w:b/>
                <w:sz w:val="20"/>
              </w:rPr>
              <w:t>AN</w:t>
            </w:r>
            <w:r w:rsidRPr="0026741E">
              <w:rPr>
                <w:rFonts w:ascii="Arial" w:hAnsi="Arial" w:cs="Arial"/>
                <w:b/>
                <w:sz w:val="20"/>
                <w:u w:val="single"/>
              </w:rPr>
              <w:t>G</w:t>
            </w:r>
            <w:r w:rsidRPr="0026741E">
              <w:rPr>
                <w:rFonts w:ascii="Arial" w:hAnsi="Arial" w:cs="Arial"/>
                <w:b/>
                <w:sz w:val="20"/>
              </w:rPr>
              <w:t>AGEL</w:t>
            </w:r>
          </w:p>
          <w:p w14:paraId="78CAE611"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Application No.: </w:t>
            </w:r>
            <w:r w:rsidRPr="0026741E">
              <w:rPr>
                <w:rFonts w:ascii="Arial" w:hAnsi="Arial" w:cs="Arial"/>
                <w:color w:val="333333"/>
                <w:sz w:val="20"/>
                <w:shd w:val="clear" w:color="auto" w:fill="FFFFFF"/>
              </w:rPr>
              <w:t>4-2018-44416</w:t>
            </w:r>
          </w:p>
          <w:p w14:paraId="1AE90494"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Filing date: </w:t>
            </w:r>
            <w:r w:rsidRPr="0026741E">
              <w:rPr>
                <w:rFonts w:ascii="Arial" w:hAnsi="Arial" w:cs="Arial"/>
                <w:color w:val="333333"/>
                <w:sz w:val="20"/>
                <w:shd w:val="clear" w:color="auto" w:fill="FFFFFF"/>
              </w:rPr>
              <w:t>17/12/2018</w:t>
            </w:r>
          </w:p>
          <w:p w14:paraId="7861528A"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Registration No.: </w:t>
            </w:r>
            <w:r w:rsidRPr="0026741E">
              <w:rPr>
                <w:rFonts w:ascii="Arial" w:hAnsi="Arial" w:cs="Arial"/>
                <w:color w:val="333333"/>
                <w:sz w:val="20"/>
                <w:shd w:val="clear" w:color="auto" w:fill="FFFFFF"/>
              </w:rPr>
              <w:t>375591</w:t>
            </w:r>
          </w:p>
          <w:p w14:paraId="48A881DA"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Registration date: </w:t>
            </w:r>
            <w:r w:rsidRPr="0026741E">
              <w:rPr>
                <w:rFonts w:ascii="Arial" w:hAnsi="Arial" w:cs="Arial"/>
                <w:color w:val="333333"/>
                <w:sz w:val="20"/>
                <w:shd w:val="clear" w:color="auto" w:fill="FFFFFF"/>
              </w:rPr>
              <w:t>07/01/2021</w:t>
            </w:r>
          </w:p>
          <w:p w14:paraId="038A5CA5"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Owner: </w:t>
            </w:r>
            <w:r w:rsidRPr="0026741E">
              <w:rPr>
                <w:rFonts w:ascii="Arial" w:hAnsi="Arial" w:cs="Arial"/>
                <w:color w:val="333333"/>
                <w:sz w:val="20"/>
                <w:shd w:val="clear" w:color="auto" w:fill="FFFFFF"/>
              </w:rPr>
              <w:t>Công ty TNHH xuất nhập khẩu tổng hợp Nam Phú</w:t>
            </w:r>
            <w:r w:rsidRPr="0026741E">
              <w:rPr>
                <w:rFonts w:ascii="Arial" w:hAnsi="Arial" w:cs="Arial"/>
                <w:sz w:val="20"/>
              </w:rPr>
              <w:t xml:space="preserve"> </w:t>
            </w:r>
          </w:p>
          <w:p w14:paraId="6E10CE40" w14:textId="77777777" w:rsidR="00265D54" w:rsidRPr="0026741E" w:rsidRDefault="00265D54" w:rsidP="008147DB">
            <w:pPr>
              <w:pStyle w:val="BodyTextIndent"/>
              <w:spacing w:before="40" w:after="40" w:line="240" w:lineRule="auto"/>
              <w:ind w:left="0"/>
              <w:rPr>
                <w:rFonts w:ascii="Arial" w:hAnsi="Arial" w:cs="Arial"/>
                <w:b/>
                <w:sz w:val="20"/>
              </w:rPr>
            </w:pPr>
            <w:r w:rsidRPr="0026741E">
              <w:rPr>
                <w:rFonts w:ascii="Arial" w:hAnsi="Arial" w:cs="Arial"/>
                <w:sz w:val="20"/>
              </w:rPr>
              <w:t>Class 05: Pharmaceutical preparations</w:t>
            </w:r>
          </w:p>
        </w:tc>
        <w:tc>
          <w:tcPr>
            <w:tcW w:w="3969" w:type="dxa"/>
            <w:shd w:val="clear" w:color="auto" w:fill="auto"/>
          </w:tcPr>
          <w:p w14:paraId="15C562D1" w14:textId="77777777" w:rsidR="00265D54" w:rsidRPr="0026741E" w:rsidRDefault="00265D54" w:rsidP="008147DB">
            <w:pPr>
              <w:pStyle w:val="BodyTextIndent"/>
              <w:spacing w:before="40" w:after="40" w:line="240" w:lineRule="auto"/>
              <w:ind w:left="38"/>
              <w:rPr>
                <w:rFonts w:ascii="Arial" w:hAnsi="Arial" w:cs="Arial"/>
                <w:b/>
                <w:sz w:val="20"/>
              </w:rPr>
            </w:pPr>
            <w:r w:rsidRPr="0026741E">
              <w:rPr>
                <w:rFonts w:ascii="Arial" w:hAnsi="Arial" w:cs="Arial"/>
                <w:b/>
                <w:sz w:val="20"/>
                <w:u w:val="single"/>
              </w:rPr>
              <w:t>L</w:t>
            </w:r>
            <w:r w:rsidRPr="0026741E">
              <w:rPr>
                <w:rFonts w:ascii="Arial" w:hAnsi="Arial" w:cs="Arial"/>
                <w:b/>
                <w:sz w:val="20"/>
              </w:rPr>
              <w:t>AN</w:t>
            </w:r>
            <w:r w:rsidRPr="0026741E">
              <w:rPr>
                <w:rFonts w:ascii="Arial" w:hAnsi="Arial" w:cs="Arial"/>
                <w:b/>
                <w:sz w:val="20"/>
                <w:u w:val="single"/>
              </w:rPr>
              <w:t>D</w:t>
            </w:r>
            <w:r w:rsidRPr="0026741E">
              <w:rPr>
                <w:rFonts w:ascii="Arial" w:hAnsi="Arial" w:cs="Arial"/>
                <w:b/>
                <w:sz w:val="20"/>
              </w:rPr>
              <w:t>AGEL</w:t>
            </w:r>
          </w:p>
          <w:p w14:paraId="506C9F40"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Application No.: 4-2010-24815</w:t>
            </w:r>
          </w:p>
          <w:p w14:paraId="72264459"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Filing date: 25/11/2010</w:t>
            </w:r>
          </w:p>
          <w:p w14:paraId="4118EBF7"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Registration No.: 176089</w:t>
            </w:r>
          </w:p>
          <w:p w14:paraId="74213047"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Registration date: 22/11/2011</w:t>
            </w:r>
          </w:p>
          <w:p w14:paraId="384613EC"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Owner: Công ty cổ phần dược phẩm Khang Minh</w:t>
            </w:r>
          </w:p>
          <w:p w14:paraId="73770F96" w14:textId="77777777" w:rsidR="00265D54" w:rsidRPr="0026741E" w:rsidRDefault="00265D54" w:rsidP="008147DB">
            <w:pPr>
              <w:pStyle w:val="BodyTextIndent"/>
              <w:spacing w:before="40" w:after="40" w:line="240" w:lineRule="auto"/>
              <w:ind w:left="38"/>
              <w:rPr>
                <w:rFonts w:ascii="Arial" w:hAnsi="Arial" w:cs="Arial"/>
                <w:b/>
                <w:sz w:val="20"/>
              </w:rPr>
            </w:pPr>
            <w:r w:rsidRPr="0026741E">
              <w:rPr>
                <w:rFonts w:ascii="Arial" w:hAnsi="Arial" w:cs="Arial"/>
                <w:sz w:val="20"/>
              </w:rPr>
              <w:t>Class 05: Pharmaceutical preparations</w:t>
            </w:r>
          </w:p>
        </w:tc>
      </w:tr>
      <w:tr w:rsidR="00265D54" w:rsidRPr="0026741E" w14:paraId="43152E87" w14:textId="77777777" w:rsidTr="00C4660B">
        <w:tc>
          <w:tcPr>
            <w:tcW w:w="1620" w:type="dxa"/>
            <w:shd w:val="clear" w:color="auto" w:fill="auto"/>
          </w:tcPr>
          <w:p w14:paraId="77985B4E" w14:textId="77777777" w:rsidR="00265D54" w:rsidRPr="0026741E" w:rsidRDefault="00265D54" w:rsidP="008147DB">
            <w:pPr>
              <w:pStyle w:val="BodyTextIndent"/>
              <w:spacing w:before="40" w:after="40" w:line="240" w:lineRule="auto"/>
              <w:ind w:left="0"/>
              <w:rPr>
                <w:rFonts w:ascii="Arial" w:hAnsi="Arial" w:cs="Arial"/>
                <w:sz w:val="20"/>
                <w:lang w:val="es-ES"/>
              </w:rPr>
            </w:pPr>
            <w:r w:rsidRPr="0026741E">
              <w:rPr>
                <w:rFonts w:ascii="Arial" w:hAnsi="Arial" w:cs="Arial"/>
                <w:sz w:val="20"/>
              </w:rPr>
              <w:t>Trademark 3</w:t>
            </w:r>
          </w:p>
        </w:tc>
        <w:tc>
          <w:tcPr>
            <w:tcW w:w="4050" w:type="dxa"/>
            <w:shd w:val="clear" w:color="auto" w:fill="auto"/>
          </w:tcPr>
          <w:p w14:paraId="2AF3C3A9" w14:textId="77777777" w:rsidR="00265D54" w:rsidRPr="0026741E" w:rsidRDefault="00265D54" w:rsidP="008147DB">
            <w:pPr>
              <w:pStyle w:val="BodyTextIndent"/>
              <w:spacing w:before="40" w:after="40" w:line="240" w:lineRule="auto"/>
              <w:ind w:left="0"/>
              <w:rPr>
                <w:rFonts w:ascii="Arial" w:hAnsi="Arial" w:cs="Arial"/>
                <w:b/>
                <w:color w:val="333333"/>
                <w:sz w:val="20"/>
                <w:shd w:val="clear" w:color="auto" w:fill="FFFFFF"/>
              </w:rPr>
            </w:pPr>
            <w:r w:rsidRPr="0026741E">
              <w:rPr>
                <w:rFonts w:ascii="Arial" w:hAnsi="Arial" w:cs="Arial"/>
                <w:b/>
                <w:color w:val="333333"/>
                <w:sz w:val="20"/>
                <w:shd w:val="clear" w:color="auto" w:fill="FFFFFF"/>
              </w:rPr>
              <w:t>DERM</w:t>
            </w:r>
            <w:r w:rsidRPr="0026741E">
              <w:rPr>
                <w:rFonts w:ascii="Arial" w:hAnsi="Arial" w:cs="Arial"/>
                <w:b/>
                <w:color w:val="333333"/>
                <w:sz w:val="20"/>
                <w:u w:val="single"/>
                <w:shd w:val="clear" w:color="auto" w:fill="FFFFFF"/>
              </w:rPr>
              <w:t>Y</w:t>
            </w:r>
            <w:r w:rsidRPr="0026741E">
              <w:rPr>
                <w:rFonts w:ascii="Arial" w:hAnsi="Arial" w:cs="Arial"/>
                <w:b/>
                <w:color w:val="333333"/>
                <w:sz w:val="20"/>
                <w:shd w:val="clear" w:color="auto" w:fill="FFFFFF"/>
              </w:rPr>
              <w:t>COL</w:t>
            </w:r>
          </w:p>
          <w:p w14:paraId="64A5FBD7"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Application No.: </w:t>
            </w:r>
            <w:r w:rsidRPr="0026741E">
              <w:rPr>
                <w:rFonts w:ascii="Arial" w:hAnsi="Arial" w:cs="Arial"/>
                <w:color w:val="333333"/>
                <w:sz w:val="20"/>
                <w:shd w:val="clear" w:color="auto" w:fill="FFFFFF"/>
              </w:rPr>
              <w:t>4-1998-37839</w:t>
            </w:r>
          </w:p>
          <w:p w14:paraId="4EBB51F4"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Filing date: </w:t>
            </w:r>
            <w:r w:rsidRPr="0026741E">
              <w:rPr>
                <w:rFonts w:ascii="Arial" w:hAnsi="Arial" w:cs="Arial"/>
                <w:color w:val="333333"/>
                <w:sz w:val="20"/>
                <w:shd w:val="clear" w:color="auto" w:fill="FFFFFF"/>
              </w:rPr>
              <w:t>17/12/2018</w:t>
            </w:r>
          </w:p>
          <w:p w14:paraId="0343D83C"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Registration No.: </w:t>
            </w:r>
            <w:r w:rsidRPr="0026741E">
              <w:rPr>
                <w:rFonts w:ascii="Arial" w:hAnsi="Arial" w:cs="Arial"/>
                <w:color w:val="333333"/>
                <w:sz w:val="20"/>
                <w:shd w:val="clear" w:color="auto" w:fill="FFFFFF"/>
              </w:rPr>
              <w:t>31537</w:t>
            </w:r>
          </w:p>
          <w:p w14:paraId="5CCB1A10"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Registration date: </w:t>
            </w:r>
            <w:r w:rsidRPr="0026741E">
              <w:rPr>
                <w:rFonts w:ascii="Arial" w:hAnsi="Arial" w:cs="Arial"/>
                <w:color w:val="333333"/>
                <w:sz w:val="20"/>
                <w:shd w:val="clear" w:color="auto" w:fill="FFFFFF"/>
              </w:rPr>
              <w:t>13/07/1999</w:t>
            </w:r>
          </w:p>
          <w:p w14:paraId="76B3AE5B" w14:textId="77777777" w:rsidR="00265D54" w:rsidRPr="0026741E" w:rsidRDefault="00265D54" w:rsidP="008147DB">
            <w:pPr>
              <w:pStyle w:val="BodyTextIndent"/>
              <w:spacing w:before="40" w:after="40" w:line="240" w:lineRule="auto"/>
              <w:ind w:left="0"/>
              <w:rPr>
                <w:rFonts w:ascii="Arial" w:hAnsi="Arial" w:cs="Arial"/>
                <w:sz w:val="20"/>
              </w:rPr>
            </w:pPr>
            <w:r w:rsidRPr="0026741E">
              <w:rPr>
                <w:rFonts w:ascii="Arial" w:hAnsi="Arial" w:cs="Arial"/>
                <w:sz w:val="20"/>
              </w:rPr>
              <w:t xml:space="preserve">Owner: </w:t>
            </w:r>
            <w:r w:rsidRPr="0026741E">
              <w:rPr>
                <w:rFonts w:ascii="Arial" w:hAnsi="Arial" w:cs="Arial"/>
                <w:color w:val="333333"/>
                <w:sz w:val="20"/>
                <w:shd w:val="clear" w:color="auto" w:fill="FFFFFF"/>
              </w:rPr>
              <w:t>Công ty TNHH dược phẩm Sài Gòn</w:t>
            </w:r>
            <w:r w:rsidRPr="0026741E">
              <w:rPr>
                <w:rFonts w:ascii="Arial" w:hAnsi="Arial" w:cs="Arial"/>
                <w:sz w:val="20"/>
              </w:rPr>
              <w:t xml:space="preserve"> </w:t>
            </w:r>
          </w:p>
          <w:p w14:paraId="6634C208" w14:textId="77777777" w:rsidR="00265D54" w:rsidRPr="0026741E" w:rsidRDefault="00265D54" w:rsidP="008147DB">
            <w:pPr>
              <w:pStyle w:val="BodyTextIndent"/>
              <w:spacing w:before="40" w:after="40" w:line="240" w:lineRule="auto"/>
              <w:ind w:left="0"/>
              <w:rPr>
                <w:rFonts w:ascii="Arial" w:hAnsi="Arial" w:cs="Arial"/>
                <w:sz w:val="20"/>
                <w:lang w:val="es-ES"/>
              </w:rPr>
            </w:pPr>
            <w:r w:rsidRPr="0026741E">
              <w:rPr>
                <w:rFonts w:ascii="Arial" w:hAnsi="Arial" w:cs="Arial"/>
                <w:sz w:val="20"/>
              </w:rPr>
              <w:t>Class 05: Pharmaceutical preparations</w:t>
            </w:r>
          </w:p>
        </w:tc>
        <w:tc>
          <w:tcPr>
            <w:tcW w:w="3969" w:type="dxa"/>
            <w:shd w:val="clear" w:color="auto" w:fill="auto"/>
          </w:tcPr>
          <w:p w14:paraId="1104992E" w14:textId="77777777" w:rsidR="00265D54" w:rsidRPr="0026741E" w:rsidRDefault="00265D54" w:rsidP="008147DB">
            <w:pPr>
              <w:pStyle w:val="BodyTextIndent"/>
              <w:spacing w:before="40" w:after="40" w:line="240" w:lineRule="auto"/>
              <w:ind w:left="38"/>
              <w:rPr>
                <w:rFonts w:ascii="Arial" w:hAnsi="Arial" w:cs="Arial"/>
                <w:b/>
                <w:color w:val="444444"/>
                <w:sz w:val="20"/>
                <w:shd w:val="clear" w:color="auto" w:fill="EBEBEB"/>
              </w:rPr>
            </w:pPr>
            <w:r w:rsidRPr="0026741E">
              <w:rPr>
                <w:rFonts w:ascii="Arial" w:hAnsi="Arial" w:cs="Arial"/>
                <w:b/>
                <w:sz w:val="20"/>
              </w:rPr>
              <w:t>DERM</w:t>
            </w:r>
            <w:r w:rsidRPr="0026741E">
              <w:rPr>
                <w:rFonts w:ascii="Arial" w:hAnsi="Arial" w:cs="Arial"/>
                <w:b/>
                <w:sz w:val="20"/>
                <w:u w:val="single"/>
              </w:rPr>
              <w:t>A</w:t>
            </w:r>
            <w:r w:rsidRPr="0026741E">
              <w:rPr>
                <w:rFonts w:ascii="Arial" w:hAnsi="Arial" w:cs="Arial"/>
                <w:b/>
                <w:sz w:val="20"/>
              </w:rPr>
              <w:t>COL</w:t>
            </w:r>
          </w:p>
          <w:p w14:paraId="78753F3E"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 xml:space="preserve">Application No.: </w:t>
            </w:r>
            <w:r w:rsidRPr="0026741E">
              <w:rPr>
                <w:rFonts w:ascii="Arial" w:hAnsi="Arial" w:cs="Arial"/>
                <w:color w:val="333333"/>
                <w:sz w:val="20"/>
                <w:shd w:val="clear" w:color="auto" w:fill="FFFFFF"/>
              </w:rPr>
              <w:t>4-2001-01806</w:t>
            </w:r>
          </w:p>
          <w:p w14:paraId="45081CF1"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 xml:space="preserve">Filing date: </w:t>
            </w:r>
            <w:r w:rsidRPr="0026741E">
              <w:rPr>
                <w:rFonts w:ascii="Arial" w:hAnsi="Arial" w:cs="Arial"/>
                <w:color w:val="333333"/>
                <w:sz w:val="20"/>
                <w:shd w:val="clear" w:color="auto" w:fill="FFFFFF"/>
              </w:rPr>
              <w:t>17/12/2018</w:t>
            </w:r>
          </w:p>
          <w:p w14:paraId="634B2749"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 xml:space="preserve">Registration No.: </w:t>
            </w:r>
            <w:r w:rsidRPr="0026741E">
              <w:rPr>
                <w:rFonts w:ascii="Arial" w:hAnsi="Arial" w:cs="Arial"/>
                <w:color w:val="333333"/>
                <w:sz w:val="20"/>
                <w:shd w:val="clear" w:color="auto" w:fill="FFFFFF"/>
              </w:rPr>
              <w:t>45033</w:t>
            </w:r>
          </w:p>
          <w:p w14:paraId="552EFE46"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 xml:space="preserve">Registration date: </w:t>
            </w:r>
            <w:r w:rsidRPr="0026741E">
              <w:rPr>
                <w:rFonts w:ascii="Arial" w:hAnsi="Arial" w:cs="Arial"/>
                <w:color w:val="333333"/>
                <w:sz w:val="20"/>
                <w:shd w:val="clear" w:color="auto" w:fill="FFFFFF"/>
              </w:rPr>
              <w:t>25/04/2001</w:t>
            </w:r>
          </w:p>
          <w:p w14:paraId="06DDACB5" w14:textId="77777777" w:rsidR="00265D54" w:rsidRPr="0026741E" w:rsidRDefault="00265D54" w:rsidP="008147DB">
            <w:pPr>
              <w:pStyle w:val="BodyTextIndent"/>
              <w:spacing w:before="40" w:after="40" w:line="240" w:lineRule="auto"/>
              <w:ind w:left="38"/>
              <w:rPr>
                <w:rFonts w:ascii="Arial" w:hAnsi="Arial" w:cs="Arial"/>
                <w:sz w:val="20"/>
              </w:rPr>
            </w:pPr>
            <w:r w:rsidRPr="0026741E">
              <w:rPr>
                <w:rFonts w:ascii="Arial" w:hAnsi="Arial" w:cs="Arial"/>
                <w:sz w:val="20"/>
              </w:rPr>
              <w:t xml:space="preserve">Owner: </w:t>
            </w:r>
            <w:r w:rsidRPr="0026741E">
              <w:rPr>
                <w:rFonts w:ascii="Arial" w:hAnsi="Arial" w:cs="Arial"/>
                <w:color w:val="333333"/>
                <w:sz w:val="20"/>
                <w:shd w:val="clear" w:color="auto" w:fill="FFFFFF"/>
              </w:rPr>
              <w:t>Công ty cổ phần dược phẩm Nam Hà</w:t>
            </w:r>
          </w:p>
          <w:p w14:paraId="0137571A" w14:textId="2E07F3D5" w:rsidR="00265D54" w:rsidRPr="0026741E" w:rsidRDefault="00572E81" w:rsidP="008147DB">
            <w:pPr>
              <w:pStyle w:val="BodyTextIndent"/>
              <w:spacing w:before="40" w:after="40" w:line="240" w:lineRule="auto"/>
              <w:ind w:left="38"/>
              <w:rPr>
                <w:rFonts w:ascii="Arial" w:hAnsi="Arial" w:cs="Arial"/>
                <w:sz w:val="20"/>
                <w:lang w:val="es-ES"/>
              </w:rPr>
            </w:pPr>
            <w:r w:rsidRPr="0026741E">
              <w:rPr>
                <w:rFonts w:ascii="Arial" w:hAnsi="Arial" w:cs="Arial"/>
                <w:sz w:val="20"/>
              </w:rPr>
              <w:t>Class 05: Pharmaceutical preparations</w:t>
            </w:r>
          </w:p>
        </w:tc>
      </w:tr>
    </w:tbl>
    <w:p w14:paraId="3E2D8D4C" w14:textId="2144244F" w:rsidR="00265D54" w:rsidRPr="0026741E" w:rsidRDefault="00F72F30" w:rsidP="00744F68">
      <w:pPr>
        <w:spacing w:after="0" w:line="240" w:lineRule="auto"/>
        <w:jc w:val="both"/>
        <w:rPr>
          <w:rFonts w:ascii="Arial" w:hAnsi="Arial" w:cs="Arial"/>
          <w:sz w:val="20"/>
          <w:szCs w:val="20"/>
          <w:lang w:val="es-ES"/>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26C51626" wp14:editId="2A56FAC4">
                <wp:simplePos x="0" y="0"/>
                <wp:positionH relativeFrom="column">
                  <wp:posOffset>6404610</wp:posOffset>
                </wp:positionH>
                <wp:positionV relativeFrom="paragraph">
                  <wp:posOffset>-3749040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8C0E9" w14:textId="77777777" w:rsidR="00F72F30" w:rsidRPr="00BA68B8" w:rsidRDefault="00F72F30" w:rsidP="00F72F30">
                            <w:pPr>
                              <w:spacing w:after="0" w:line="240" w:lineRule="auto"/>
                              <w:rPr>
                                <w:rFonts w:ascii="Arial" w:hAnsi="Arial" w:cs="Arial"/>
                                <w:b/>
                                <w:color w:val="FFFFFF" w:themeColor="background1"/>
                                <w:sz w:val="20"/>
                                <w:szCs w:val="20"/>
                              </w:rPr>
                            </w:pPr>
                            <w:r w:rsidRPr="008147DB">
                              <w:rPr>
                                <w:rFonts w:ascii="Arial" w:hAnsi="Arial" w:cs="Arial"/>
                                <w:b/>
                                <w:bCs/>
                                <w:color w:val="FFFFFF" w:themeColor="background1"/>
                                <w:sz w:val="20"/>
                                <w:szCs w:val="20"/>
                              </w:rPr>
                              <w:t>Pharmaceutical Trademark Opposed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51626" id="Rectangle 2" o:spid="_x0000_s1029" style="position:absolute;left:0;text-align:left;margin-left:504.3pt;margin-top:-295.2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" fillcolor="#00b39c" strokecolor="#00b39c" strokeweight="0">
                <v:textbox style="layout-flow:vertical">
                  <w:txbxContent>
                    <w:p w14:paraId="2368C0E9" w14:textId="77777777" w:rsidR="00F72F30" w:rsidRPr="00BA68B8" w:rsidRDefault="00F72F30" w:rsidP="00F72F30">
                      <w:pPr>
                        <w:spacing w:after="0" w:line="240" w:lineRule="auto"/>
                        <w:rPr>
                          <w:rFonts w:ascii="Arial" w:hAnsi="Arial" w:cs="Arial"/>
                          <w:b/>
                          <w:color w:val="FFFFFF" w:themeColor="background1"/>
                          <w:sz w:val="20"/>
                          <w:szCs w:val="20"/>
                        </w:rPr>
                      </w:pPr>
                      <w:r w:rsidRPr="008147DB">
                        <w:rPr>
                          <w:rFonts w:ascii="Arial" w:hAnsi="Arial" w:cs="Arial"/>
                          <w:b/>
                          <w:bCs/>
                          <w:color w:val="FFFFFF" w:themeColor="background1"/>
                          <w:sz w:val="20"/>
                          <w:szCs w:val="20"/>
                        </w:rPr>
                        <w:t>Pharmaceutical Trademark Opposed in Vietnam</w:t>
                      </w:r>
                    </w:p>
                  </w:txbxContent>
                </v:textbox>
              </v:rect>
            </w:pict>
          </mc:Fallback>
        </mc:AlternateContent>
      </w:r>
      <w:r w:rsidR="00265D54" w:rsidRPr="0026741E">
        <w:rPr>
          <w:rFonts w:ascii="Arial" w:hAnsi="Arial" w:cs="Arial"/>
          <w:sz w:val="20"/>
          <w:szCs w:val="20"/>
          <w:lang w:val="es-ES"/>
        </w:rPr>
        <w:t xml:space="preserve"> </w:t>
      </w:r>
    </w:p>
    <w:p w14:paraId="749271F3" w14:textId="77777777" w:rsidR="00265D54" w:rsidRPr="00B972CA" w:rsidRDefault="00265D54" w:rsidP="00744F68">
      <w:pPr>
        <w:spacing w:after="0" w:line="240" w:lineRule="auto"/>
        <w:jc w:val="both"/>
        <w:rPr>
          <w:rFonts w:ascii="Arial" w:hAnsi="Arial" w:cs="Arial"/>
          <w:b/>
          <w:bCs/>
          <w:color w:val="2F5496" w:themeColor="accent1" w:themeShade="BF"/>
          <w:lang w:val="es-ES"/>
        </w:rPr>
      </w:pPr>
      <w:r w:rsidRPr="00B972CA">
        <w:rPr>
          <w:rFonts w:ascii="Arial" w:hAnsi="Arial" w:cs="Arial"/>
          <w:b/>
          <w:bCs/>
          <w:color w:val="2F5496" w:themeColor="accent1" w:themeShade="BF"/>
          <w:lang w:val="es-ES"/>
        </w:rPr>
        <w:t>Final thoughts</w:t>
      </w:r>
    </w:p>
    <w:p w14:paraId="312A7336" w14:textId="77777777" w:rsidR="00265D54" w:rsidRPr="0026741E" w:rsidRDefault="00265D54" w:rsidP="00744F68">
      <w:pPr>
        <w:spacing w:after="0" w:line="240" w:lineRule="auto"/>
        <w:jc w:val="both"/>
        <w:rPr>
          <w:rFonts w:ascii="Arial" w:hAnsi="Arial" w:cs="Arial"/>
          <w:b/>
          <w:bCs/>
          <w:sz w:val="20"/>
          <w:szCs w:val="20"/>
          <w:lang w:val="es-ES"/>
        </w:rPr>
      </w:pPr>
    </w:p>
    <w:p w14:paraId="4492A2E0" w14:textId="77777777" w:rsidR="00265D54" w:rsidRPr="0026741E" w:rsidRDefault="00265D54" w:rsidP="00744F68">
      <w:pPr>
        <w:spacing w:after="0" w:line="240" w:lineRule="auto"/>
        <w:jc w:val="both"/>
        <w:rPr>
          <w:rFonts w:ascii="Arial" w:hAnsi="Arial" w:cs="Arial"/>
          <w:sz w:val="20"/>
          <w:szCs w:val="20"/>
        </w:rPr>
      </w:pPr>
      <w:r w:rsidRPr="0026741E">
        <w:rPr>
          <w:rFonts w:ascii="Arial" w:hAnsi="Arial" w:cs="Arial"/>
          <w:sz w:val="20"/>
          <w:szCs w:val="20"/>
        </w:rPr>
        <w:t>Trademark oppositions often present formidable challenges and require strategic legal expertise, particularly when the prior trademark owner presents substantial evidence of prior use or registration, including favorable decisions from Vietnamese authorities. However, with a thorough analysis of the specific facts, a comprehensive understanding of Vietnamese trademark law and practice, and a strategic approach, it is possible to achieve a favorable outcome and secure your trademark rights. KENFOX's success in the "VILDAREL" case exemplifies our ability to develop and execute effective strategies, securing our clients' trademark rights and enabling their continued brand development.</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725DFF3A" w14:textId="288FA3FC" w:rsidR="0028065E" w:rsidRDefault="009948E5" w:rsidP="0028065E">
      <w:pPr>
        <w:spacing w:after="0" w:line="240" w:lineRule="auto"/>
        <w:jc w:val="right"/>
        <w:rPr>
          <w:rFonts w:ascii="Arial" w:hAnsi="Arial" w:cs="Arial"/>
          <w:b/>
          <w:sz w:val="20"/>
          <w:szCs w:val="20"/>
        </w:rPr>
      </w:pPr>
      <w:hyperlink r:id="rId16" w:history="1">
        <w:r w:rsidR="0028065E" w:rsidRPr="009948E5">
          <w:rPr>
            <w:rFonts w:ascii="Arial" w:hAnsi="Arial" w:cs="Arial"/>
            <w:b/>
            <w:sz w:val="20"/>
            <w:szCs w:val="20"/>
          </w:rPr>
          <w:t>QUAN, Nguyen Vu</w:t>
        </w:r>
      </w:hyperlink>
      <w:r w:rsidR="0028065E" w:rsidRPr="0090530A">
        <w:rPr>
          <w:rFonts w:ascii="Arial" w:hAnsi="Arial" w:cs="Arial"/>
          <w:b/>
          <w:sz w:val="20"/>
          <w:szCs w:val="20"/>
        </w:rPr>
        <w:t xml:space="preserve"> | Partner, IP Attorney</w:t>
      </w:r>
    </w:p>
    <w:p w14:paraId="26625EF7" w14:textId="40DF743B" w:rsidR="0028065E" w:rsidRDefault="009948E5" w:rsidP="0028065E">
      <w:pPr>
        <w:spacing w:after="0" w:line="240" w:lineRule="auto"/>
        <w:jc w:val="right"/>
        <w:rPr>
          <w:rFonts w:ascii="Arial" w:hAnsi="Arial" w:cs="Arial"/>
          <w:b/>
          <w:sz w:val="20"/>
          <w:szCs w:val="20"/>
        </w:rPr>
      </w:pPr>
      <w:hyperlink r:id="rId17" w:history="1">
        <w:r w:rsidR="0028065E" w:rsidRPr="009948E5">
          <w:rPr>
            <w:rFonts w:ascii="Arial" w:hAnsi="Arial" w:cs="Arial"/>
            <w:b/>
            <w:sz w:val="20"/>
            <w:szCs w:val="20"/>
          </w:rPr>
          <w:t>HONG, Hoang Thi Tuyet</w:t>
        </w:r>
      </w:hyperlink>
      <w:r w:rsidR="0028065E" w:rsidRPr="0090530A">
        <w:rPr>
          <w:rFonts w:ascii="Arial" w:hAnsi="Arial" w:cs="Arial"/>
          <w:b/>
          <w:sz w:val="20"/>
          <w:szCs w:val="20"/>
        </w:rPr>
        <w:t xml:space="preserve"> | Senior Trademark Attorney</w:t>
      </w:r>
    </w:p>
    <w:p w14:paraId="098CA7F5" w14:textId="452E7A13" w:rsidR="009948E5" w:rsidRDefault="009948E5" w:rsidP="009948E5">
      <w:pPr>
        <w:spacing w:after="0" w:line="240" w:lineRule="auto"/>
        <w:jc w:val="right"/>
        <w:rPr>
          <w:rFonts w:ascii="Arial" w:hAnsi="Arial" w:cs="Arial"/>
          <w:b/>
          <w:sz w:val="20"/>
          <w:szCs w:val="20"/>
        </w:rPr>
      </w:pPr>
      <w:hyperlink r:id="rId18" w:history="1">
        <w:r w:rsidRPr="009948E5">
          <w:rPr>
            <w:rFonts w:ascii="Arial" w:hAnsi="Arial" w:cs="Arial"/>
            <w:b/>
            <w:sz w:val="20"/>
            <w:szCs w:val="20"/>
          </w:rPr>
          <w:t>Ly, Dinh Trang</w:t>
        </w:r>
      </w:hyperlink>
      <w:r>
        <w:rPr>
          <w:rFonts w:ascii="Arial" w:hAnsi="Arial" w:cs="Arial"/>
          <w:b/>
          <w:sz w:val="20"/>
          <w:szCs w:val="20"/>
        </w:rPr>
        <w:t xml:space="preserve"> </w:t>
      </w:r>
      <w:r w:rsidRPr="0090530A">
        <w:rPr>
          <w:rFonts w:ascii="Arial" w:hAnsi="Arial" w:cs="Arial"/>
          <w:b/>
          <w:sz w:val="20"/>
          <w:szCs w:val="20"/>
        </w:rPr>
        <w:t>| Associate</w:t>
      </w:r>
    </w:p>
    <w:p w14:paraId="45A0FC20" w14:textId="77777777" w:rsidR="0028065E" w:rsidRDefault="0028065E" w:rsidP="0028065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bookmarkStart w:id="2" w:name="_GoBack"/>
      <w:bookmarkEnd w:id="2"/>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97F08" w14:textId="77777777" w:rsidR="00A56DB6" w:rsidRDefault="00A56DB6">
      <w:pPr>
        <w:spacing w:after="0" w:line="240" w:lineRule="auto"/>
      </w:pPr>
      <w:r>
        <w:separator/>
      </w:r>
    </w:p>
  </w:endnote>
  <w:endnote w:type="continuationSeparator" w:id="0">
    <w:p w14:paraId="49B61750" w14:textId="77777777" w:rsidR="00A56DB6" w:rsidRDefault="00A5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A56DB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A56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515F9" w14:textId="77777777" w:rsidR="00A56DB6" w:rsidRDefault="00A56DB6">
      <w:pPr>
        <w:spacing w:after="0" w:line="240" w:lineRule="auto"/>
      </w:pPr>
      <w:r>
        <w:separator/>
      </w:r>
    </w:p>
  </w:footnote>
  <w:footnote w:type="continuationSeparator" w:id="0">
    <w:p w14:paraId="3DB72D4C" w14:textId="77777777" w:rsidR="00A56DB6" w:rsidRDefault="00A56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F41F7"/>
    <w:multiLevelType w:val="hybridMultilevel"/>
    <w:tmpl w:val="A578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8"/>
  </w:num>
  <w:num w:numId="16">
    <w:abstractNumId w:val="17"/>
  </w:num>
  <w:num w:numId="17">
    <w:abstractNumId w:val="2"/>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65D54"/>
    <w:rsid w:val="002753DD"/>
    <w:rsid w:val="0028065E"/>
    <w:rsid w:val="002B63C0"/>
    <w:rsid w:val="0032315D"/>
    <w:rsid w:val="0033574A"/>
    <w:rsid w:val="003756D4"/>
    <w:rsid w:val="003D7C8C"/>
    <w:rsid w:val="003E03BE"/>
    <w:rsid w:val="004A1761"/>
    <w:rsid w:val="004D64BC"/>
    <w:rsid w:val="00531173"/>
    <w:rsid w:val="00572E81"/>
    <w:rsid w:val="00576438"/>
    <w:rsid w:val="005D32F9"/>
    <w:rsid w:val="00631122"/>
    <w:rsid w:val="00675D62"/>
    <w:rsid w:val="006C0389"/>
    <w:rsid w:val="006F1BC0"/>
    <w:rsid w:val="007375E8"/>
    <w:rsid w:val="00744F68"/>
    <w:rsid w:val="00745E08"/>
    <w:rsid w:val="007730A1"/>
    <w:rsid w:val="007B132A"/>
    <w:rsid w:val="007C392A"/>
    <w:rsid w:val="00813493"/>
    <w:rsid w:val="008147DB"/>
    <w:rsid w:val="00820E66"/>
    <w:rsid w:val="008366D4"/>
    <w:rsid w:val="008416E5"/>
    <w:rsid w:val="00933532"/>
    <w:rsid w:val="009948E5"/>
    <w:rsid w:val="00A4177F"/>
    <w:rsid w:val="00A56DB6"/>
    <w:rsid w:val="00A623C4"/>
    <w:rsid w:val="00AC74F1"/>
    <w:rsid w:val="00AF0703"/>
    <w:rsid w:val="00C13ACF"/>
    <w:rsid w:val="00C4660B"/>
    <w:rsid w:val="00CA3F97"/>
    <w:rsid w:val="00CE035D"/>
    <w:rsid w:val="00D02775"/>
    <w:rsid w:val="00D03044"/>
    <w:rsid w:val="00D04B4E"/>
    <w:rsid w:val="00D417C1"/>
    <w:rsid w:val="00D645F2"/>
    <w:rsid w:val="00D75958"/>
    <w:rsid w:val="00D9190F"/>
    <w:rsid w:val="00E02884"/>
    <w:rsid w:val="00EC12BB"/>
    <w:rsid w:val="00EC5B6B"/>
    <w:rsid w:val="00F7004B"/>
    <w:rsid w:val="00F72F30"/>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paragraph" w:styleId="BodyTextIndent">
    <w:name w:val="Body Text Indent"/>
    <w:basedOn w:val="Normal"/>
    <w:link w:val="BodyTextIndentChar"/>
    <w:uiPriority w:val="99"/>
    <w:semiHidden/>
    <w:unhideWhenUsed/>
    <w:rsid w:val="00265D54"/>
    <w:pPr>
      <w:spacing w:after="120"/>
      <w:ind w:left="360"/>
    </w:pPr>
  </w:style>
  <w:style w:type="character" w:customStyle="1" w:styleId="BodyTextIndentChar">
    <w:name w:val="Body Text Indent Char"/>
    <w:basedOn w:val="DefaultParagraphFont"/>
    <w:link w:val="BodyTextIndent"/>
    <w:uiPriority w:val="99"/>
    <w:semiHidden/>
    <w:rsid w:val="0026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pplatform.gov.vn:88/TM_PIC_LOCATION/2020_2020/3/6614083Pictu001.jpg" TargetMode="External"/><Relationship Id="rId13" Type="http://schemas.openxmlformats.org/officeDocument/2006/relationships/hyperlink" Target="https://kenfoxlaw.com/trademark-registration-in-vietnam-what-you-need-to-know" TargetMode="External"/><Relationship Id="rId18" Type="http://schemas.openxmlformats.org/officeDocument/2006/relationships/hyperlink" Target="https://kenfoxlaw.com/professional_item/ms-dinh-trang-l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enfoxlaw.com/filing-an-opposition-or-a-third-party-observation-in-vietnam-which-option-is-better" TargetMode="External"/><Relationship Id="rId12" Type="http://schemas.openxmlformats.org/officeDocument/2006/relationships/hyperlink" Target="https://kenfoxlaw.com/how-to-successfully-argue-wide-use-evidence-in-trademark-opposition-and-cancellation-cases-in-vietnam" TargetMode="External"/><Relationship Id="rId17" Type="http://schemas.openxmlformats.org/officeDocument/2006/relationships/hyperlink" Target="https://kenfoxlaw.com/professional_item/ms-hoang-thi-tuyet-hong" TargetMode="External"/><Relationship Id="rId2" Type="http://schemas.openxmlformats.org/officeDocument/2006/relationships/styles" Target="styles.xml"/><Relationship Id="rId16" Type="http://schemas.openxmlformats.org/officeDocument/2006/relationships/hyperlink" Target="https://kenfoxlaw.com/professional_item/mr-nguyen-vu-qu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olor-trademark-litigation-key-takeaways-for-companies-in-vietnam" TargetMode="External"/><Relationship Id="rId5" Type="http://schemas.openxmlformats.org/officeDocument/2006/relationships/footnotes" Target="footnotes.xml"/><Relationship Id="rId15" Type="http://schemas.openxmlformats.org/officeDocument/2006/relationships/hyperlink" Target="https://kenfoxlaw.com/pre-filing-trademark-search-in-vietnam-a-small-but-significant-step" TargetMode="External"/><Relationship Id="rId10" Type="http://schemas.openxmlformats.org/officeDocument/2006/relationships/hyperlink" Target="https://kenfoxlaw.com/trademark-oppositions-in-vietnam-what-grounds-and-how-to-effectively-appl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ip-assessment-and-dispute-resolution-in-vietnam-vipris-contributions-and-statistics" TargetMode="External"/><Relationship Id="rId14" Type="http://schemas.openxmlformats.org/officeDocument/2006/relationships/hyperlink" Target="https://kenfoxlaw.com/combating-ip-infringement-effectively-why-multi-form-protection-is-essential-in-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2024-10-14T07:18:00Z</dcterms:modified>
</cp:coreProperties>
</file>