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F16A40B" w:rsidR="00E93403" w:rsidRPr="00BA68B8" w:rsidRDefault="004F5DFB" w:rsidP="00E93403">
                            <w:pPr>
                              <w:spacing w:after="0" w:line="240" w:lineRule="auto"/>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3F16A40B" w:rsidR="00E93403" w:rsidRPr="00BA68B8" w:rsidRDefault="004F5DFB" w:rsidP="00E93403">
                      <w:pPr>
                        <w:spacing w:after="0" w:line="240" w:lineRule="auto"/>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51C9EAF8" w:rsidR="00216422" w:rsidRPr="00CC7576" w:rsidRDefault="004F5DFB" w:rsidP="00216422">
                            <w:pPr>
                              <w:spacing w:after="0"/>
                              <w:jc w:val="center"/>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51C9EAF8" w:rsidR="00216422" w:rsidRPr="00CC7576" w:rsidRDefault="004F5DFB" w:rsidP="00216422">
                      <w:pPr>
                        <w:spacing w:after="0"/>
                        <w:jc w:val="center"/>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v:textbox>
                <w10:wrap anchorx="page"/>
              </v:rect>
            </w:pict>
          </mc:Fallback>
        </mc:AlternateContent>
      </w:r>
      <w:bookmarkStart w:id="0" w:name="_Hlk110501394"/>
      <w:bookmarkStart w:id="1" w:name="_Hlk110501351"/>
    </w:p>
    <w:p w14:paraId="080FC3AB" w14:textId="77777777" w:rsidR="003970B8" w:rsidRDefault="003970B8" w:rsidP="003970B8">
      <w:pPr>
        <w:spacing w:after="0" w:line="240" w:lineRule="auto"/>
        <w:jc w:val="center"/>
        <w:rPr>
          <w:rFonts w:ascii="Arial" w:hAnsi="Arial" w:cs="Arial"/>
          <w:b/>
          <w:bCs/>
          <w:color w:val="C00000"/>
          <w:sz w:val="24"/>
          <w:szCs w:val="24"/>
        </w:rPr>
      </w:pPr>
      <w:bookmarkStart w:id="2" w:name="_Hlk177564672"/>
      <w:bookmarkEnd w:id="0"/>
      <w:r>
        <w:rPr>
          <w:rFonts w:ascii="Arial" w:hAnsi="Arial" w:cs="Arial"/>
          <w:b/>
          <w:bCs/>
          <w:color w:val="C00000"/>
          <w:sz w:val="24"/>
          <w:szCs w:val="24"/>
        </w:rPr>
        <w:t xml:space="preserve">Industrial Design </w:t>
      </w:r>
      <w:r w:rsidRPr="007D089C">
        <w:rPr>
          <w:rFonts w:ascii="Arial" w:hAnsi="Arial" w:cs="Arial"/>
          <w:b/>
          <w:bCs/>
          <w:color w:val="C00000"/>
          <w:sz w:val="24"/>
          <w:szCs w:val="24"/>
        </w:rPr>
        <w:t>Law in Vietnam: A Comprehensive Overview</w:t>
      </w:r>
    </w:p>
    <w:p w14:paraId="5FD21B89" w14:textId="77777777" w:rsidR="003970B8" w:rsidRDefault="003970B8" w:rsidP="003970B8">
      <w:pPr>
        <w:spacing w:after="0" w:line="240" w:lineRule="auto"/>
        <w:jc w:val="center"/>
        <w:rPr>
          <w:rFonts w:ascii="Arial" w:hAnsi="Arial" w:cs="Arial"/>
          <w:b/>
          <w:bCs/>
          <w:color w:val="C00000"/>
          <w:sz w:val="24"/>
          <w:szCs w:val="24"/>
        </w:rPr>
      </w:pPr>
    </w:p>
    <w:p w14:paraId="1A773B40" w14:textId="77777777" w:rsidR="003970B8" w:rsidRPr="00614619" w:rsidRDefault="003970B8" w:rsidP="003970B8">
      <w:pPr>
        <w:spacing w:after="0" w:line="240" w:lineRule="auto"/>
        <w:jc w:val="both"/>
        <w:rPr>
          <w:rFonts w:ascii="Arial" w:hAnsi="Arial" w:cs="Arial"/>
          <w:b/>
          <w:bCs/>
          <w:color w:val="C00000"/>
          <w:sz w:val="20"/>
          <w:szCs w:val="20"/>
        </w:rPr>
      </w:pPr>
      <w:r w:rsidRPr="00055D3E">
        <w:rPr>
          <w:rFonts w:ascii="Arial" w:hAnsi="Arial" w:cs="Arial"/>
          <w:sz w:val="20"/>
          <w:szCs w:val="20"/>
        </w:rPr>
        <w:t xml:space="preserve">Vietnam does not have a separate </w:t>
      </w:r>
      <w:r>
        <w:rPr>
          <w:rFonts w:ascii="Arial" w:hAnsi="Arial" w:cs="Arial"/>
          <w:sz w:val="20"/>
          <w:szCs w:val="20"/>
        </w:rPr>
        <w:t xml:space="preserve">industrial design </w:t>
      </w:r>
      <w:r w:rsidRPr="00055D3E">
        <w:rPr>
          <w:rFonts w:ascii="Arial" w:hAnsi="Arial" w:cs="Arial"/>
          <w:sz w:val="20"/>
          <w:szCs w:val="20"/>
        </w:rPr>
        <w:t>law.</w:t>
      </w:r>
      <w:r w:rsidRPr="00614619">
        <w:rPr>
          <w:rFonts w:ascii="Arial" w:hAnsi="Arial" w:cs="Arial"/>
          <w:sz w:val="20"/>
          <w:szCs w:val="20"/>
        </w:rPr>
        <w:t xml:space="preserve"> Vietnam’s legal framework for </w:t>
      </w:r>
      <w:r>
        <w:rPr>
          <w:rFonts w:ascii="Arial" w:hAnsi="Arial" w:cs="Arial"/>
          <w:sz w:val="20"/>
          <w:szCs w:val="20"/>
        </w:rPr>
        <w:t xml:space="preserve">industrial design </w:t>
      </w:r>
      <w:r w:rsidRPr="00614619">
        <w:rPr>
          <w:rFonts w:ascii="Arial" w:hAnsi="Arial" w:cs="Arial"/>
          <w:sz w:val="20"/>
          <w:szCs w:val="20"/>
        </w:rPr>
        <w:t xml:space="preserve">protection is integrated within its broader </w:t>
      </w:r>
      <w:r w:rsidRPr="00614619">
        <w:rPr>
          <w:rStyle w:val="Strong"/>
          <w:rFonts w:ascii="Arial" w:hAnsi="Arial" w:cs="Arial"/>
          <w:sz w:val="20"/>
          <w:szCs w:val="20"/>
        </w:rPr>
        <w:t>Law on Intellectual Property</w:t>
      </w:r>
      <w:r w:rsidRPr="00614619">
        <w:rPr>
          <w:rFonts w:ascii="Arial" w:hAnsi="Arial" w:cs="Arial"/>
          <w:sz w:val="20"/>
          <w:szCs w:val="20"/>
        </w:rPr>
        <w:t xml:space="preserve"> (</w:t>
      </w:r>
      <w:r w:rsidRPr="00614619">
        <w:rPr>
          <w:rFonts w:ascii="Arial" w:hAnsi="Arial" w:cs="Arial"/>
          <w:b/>
          <w:bCs/>
          <w:sz w:val="20"/>
          <w:szCs w:val="20"/>
        </w:rPr>
        <w:t>IP Law</w:t>
      </w:r>
      <w:r w:rsidRPr="00614619">
        <w:rPr>
          <w:rFonts w:ascii="Arial" w:hAnsi="Arial" w:cs="Arial"/>
          <w:sz w:val="20"/>
          <w:szCs w:val="20"/>
        </w:rPr>
        <w:t xml:space="preserve">), first enacted in 2005. Rather than having a standalone </w:t>
      </w:r>
      <w:r>
        <w:rPr>
          <w:rFonts w:ascii="Arial" w:hAnsi="Arial" w:cs="Arial"/>
          <w:sz w:val="20"/>
          <w:szCs w:val="20"/>
        </w:rPr>
        <w:t>industrial design</w:t>
      </w:r>
      <w:r w:rsidRPr="00614619">
        <w:rPr>
          <w:rFonts w:ascii="Arial" w:hAnsi="Arial" w:cs="Arial"/>
          <w:sz w:val="20"/>
          <w:szCs w:val="20"/>
        </w:rPr>
        <w:t xml:space="preserve"> law, this comprehensive legislation governs various forms of </w:t>
      </w:r>
      <w:r>
        <w:rPr>
          <w:rFonts w:ascii="Arial" w:hAnsi="Arial" w:cs="Arial"/>
          <w:sz w:val="20"/>
          <w:szCs w:val="20"/>
        </w:rPr>
        <w:t>IP</w:t>
      </w:r>
      <w:r w:rsidRPr="00614619">
        <w:rPr>
          <w:rFonts w:ascii="Arial" w:hAnsi="Arial" w:cs="Arial"/>
          <w:sz w:val="20"/>
          <w:szCs w:val="20"/>
        </w:rPr>
        <w:t>, including patents, trademarks, copyrights, and industrial designs. The IP Law has been amended 03 times to adapt to Vietnam’s evolving economic landscape and to align with international IP standards.</w:t>
      </w:r>
      <w:r>
        <w:rPr>
          <w:rFonts w:ascii="Arial" w:hAnsi="Arial" w:cs="Arial"/>
          <w:sz w:val="20"/>
          <w:szCs w:val="20"/>
        </w:rPr>
        <w:t xml:space="preserve"> </w:t>
      </w:r>
    </w:p>
    <w:p w14:paraId="6B28CFFA" w14:textId="77777777" w:rsidR="003970B8" w:rsidRPr="00614619" w:rsidRDefault="003970B8" w:rsidP="003970B8">
      <w:pPr>
        <w:spacing w:after="0" w:line="240" w:lineRule="auto"/>
        <w:jc w:val="both"/>
        <w:rPr>
          <w:rFonts w:ascii="Arial" w:eastAsia="Times New Roman" w:hAnsi="Arial" w:cs="Arial"/>
          <w:sz w:val="20"/>
          <w:szCs w:val="20"/>
        </w:rPr>
      </w:pPr>
    </w:p>
    <w:p w14:paraId="17BF9FD6" w14:textId="77777777" w:rsidR="003970B8" w:rsidRPr="00614619" w:rsidRDefault="003970B8" w:rsidP="003970B8">
      <w:pPr>
        <w:spacing w:after="0" w:line="240" w:lineRule="auto"/>
        <w:jc w:val="both"/>
        <w:rPr>
          <w:rFonts w:ascii="Arial" w:hAnsi="Arial" w:cs="Arial"/>
          <w:sz w:val="20"/>
          <w:szCs w:val="20"/>
        </w:rPr>
      </w:pPr>
      <w:r w:rsidRPr="00614619">
        <w:rPr>
          <w:rFonts w:ascii="Arial" w:hAnsi="Arial" w:cs="Arial"/>
          <w:sz w:val="20"/>
          <w:szCs w:val="20"/>
        </w:rPr>
        <w:t xml:space="preserve">KENFOX IP &amp; Law Office provide below a comprehensive overview of legal instruments governing </w:t>
      </w:r>
      <w:r>
        <w:rPr>
          <w:rFonts w:ascii="Arial" w:hAnsi="Arial" w:cs="Arial"/>
          <w:sz w:val="20"/>
          <w:szCs w:val="20"/>
        </w:rPr>
        <w:t xml:space="preserve">industrial design </w:t>
      </w:r>
      <w:r w:rsidRPr="00614619">
        <w:rPr>
          <w:rFonts w:ascii="Arial" w:hAnsi="Arial" w:cs="Arial"/>
          <w:sz w:val="20"/>
          <w:szCs w:val="20"/>
        </w:rPr>
        <w:t xml:space="preserve">related matters and historical development of </w:t>
      </w:r>
      <w:r>
        <w:rPr>
          <w:rFonts w:ascii="Arial" w:eastAsia="Times New Roman" w:hAnsi="Arial" w:cs="Arial"/>
          <w:sz w:val="20"/>
          <w:szCs w:val="20"/>
        </w:rPr>
        <w:t>industrial design</w:t>
      </w:r>
      <w:r w:rsidRPr="00614619">
        <w:rPr>
          <w:rFonts w:ascii="Arial" w:hAnsi="Arial" w:cs="Arial"/>
          <w:sz w:val="20"/>
          <w:szCs w:val="20"/>
        </w:rPr>
        <w:t xml:space="preserve"> provisions in Vietnam for your review.</w:t>
      </w:r>
    </w:p>
    <w:p w14:paraId="2D638B84" w14:textId="77777777" w:rsidR="003970B8" w:rsidRPr="00614619" w:rsidRDefault="003970B8" w:rsidP="003970B8">
      <w:pPr>
        <w:spacing w:after="0" w:line="240" w:lineRule="auto"/>
        <w:jc w:val="both"/>
        <w:rPr>
          <w:rFonts w:ascii="Arial" w:eastAsia="Times New Roman" w:hAnsi="Arial" w:cs="Arial"/>
          <w:sz w:val="20"/>
          <w:szCs w:val="20"/>
        </w:rPr>
      </w:pPr>
    </w:p>
    <w:p w14:paraId="5EEC1853" w14:textId="77777777" w:rsidR="003970B8" w:rsidRPr="001E2239" w:rsidRDefault="003970B8" w:rsidP="003970B8">
      <w:pPr>
        <w:spacing w:after="0" w:line="240" w:lineRule="auto"/>
        <w:jc w:val="both"/>
        <w:rPr>
          <w:rFonts w:ascii="Arial" w:eastAsia="Times New Roman" w:hAnsi="Arial" w:cs="Arial"/>
          <w:b/>
          <w:bCs/>
          <w:color w:val="2F5496" w:themeColor="accent1" w:themeShade="BF"/>
        </w:rPr>
      </w:pPr>
      <w:r w:rsidRPr="001E2239">
        <w:rPr>
          <w:rFonts w:ascii="Arial" w:eastAsia="Times New Roman" w:hAnsi="Arial" w:cs="Arial"/>
          <w:b/>
          <w:bCs/>
          <w:color w:val="2F5496" w:themeColor="accent1" w:themeShade="BF"/>
        </w:rPr>
        <w:t>Key Legal Instruments for Industrial Designs</w:t>
      </w:r>
    </w:p>
    <w:p w14:paraId="226E0C09" w14:textId="77777777" w:rsidR="003970B8" w:rsidRPr="00614619" w:rsidRDefault="003970B8" w:rsidP="003970B8">
      <w:pPr>
        <w:spacing w:after="0" w:line="240" w:lineRule="auto"/>
        <w:jc w:val="both"/>
        <w:rPr>
          <w:rFonts w:ascii="Arial" w:eastAsia="Times New Roman" w:hAnsi="Arial" w:cs="Arial"/>
          <w:b/>
          <w:bCs/>
          <w:sz w:val="20"/>
          <w:szCs w:val="20"/>
        </w:rPr>
      </w:pPr>
    </w:p>
    <w:p w14:paraId="72D06D9D" w14:textId="77777777" w:rsidR="003970B8" w:rsidRPr="00614619" w:rsidRDefault="003970B8" w:rsidP="003970B8">
      <w:pPr>
        <w:spacing w:after="0" w:line="240" w:lineRule="auto"/>
        <w:jc w:val="both"/>
        <w:rPr>
          <w:rFonts w:ascii="Arial" w:hAnsi="Arial" w:cs="Arial"/>
          <w:sz w:val="20"/>
          <w:szCs w:val="20"/>
        </w:rPr>
      </w:pPr>
      <w:r w:rsidRPr="00614619">
        <w:rPr>
          <w:rFonts w:ascii="Arial" w:hAnsi="Arial" w:cs="Arial"/>
          <w:sz w:val="20"/>
          <w:szCs w:val="20"/>
        </w:rPr>
        <w:t xml:space="preserve">The primary legal provisions governing </w:t>
      </w:r>
      <w:r>
        <w:rPr>
          <w:rFonts w:ascii="Arial" w:hAnsi="Arial" w:cs="Arial"/>
          <w:sz w:val="20"/>
          <w:szCs w:val="20"/>
        </w:rPr>
        <w:t xml:space="preserve">industrial designs </w:t>
      </w:r>
      <w:r w:rsidRPr="00614619">
        <w:rPr>
          <w:rFonts w:ascii="Arial" w:hAnsi="Arial" w:cs="Arial"/>
          <w:sz w:val="20"/>
          <w:szCs w:val="20"/>
        </w:rPr>
        <w:t>in Vietnam can be found within the following:</w:t>
      </w:r>
    </w:p>
    <w:p w14:paraId="410A10A7" w14:textId="77777777" w:rsidR="003970B8" w:rsidRPr="00614619" w:rsidRDefault="003970B8" w:rsidP="003970B8">
      <w:pPr>
        <w:spacing w:after="0" w:line="240" w:lineRule="auto"/>
        <w:jc w:val="both"/>
        <w:rPr>
          <w:rFonts w:ascii="Arial" w:eastAsia="Times New Roman" w:hAnsi="Arial" w:cs="Arial"/>
          <w:b/>
          <w:bCs/>
          <w:sz w:val="20"/>
          <w:szCs w:val="20"/>
        </w:rPr>
      </w:pPr>
    </w:p>
    <w:p w14:paraId="3A2DB0CF" w14:textId="289F7D01" w:rsidR="003970B8" w:rsidRDefault="003970B8" w:rsidP="003970B8">
      <w:pPr>
        <w:numPr>
          <w:ilvl w:val="0"/>
          <w:numId w:val="29"/>
        </w:numPr>
        <w:spacing w:after="0" w:line="240" w:lineRule="auto"/>
        <w:jc w:val="both"/>
        <w:rPr>
          <w:rFonts w:ascii="Arial" w:eastAsia="Times New Roman" w:hAnsi="Arial" w:cs="Arial"/>
          <w:sz w:val="20"/>
          <w:szCs w:val="20"/>
        </w:rPr>
      </w:pPr>
      <w:r>
        <w:rPr>
          <w:rFonts w:ascii="Arial" w:eastAsia="Times New Roman" w:hAnsi="Arial" w:cs="Arial"/>
          <w:b/>
          <w:bCs/>
          <w:sz w:val="20"/>
          <w:szCs w:val="20"/>
        </w:rPr>
        <w:t>IP</w:t>
      </w:r>
      <w:r w:rsidRPr="00614619">
        <w:rPr>
          <w:rFonts w:ascii="Arial" w:eastAsia="Times New Roman" w:hAnsi="Arial" w:cs="Arial"/>
          <w:b/>
          <w:bCs/>
          <w:sz w:val="20"/>
          <w:szCs w:val="20"/>
        </w:rPr>
        <w:t xml:space="preserve"> Law:</w:t>
      </w:r>
      <w:r w:rsidRPr="00614619">
        <w:rPr>
          <w:rFonts w:ascii="Arial" w:eastAsia="Times New Roman" w:hAnsi="Arial" w:cs="Arial"/>
          <w:sz w:val="20"/>
          <w:szCs w:val="20"/>
        </w:rPr>
        <w:t xml:space="preserve"> This overarching law establishes the foundational principles for </w:t>
      </w:r>
      <w:r>
        <w:rPr>
          <w:rFonts w:ascii="Arial" w:eastAsia="Times New Roman" w:hAnsi="Arial" w:cs="Arial"/>
          <w:sz w:val="20"/>
          <w:szCs w:val="20"/>
        </w:rPr>
        <w:t>industrial design</w:t>
      </w:r>
      <w:r w:rsidRPr="00614619">
        <w:rPr>
          <w:rFonts w:ascii="Arial" w:eastAsia="Times New Roman" w:hAnsi="Arial" w:cs="Arial"/>
          <w:sz w:val="20"/>
          <w:szCs w:val="20"/>
        </w:rPr>
        <w:t xml:space="preserve"> protection and enforcement. This law, along with its implementing decrees and circulars, forms the cornerstone of </w:t>
      </w:r>
      <w:hyperlink r:id="rId7" w:history="1">
        <w:r w:rsidRPr="001E1B72">
          <w:rPr>
            <w:rStyle w:val="Hyperlink"/>
            <w:rFonts w:ascii="Arial" w:eastAsia="Times New Roman" w:hAnsi="Arial" w:cs="Arial"/>
            <w:sz w:val="20"/>
            <w:szCs w:val="20"/>
          </w:rPr>
          <w:t>industrial design</w:t>
        </w:r>
      </w:hyperlink>
      <w:r w:rsidRPr="00614619">
        <w:rPr>
          <w:rFonts w:ascii="Arial" w:eastAsia="Times New Roman" w:hAnsi="Arial" w:cs="Arial"/>
          <w:sz w:val="20"/>
          <w:szCs w:val="20"/>
        </w:rPr>
        <w:t xml:space="preserve"> protection in Vietnam.</w:t>
      </w:r>
    </w:p>
    <w:p w14:paraId="7CC0ACAB" w14:textId="77777777" w:rsidR="009D5785" w:rsidRPr="00614619" w:rsidRDefault="009D5785" w:rsidP="009D5785">
      <w:pPr>
        <w:spacing w:after="0" w:line="240" w:lineRule="auto"/>
        <w:ind w:left="720"/>
        <w:jc w:val="both"/>
        <w:rPr>
          <w:rFonts w:ascii="Arial" w:eastAsia="Times New Roman" w:hAnsi="Arial" w:cs="Arial"/>
          <w:sz w:val="20"/>
          <w:szCs w:val="20"/>
        </w:rPr>
      </w:pPr>
    </w:p>
    <w:p w14:paraId="05E4BC63" w14:textId="06AD2458" w:rsidR="003970B8" w:rsidRDefault="003970B8" w:rsidP="003970B8">
      <w:pPr>
        <w:pStyle w:val="ListParagraph"/>
        <w:numPr>
          <w:ilvl w:val="0"/>
          <w:numId w:val="2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Decrees:</w:t>
      </w:r>
      <w:r w:rsidRPr="00614619">
        <w:rPr>
          <w:rFonts w:ascii="Arial" w:eastAsia="Times New Roman" w:hAnsi="Arial" w:cs="Arial"/>
          <w:sz w:val="20"/>
          <w:szCs w:val="20"/>
        </w:rPr>
        <w:t xml:space="preserve"> These legal instruments provide specific details and regulations related to various aspects of </w:t>
      </w:r>
      <w:r>
        <w:rPr>
          <w:rFonts w:ascii="Arial" w:eastAsia="Times New Roman" w:hAnsi="Arial" w:cs="Arial"/>
          <w:sz w:val="20"/>
          <w:szCs w:val="20"/>
        </w:rPr>
        <w:t>industrial design</w:t>
      </w:r>
      <w:r w:rsidRPr="00614619">
        <w:rPr>
          <w:rFonts w:ascii="Arial" w:eastAsia="Times New Roman" w:hAnsi="Arial" w:cs="Arial"/>
          <w:sz w:val="20"/>
          <w:szCs w:val="20"/>
        </w:rPr>
        <w:t xml:space="preserve"> rights. </w:t>
      </w:r>
    </w:p>
    <w:p w14:paraId="3B580023" w14:textId="77777777" w:rsidR="009D5785" w:rsidRPr="009D5785" w:rsidRDefault="009D5785" w:rsidP="009D5785">
      <w:pPr>
        <w:spacing w:after="0" w:line="240" w:lineRule="auto"/>
        <w:jc w:val="both"/>
        <w:rPr>
          <w:rFonts w:ascii="Arial" w:eastAsia="Times New Roman" w:hAnsi="Arial" w:cs="Arial"/>
          <w:sz w:val="20"/>
          <w:szCs w:val="20"/>
        </w:rPr>
      </w:pPr>
    </w:p>
    <w:p w14:paraId="331BC482" w14:textId="3787C4E8" w:rsidR="003970B8" w:rsidRDefault="003970B8" w:rsidP="003970B8">
      <w:pPr>
        <w:pStyle w:val="ListParagraph"/>
        <w:numPr>
          <w:ilvl w:val="0"/>
          <w:numId w:val="2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Circulars:</w:t>
      </w:r>
      <w:r w:rsidRPr="00614619">
        <w:rPr>
          <w:rFonts w:ascii="Arial" w:eastAsia="Times New Roman" w:hAnsi="Arial" w:cs="Arial"/>
          <w:sz w:val="20"/>
          <w:szCs w:val="20"/>
        </w:rPr>
        <w:t xml:space="preserve"> Issued by the Ministry of Science and Technology, these provide practical guidance and instructions on how to implement the IP Law and its corresponding decrees.</w:t>
      </w:r>
    </w:p>
    <w:p w14:paraId="6E99BE69" w14:textId="77777777" w:rsidR="009D5785" w:rsidRPr="009D5785" w:rsidRDefault="009D5785" w:rsidP="009D5785">
      <w:pPr>
        <w:spacing w:after="0" w:line="240" w:lineRule="auto"/>
        <w:jc w:val="both"/>
        <w:rPr>
          <w:rFonts w:ascii="Arial" w:eastAsia="Times New Roman" w:hAnsi="Arial" w:cs="Arial"/>
          <w:sz w:val="20"/>
          <w:szCs w:val="20"/>
        </w:rPr>
      </w:pPr>
    </w:p>
    <w:p w14:paraId="4B4E7EF3" w14:textId="46AA0922" w:rsidR="003970B8" w:rsidRDefault="003970B8" w:rsidP="003970B8">
      <w:pPr>
        <w:numPr>
          <w:ilvl w:val="0"/>
          <w:numId w:val="2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Decisions:</w:t>
      </w:r>
      <w:r w:rsidRPr="00614619">
        <w:rPr>
          <w:rFonts w:ascii="Arial" w:eastAsia="Times New Roman" w:hAnsi="Arial" w:cs="Arial"/>
          <w:sz w:val="20"/>
          <w:szCs w:val="20"/>
        </w:rPr>
        <w:t xml:space="preserve"> The </w:t>
      </w:r>
      <w:r>
        <w:rPr>
          <w:rFonts w:ascii="Arial" w:eastAsia="Times New Roman" w:hAnsi="Arial" w:cs="Arial"/>
          <w:sz w:val="20"/>
          <w:szCs w:val="20"/>
        </w:rPr>
        <w:t>IP</w:t>
      </w:r>
      <w:r w:rsidRPr="00614619">
        <w:rPr>
          <w:rFonts w:ascii="Arial" w:eastAsia="Times New Roman" w:hAnsi="Arial" w:cs="Arial"/>
          <w:sz w:val="20"/>
          <w:szCs w:val="20"/>
        </w:rPr>
        <w:t xml:space="preserve"> Office of Vietnam issues these decisions to address specific technical and administrative matters related to </w:t>
      </w:r>
      <w:r>
        <w:rPr>
          <w:rFonts w:ascii="Arial" w:eastAsia="Times New Roman" w:hAnsi="Arial" w:cs="Arial"/>
          <w:sz w:val="20"/>
          <w:szCs w:val="20"/>
        </w:rPr>
        <w:t>industrial designs.</w:t>
      </w:r>
    </w:p>
    <w:p w14:paraId="042D2DE7" w14:textId="77777777" w:rsidR="009D5785" w:rsidRPr="00614619" w:rsidRDefault="009D5785" w:rsidP="009D5785">
      <w:pPr>
        <w:spacing w:after="0" w:line="240" w:lineRule="auto"/>
        <w:ind w:left="720"/>
        <w:jc w:val="both"/>
        <w:rPr>
          <w:rFonts w:ascii="Arial" w:eastAsia="Times New Roman" w:hAnsi="Arial" w:cs="Arial"/>
          <w:sz w:val="20"/>
          <w:szCs w:val="20"/>
        </w:rPr>
      </w:pPr>
    </w:p>
    <w:p w14:paraId="1D69144F" w14:textId="77777777" w:rsidR="003970B8" w:rsidRPr="00614619" w:rsidRDefault="003970B8" w:rsidP="003970B8">
      <w:pPr>
        <w:numPr>
          <w:ilvl w:val="0"/>
          <w:numId w:val="2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Other relevant laws:</w:t>
      </w:r>
      <w:r w:rsidRPr="00614619">
        <w:rPr>
          <w:rFonts w:ascii="Arial" w:eastAsia="Times New Roman" w:hAnsi="Arial" w:cs="Arial"/>
          <w:sz w:val="20"/>
          <w:szCs w:val="20"/>
        </w:rPr>
        <w:t xml:space="preserve"> While the </w:t>
      </w:r>
      <w:r>
        <w:rPr>
          <w:rFonts w:ascii="Arial" w:eastAsia="Times New Roman" w:hAnsi="Arial" w:cs="Arial"/>
          <w:sz w:val="20"/>
          <w:szCs w:val="20"/>
        </w:rPr>
        <w:t>IP</w:t>
      </w:r>
      <w:r w:rsidRPr="00614619">
        <w:rPr>
          <w:rFonts w:ascii="Arial" w:eastAsia="Times New Roman" w:hAnsi="Arial" w:cs="Arial"/>
          <w:sz w:val="20"/>
          <w:szCs w:val="20"/>
        </w:rPr>
        <w:t xml:space="preserve"> Law is central, other legal instruments, such as the Civil Code and Civil Procedure Code along with laws related to customs, e-commerce, advertising, and consumer protection, can also influence </w:t>
      </w:r>
      <w:r>
        <w:rPr>
          <w:rFonts w:ascii="Arial" w:eastAsia="Times New Roman" w:hAnsi="Arial" w:cs="Arial"/>
          <w:sz w:val="20"/>
          <w:szCs w:val="20"/>
        </w:rPr>
        <w:t>industrial design</w:t>
      </w:r>
      <w:r w:rsidRPr="00614619">
        <w:rPr>
          <w:rFonts w:ascii="Arial" w:eastAsia="Times New Roman" w:hAnsi="Arial" w:cs="Arial"/>
          <w:sz w:val="20"/>
          <w:szCs w:val="20"/>
        </w:rPr>
        <w:t xml:space="preserve"> disputes and enforcement.</w:t>
      </w:r>
    </w:p>
    <w:p w14:paraId="633CE0FB" w14:textId="77777777" w:rsidR="003970B8" w:rsidRPr="00614619" w:rsidRDefault="003970B8" w:rsidP="003970B8">
      <w:pPr>
        <w:spacing w:after="0" w:line="240" w:lineRule="auto"/>
        <w:jc w:val="both"/>
        <w:rPr>
          <w:rFonts w:ascii="Arial" w:eastAsia="Times New Roman" w:hAnsi="Arial" w:cs="Arial"/>
          <w:b/>
          <w:bCs/>
          <w:sz w:val="20"/>
          <w:szCs w:val="20"/>
        </w:rPr>
      </w:pPr>
    </w:p>
    <w:p w14:paraId="318FE58F" w14:textId="77777777" w:rsidR="003970B8" w:rsidRPr="001E2239" w:rsidRDefault="003970B8" w:rsidP="003970B8">
      <w:pPr>
        <w:spacing w:after="0" w:line="240" w:lineRule="auto"/>
        <w:jc w:val="both"/>
        <w:rPr>
          <w:rFonts w:ascii="Arial" w:eastAsia="Times New Roman" w:hAnsi="Arial" w:cs="Arial"/>
          <w:b/>
          <w:bCs/>
          <w:color w:val="2F5496" w:themeColor="accent1" w:themeShade="BF"/>
        </w:rPr>
      </w:pPr>
      <w:r w:rsidRPr="001E2239">
        <w:rPr>
          <w:rFonts w:ascii="Arial" w:eastAsia="Times New Roman" w:hAnsi="Arial" w:cs="Arial"/>
          <w:b/>
          <w:bCs/>
          <w:color w:val="2F5496" w:themeColor="accent1" w:themeShade="BF"/>
        </w:rPr>
        <w:t>Historical Development of Industrial Design Law in Vietnam</w:t>
      </w:r>
    </w:p>
    <w:p w14:paraId="786679C2" w14:textId="77777777" w:rsidR="003970B8" w:rsidRPr="00614619" w:rsidRDefault="003970B8" w:rsidP="003970B8">
      <w:pPr>
        <w:spacing w:after="0" w:line="240" w:lineRule="auto"/>
        <w:jc w:val="both"/>
        <w:rPr>
          <w:rFonts w:ascii="Arial" w:hAnsi="Arial" w:cs="Arial"/>
          <w:b/>
          <w:bCs/>
          <w:sz w:val="20"/>
          <w:szCs w:val="20"/>
        </w:rPr>
      </w:pPr>
    </w:p>
    <w:p w14:paraId="0E5A0D60" w14:textId="77777777" w:rsidR="003970B8" w:rsidRPr="00614619" w:rsidRDefault="003970B8" w:rsidP="003970B8">
      <w:pPr>
        <w:spacing w:after="0" w:line="240" w:lineRule="auto"/>
        <w:jc w:val="both"/>
        <w:rPr>
          <w:rFonts w:ascii="Arial" w:hAnsi="Arial" w:cs="Arial"/>
          <w:sz w:val="20"/>
          <w:szCs w:val="20"/>
        </w:rPr>
      </w:pPr>
      <w:r w:rsidRPr="00614619">
        <w:rPr>
          <w:rFonts w:ascii="Arial" w:hAnsi="Arial" w:cs="Arial"/>
          <w:b/>
          <w:bCs/>
          <w:sz w:val="20"/>
          <w:szCs w:val="20"/>
        </w:rPr>
        <w:t xml:space="preserve">Early Stage </w:t>
      </w:r>
      <w:r w:rsidRPr="00614619">
        <w:rPr>
          <w:rFonts w:ascii="Arial" w:eastAsia="Times New Roman" w:hAnsi="Arial" w:cs="Arial"/>
          <w:b/>
          <w:bCs/>
          <w:sz w:val="20"/>
          <w:szCs w:val="20"/>
        </w:rPr>
        <w:t>(1980s)</w:t>
      </w:r>
      <w:r w:rsidRPr="00614619">
        <w:rPr>
          <w:rFonts w:ascii="Arial" w:hAnsi="Arial" w:cs="Arial"/>
          <w:sz w:val="20"/>
          <w:szCs w:val="20"/>
        </w:rPr>
        <w:t xml:space="preserve">: </w:t>
      </w:r>
    </w:p>
    <w:p w14:paraId="2FBFE621" w14:textId="77777777" w:rsidR="003970B8" w:rsidRPr="00614619" w:rsidRDefault="003970B8" w:rsidP="003970B8">
      <w:pPr>
        <w:spacing w:after="0" w:line="240" w:lineRule="auto"/>
        <w:jc w:val="both"/>
        <w:rPr>
          <w:rFonts w:ascii="Arial" w:hAnsi="Arial" w:cs="Arial"/>
          <w:sz w:val="20"/>
          <w:szCs w:val="20"/>
        </w:rPr>
      </w:pPr>
    </w:p>
    <w:p w14:paraId="6FEC5A0D" w14:textId="77777777" w:rsidR="003970B8" w:rsidRPr="00614619" w:rsidRDefault="003970B8" w:rsidP="003970B8">
      <w:pPr>
        <w:spacing w:after="0" w:line="240" w:lineRule="auto"/>
        <w:jc w:val="both"/>
        <w:rPr>
          <w:rFonts w:ascii="Arial" w:eastAsia="Times New Roman" w:hAnsi="Arial" w:cs="Arial"/>
          <w:sz w:val="20"/>
          <w:szCs w:val="20"/>
        </w:rPr>
      </w:pPr>
      <w:r w:rsidRPr="00614619">
        <w:rPr>
          <w:rFonts w:ascii="Arial" w:eastAsia="Times New Roman" w:hAnsi="Arial" w:cs="Arial"/>
          <w:sz w:val="20"/>
          <w:szCs w:val="20"/>
        </w:rPr>
        <w:t>The 1980s witnessed the enactment of several legal documents focused on industrial property rights, including decrees related to trademarks, industrial designs, and utility solutions, including:</w:t>
      </w:r>
    </w:p>
    <w:p w14:paraId="59478B4C" w14:textId="77777777" w:rsidR="003970B8" w:rsidRPr="00614619" w:rsidRDefault="003970B8" w:rsidP="003970B8">
      <w:pPr>
        <w:spacing w:after="0" w:line="240" w:lineRule="auto"/>
        <w:jc w:val="both"/>
        <w:rPr>
          <w:rFonts w:ascii="Arial" w:eastAsia="Times New Roman" w:hAnsi="Arial" w:cs="Arial"/>
          <w:sz w:val="20"/>
          <w:szCs w:val="20"/>
        </w:rPr>
      </w:pPr>
    </w:p>
    <w:p w14:paraId="28B7D613" w14:textId="77777777" w:rsidR="003970B8" w:rsidRPr="00614619" w:rsidRDefault="003970B8" w:rsidP="003970B8">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197/HDBT of December 14, 1982, on trademarks.</w:t>
      </w:r>
    </w:p>
    <w:p w14:paraId="2F9C6D39" w14:textId="77777777" w:rsidR="003970B8" w:rsidRPr="00614619" w:rsidRDefault="003970B8" w:rsidP="003970B8">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85/HDBT of May 13, 1985, on industrial designs.</w:t>
      </w:r>
    </w:p>
    <w:p w14:paraId="1F16E0C7" w14:textId="77777777" w:rsidR="003970B8" w:rsidRPr="00614619" w:rsidRDefault="003970B8" w:rsidP="003970B8">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200/HDBT of December 28, 1988, on utility solutions.</w:t>
      </w:r>
    </w:p>
    <w:p w14:paraId="4BB9E731" w14:textId="77777777" w:rsidR="003970B8" w:rsidRPr="00614619" w:rsidRDefault="003970B8" w:rsidP="003970B8">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201/HDBT of December 28, 1988, on purchase of patents for innovation, utility solution, industrial designs, trademarks and technical know-how.</w:t>
      </w:r>
    </w:p>
    <w:p w14:paraId="35E725C8" w14:textId="77777777" w:rsidR="003970B8" w:rsidRPr="00614619" w:rsidRDefault="003970B8" w:rsidP="003970B8">
      <w:pPr>
        <w:spacing w:after="0" w:line="240" w:lineRule="auto"/>
        <w:jc w:val="both"/>
        <w:rPr>
          <w:rFonts w:ascii="Arial" w:eastAsia="Times New Roman" w:hAnsi="Arial" w:cs="Arial"/>
          <w:b/>
          <w:bCs/>
          <w:sz w:val="20"/>
          <w:szCs w:val="20"/>
        </w:rPr>
      </w:pPr>
    </w:p>
    <w:p w14:paraId="7FA14178" w14:textId="77777777" w:rsidR="003970B8" w:rsidRPr="00614619" w:rsidRDefault="003970B8" w:rsidP="003970B8">
      <w:pPr>
        <w:spacing w:after="0" w:line="240" w:lineRule="auto"/>
        <w:jc w:val="both"/>
        <w:rPr>
          <w:rFonts w:ascii="Arial" w:eastAsia="Times New Roman" w:hAnsi="Arial" w:cs="Arial"/>
          <w:b/>
          <w:bCs/>
          <w:sz w:val="20"/>
          <w:szCs w:val="20"/>
        </w:rPr>
      </w:pPr>
      <w:r w:rsidRPr="00614619">
        <w:rPr>
          <w:rFonts w:ascii="Arial" w:eastAsia="Times New Roman" w:hAnsi="Arial" w:cs="Arial"/>
          <w:b/>
          <w:bCs/>
          <w:sz w:val="20"/>
          <w:szCs w:val="20"/>
        </w:rPr>
        <w:t>Modern Era (2005 Onward):</w:t>
      </w:r>
    </w:p>
    <w:p w14:paraId="6859944C" w14:textId="77777777" w:rsidR="003970B8" w:rsidRPr="00614619" w:rsidRDefault="003970B8" w:rsidP="003970B8">
      <w:pPr>
        <w:spacing w:after="0" w:line="240" w:lineRule="auto"/>
        <w:jc w:val="both"/>
        <w:rPr>
          <w:rFonts w:ascii="Arial" w:eastAsia="Times New Roman" w:hAnsi="Arial" w:cs="Arial"/>
          <w:sz w:val="20"/>
          <w:szCs w:val="20"/>
        </w:rPr>
      </w:pPr>
    </w:p>
    <w:p w14:paraId="4F9B239D" w14:textId="5E0185AE" w:rsidR="003970B8" w:rsidRDefault="003970B8" w:rsidP="003970B8">
      <w:pPr>
        <w:pStyle w:val="ListParagraph"/>
        <w:numPr>
          <w:ilvl w:val="0"/>
          <w:numId w:val="33"/>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2005:</w:t>
      </w:r>
      <w:r w:rsidRPr="00614619">
        <w:rPr>
          <w:rFonts w:ascii="Arial" w:eastAsia="Times New Roman" w:hAnsi="Arial" w:cs="Arial"/>
          <w:sz w:val="20"/>
          <w:szCs w:val="20"/>
        </w:rPr>
        <w:t xml:space="preserve"> The comprehensive </w:t>
      </w:r>
      <w:r>
        <w:rPr>
          <w:rFonts w:ascii="Arial" w:eastAsia="Times New Roman" w:hAnsi="Arial" w:cs="Arial"/>
          <w:sz w:val="20"/>
          <w:szCs w:val="20"/>
        </w:rPr>
        <w:t>IP</w:t>
      </w:r>
      <w:r w:rsidRPr="00614619">
        <w:rPr>
          <w:rFonts w:ascii="Arial" w:eastAsia="Times New Roman" w:hAnsi="Arial" w:cs="Arial"/>
          <w:sz w:val="20"/>
          <w:szCs w:val="20"/>
        </w:rPr>
        <w:t xml:space="preserve"> Law was enacted, marking a significant milestone in establishing a robust legal framework for all </w:t>
      </w:r>
      <w:r>
        <w:rPr>
          <w:rFonts w:ascii="Arial" w:eastAsia="Times New Roman" w:hAnsi="Arial" w:cs="Arial"/>
          <w:sz w:val="20"/>
          <w:szCs w:val="20"/>
        </w:rPr>
        <w:t>IP</w:t>
      </w:r>
      <w:r w:rsidRPr="00614619">
        <w:rPr>
          <w:rFonts w:ascii="Arial" w:eastAsia="Times New Roman" w:hAnsi="Arial" w:cs="Arial"/>
          <w:sz w:val="20"/>
          <w:szCs w:val="20"/>
        </w:rPr>
        <w:t xml:space="preserve"> rights, including </w:t>
      </w:r>
      <w:r>
        <w:rPr>
          <w:rFonts w:ascii="Arial" w:eastAsia="Times New Roman" w:hAnsi="Arial" w:cs="Arial"/>
          <w:sz w:val="20"/>
          <w:szCs w:val="20"/>
        </w:rPr>
        <w:t>industrial designs</w:t>
      </w:r>
      <w:r w:rsidRPr="00614619">
        <w:rPr>
          <w:rFonts w:ascii="Arial" w:eastAsia="Times New Roman" w:hAnsi="Arial" w:cs="Arial"/>
          <w:sz w:val="20"/>
          <w:szCs w:val="20"/>
        </w:rPr>
        <w:t>.</w:t>
      </w:r>
    </w:p>
    <w:p w14:paraId="7B724E88" w14:textId="77777777" w:rsidR="009D5785" w:rsidRPr="00614619" w:rsidRDefault="009D5785" w:rsidP="009D5785">
      <w:pPr>
        <w:pStyle w:val="ListParagraph"/>
        <w:spacing w:after="0" w:line="240" w:lineRule="auto"/>
        <w:jc w:val="both"/>
        <w:rPr>
          <w:rFonts w:ascii="Arial" w:eastAsia="Times New Roman" w:hAnsi="Arial" w:cs="Arial"/>
          <w:sz w:val="20"/>
          <w:szCs w:val="20"/>
        </w:rPr>
      </w:pPr>
    </w:p>
    <w:p w14:paraId="0DB22F7B" w14:textId="16344648" w:rsidR="003970B8" w:rsidRDefault="003970B8" w:rsidP="003970B8">
      <w:pPr>
        <w:pStyle w:val="ListParagraph"/>
        <w:numPr>
          <w:ilvl w:val="0"/>
          <w:numId w:val="33"/>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2009 &amp; 2019:</w:t>
      </w:r>
      <w:r w:rsidRPr="00614619">
        <w:rPr>
          <w:rFonts w:ascii="Arial" w:eastAsia="Times New Roman" w:hAnsi="Arial" w:cs="Arial"/>
          <w:sz w:val="20"/>
          <w:szCs w:val="20"/>
        </w:rPr>
        <w:t xml:space="preserve"> Amendments to the </w:t>
      </w:r>
      <w:r>
        <w:rPr>
          <w:rFonts w:ascii="Arial" w:eastAsia="Times New Roman" w:hAnsi="Arial" w:cs="Arial"/>
          <w:sz w:val="20"/>
          <w:szCs w:val="20"/>
        </w:rPr>
        <w:t>IP</w:t>
      </w:r>
      <w:r w:rsidRPr="00614619">
        <w:rPr>
          <w:rFonts w:ascii="Arial" w:eastAsia="Times New Roman" w:hAnsi="Arial" w:cs="Arial"/>
          <w:sz w:val="20"/>
          <w:szCs w:val="20"/>
        </w:rPr>
        <w:t xml:space="preserve"> Law further strengthened IP protection and enforcement, aligning Vietnam's legal framework with international agreements like the TRIPS Agreement</w:t>
      </w:r>
      <w:r w:rsidR="009D5785">
        <w:rPr>
          <w:rFonts w:ascii="Arial" w:eastAsia="Times New Roman" w:hAnsi="Arial" w:cs="Arial"/>
          <w:sz w:val="20"/>
          <w:szCs w:val="20"/>
        </w:rPr>
        <w:t>.</w:t>
      </w:r>
    </w:p>
    <w:p w14:paraId="6E78FB37" w14:textId="77777777" w:rsidR="009D5785" w:rsidRPr="009D5785" w:rsidRDefault="009D5785" w:rsidP="009D5785">
      <w:pPr>
        <w:spacing w:after="0" w:line="240" w:lineRule="auto"/>
        <w:jc w:val="both"/>
        <w:rPr>
          <w:rFonts w:ascii="Arial" w:eastAsia="Times New Roman" w:hAnsi="Arial" w:cs="Arial"/>
          <w:sz w:val="20"/>
          <w:szCs w:val="20"/>
        </w:rPr>
      </w:pPr>
    </w:p>
    <w:p w14:paraId="07D43550" w14:textId="41034AD6" w:rsidR="003970B8" w:rsidRPr="00614619" w:rsidRDefault="003970B8" w:rsidP="003970B8">
      <w:pPr>
        <w:pStyle w:val="ListParagraph"/>
        <w:numPr>
          <w:ilvl w:val="0"/>
          <w:numId w:val="33"/>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2022:</w:t>
      </w:r>
      <w:r w:rsidRPr="00614619">
        <w:rPr>
          <w:rFonts w:ascii="Arial" w:eastAsia="Times New Roman" w:hAnsi="Arial" w:cs="Arial"/>
          <w:sz w:val="20"/>
          <w:szCs w:val="20"/>
        </w:rPr>
        <w:t xml:space="preserve"> Extensive updates addressed legal loopholes and enhanced </w:t>
      </w:r>
      <w:r>
        <w:rPr>
          <w:rFonts w:ascii="Arial" w:eastAsia="Times New Roman" w:hAnsi="Arial" w:cs="Arial"/>
          <w:sz w:val="20"/>
          <w:szCs w:val="20"/>
        </w:rPr>
        <w:t>industrial design</w:t>
      </w:r>
      <w:r w:rsidRPr="00614619">
        <w:rPr>
          <w:rFonts w:ascii="Arial" w:eastAsia="Times New Roman" w:hAnsi="Arial" w:cs="Arial"/>
          <w:sz w:val="20"/>
          <w:szCs w:val="20"/>
        </w:rPr>
        <w:t xml:space="preserve"> protection. These changes streamlined </w:t>
      </w:r>
      <w:hyperlink r:id="rId8" w:history="1">
        <w:r w:rsidRPr="004230C1">
          <w:rPr>
            <w:rStyle w:val="Hyperlink"/>
            <w:rFonts w:ascii="Arial" w:eastAsia="Times New Roman" w:hAnsi="Arial" w:cs="Arial"/>
            <w:sz w:val="20"/>
            <w:szCs w:val="20"/>
          </w:rPr>
          <w:t>registration</w:t>
        </w:r>
      </w:hyperlink>
      <w:r w:rsidRPr="00614619">
        <w:rPr>
          <w:rFonts w:ascii="Arial" w:eastAsia="Times New Roman" w:hAnsi="Arial" w:cs="Arial"/>
          <w:sz w:val="20"/>
          <w:szCs w:val="20"/>
        </w:rPr>
        <w:t xml:space="preserve"> processes and improved enforcement mechanisms.</w:t>
      </w:r>
    </w:p>
    <w:p w14:paraId="730DF74E" w14:textId="77777777" w:rsidR="003970B8" w:rsidRPr="00614619" w:rsidRDefault="003970B8" w:rsidP="003970B8">
      <w:pPr>
        <w:spacing w:after="0" w:line="240" w:lineRule="auto"/>
        <w:jc w:val="both"/>
        <w:rPr>
          <w:rFonts w:ascii="Arial" w:eastAsia="Times New Roman" w:hAnsi="Arial" w:cs="Arial"/>
          <w:b/>
          <w:bCs/>
          <w:sz w:val="20"/>
          <w:szCs w:val="20"/>
        </w:rPr>
      </w:pPr>
    </w:p>
    <w:p w14:paraId="79D562D8" w14:textId="77777777" w:rsidR="003970B8" w:rsidRPr="001E2239" w:rsidRDefault="003970B8" w:rsidP="003970B8">
      <w:pPr>
        <w:spacing w:after="0" w:line="240" w:lineRule="auto"/>
        <w:jc w:val="both"/>
        <w:rPr>
          <w:rFonts w:ascii="Arial" w:eastAsia="Times New Roman" w:hAnsi="Arial" w:cs="Arial"/>
          <w:b/>
          <w:bCs/>
          <w:color w:val="2F5496" w:themeColor="accent1" w:themeShade="BF"/>
        </w:rPr>
      </w:pPr>
      <w:r w:rsidRPr="001E2239">
        <w:rPr>
          <w:rFonts w:ascii="Arial" w:eastAsia="Times New Roman" w:hAnsi="Arial" w:cs="Arial"/>
          <w:b/>
          <w:bCs/>
          <w:color w:val="2F5496" w:themeColor="accent1" w:themeShade="BF"/>
        </w:rPr>
        <w:t>International Agreements and Treaties</w:t>
      </w:r>
    </w:p>
    <w:p w14:paraId="0A3DEDE3" w14:textId="77777777" w:rsidR="003970B8" w:rsidRPr="00614619" w:rsidRDefault="003970B8" w:rsidP="003970B8">
      <w:pPr>
        <w:spacing w:after="0" w:line="240" w:lineRule="auto"/>
        <w:jc w:val="both"/>
        <w:rPr>
          <w:rFonts w:ascii="Arial" w:eastAsia="Times New Roman" w:hAnsi="Arial" w:cs="Arial"/>
          <w:sz w:val="20"/>
          <w:szCs w:val="20"/>
        </w:rPr>
      </w:pPr>
    </w:p>
    <w:p w14:paraId="04DBC2DC" w14:textId="07499AE1" w:rsidR="003970B8" w:rsidRPr="00975A9A" w:rsidRDefault="001E1B72" w:rsidP="003970B8">
      <w:p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C459722" wp14:editId="1025548C">
                <wp:simplePos x="0" y="0"/>
                <wp:positionH relativeFrom="page">
                  <wp:posOffset>7067550</wp:posOffset>
                </wp:positionH>
                <wp:positionV relativeFrom="paragraph">
                  <wp:posOffset>-203200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85BA9" w14:textId="77777777" w:rsidR="001E1B72" w:rsidRPr="00BA68B8" w:rsidRDefault="001E1B72" w:rsidP="001E1B72">
                            <w:pPr>
                              <w:spacing w:after="0" w:line="240" w:lineRule="auto"/>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59722" id="Rectangle 1" o:spid="_x0000_s1028" style="position:absolute;left:0;text-align:left;margin-left:556.5pt;margin-top:-16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" fillcolor="#00b39c" strokecolor="#00b39c" strokeweight="0">
                <v:textbox style="layout-flow:vertical" inset=",1.3mm,1.3mm">
                  <w:txbxContent>
                    <w:p w14:paraId="45585BA9" w14:textId="77777777" w:rsidR="001E1B72" w:rsidRPr="00BA68B8" w:rsidRDefault="001E1B72" w:rsidP="001E1B72">
                      <w:pPr>
                        <w:spacing w:after="0" w:line="240" w:lineRule="auto"/>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v:textbox>
                <w10:wrap anchorx="page"/>
              </v:rect>
            </w:pict>
          </mc:Fallback>
        </mc:AlternateContent>
      </w:r>
      <w:r w:rsidR="003970B8" w:rsidRPr="00975A9A">
        <w:rPr>
          <w:rFonts w:ascii="Arial" w:eastAsia="Times New Roman" w:hAnsi="Arial" w:cs="Arial"/>
          <w:sz w:val="20"/>
          <w:szCs w:val="20"/>
        </w:rPr>
        <w:t>Vietnam's active participation in key international agreements and treaties underscores its dedication to upholding international standards in IP protection. These include:</w:t>
      </w:r>
    </w:p>
    <w:p w14:paraId="7DCF1788" w14:textId="2E6436D1" w:rsidR="003970B8" w:rsidRPr="00975A9A" w:rsidRDefault="003970B8" w:rsidP="003970B8">
      <w:pPr>
        <w:spacing w:after="0" w:line="240" w:lineRule="auto"/>
        <w:jc w:val="both"/>
        <w:rPr>
          <w:rFonts w:ascii="Arial" w:eastAsia="Times New Roman" w:hAnsi="Arial" w:cs="Arial"/>
          <w:sz w:val="20"/>
          <w:szCs w:val="20"/>
        </w:rPr>
      </w:pPr>
    </w:p>
    <w:p w14:paraId="0CC6C3A8" w14:textId="5557F1A5" w:rsidR="003970B8" w:rsidRPr="009D5785" w:rsidRDefault="0012692A" w:rsidP="003970B8">
      <w:pPr>
        <w:numPr>
          <w:ilvl w:val="0"/>
          <w:numId w:val="30"/>
        </w:numPr>
        <w:spacing w:after="0" w:line="240" w:lineRule="auto"/>
        <w:jc w:val="both"/>
        <w:rPr>
          <w:rFonts w:ascii="Arial" w:eastAsia="Times New Roman" w:hAnsi="Arial" w:cs="Arial"/>
          <w:sz w:val="20"/>
          <w:szCs w:val="20"/>
        </w:rPr>
      </w:pPr>
      <w:hyperlink r:id="rId9" w:history="1">
        <w:r w:rsidR="003970B8" w:rsidRPr="00FB1938">
          <w:rPr>
            <w:rStyle w:val="Hyperlink"/>
            <w:rFonts w:ascii="Arial" w:hAnsi="Arial" w:cs="Arial"/>
            <w:b/>
            <w:sz w:val="20"/>
            <w:szCs w:val="20"/>
          </w:rPr>
          <w:t>Paris Convention for the Protection of Industrial Property</w:t>
        </w:r>
      </w:hyperlink>
      <w:r w:rsidR="003970B8" w:rsidRPr="00AD08EC">
        <w:rPr>
          <w:rStyle w:val="Strong"/>
          <w:rFonts w:ascii="Arial" w:hAnsi="Arial" w:cs="Arial"/>
          <w:sz w:val="20"/>
          <w:szCs w:val="20"/>
        </w:rPr>
        <w:t xml:space="preserve"> (1883)</w:t>
      </w:r>
      <w:r w:rsidR="003970B8" w:rsidRPr="00AD08EC">
        <w:rPr>
          <w:rFonts w:ascii="Arial" w:hAnsi="Arial" w:cs="Arial"/>
          <w:sz w:val="20"/>
          <w:szCs w:val="20"/>
        </w:rPr>
        <w:t>: Vietnam became a member in 1949. This treaty provides a priority right for industrial design applications. Applicants who file an industrial design in one member country can file in other member countries within six months, while claiming the first filing date as the priority date.</w:t>
      </w:r>
    </w:p>
    <w:p w14:paraId="78E93E58" w14:textId="77777777" w:rsidR="009D5785" w:rsidRPr="00AD08EC" w:rsidRDefault="009D5785" w:rsidP="009D5785">
      <w:pPr>
        <w:spacing w:after="0" w:line="240" w:lineRule="auto"/>
        <w:ind w:left="720"/>
        <w:jc w:val="both"/>
        <w:rPr>
          <w:rFonts w:ascii="Arial" w:eastAsia="Times New Roman" w:hAnsi="Arial" w:cs="Arial"/>
          <w:sz w:val="20"/>
          <w:szCs w:val="20"/>
        </w:rPr>
      </w:pPr>
    </w:p>
    <w:p w14:paraId="404CB243" w14:textId="08CEF996" w:rsidR="003970B8" w:rsidRPr="009D5785" w:rsidRDefault="003970B8" w:rsidP="003970B8">
      <w:pPr>
        <w:numPr>
          <w:ilvl w:val="0"/>
          <w:numId w:val="30"/>
        </w:numPr>
        <w:spacing w:after="0" w:line="240" w:lineRule="auto"/>
        <w:jc w:val="both"/>
        <w:rPr>
          <w:rFonts w:ascii="Arial" w:eastAsia="Times New Roman" w:hAnsi="Arial" w:cs="Arial"/>
          <w:sz w:val="20"/>
          <w:szCs w:val="20"/>
        </w:rPr>
      </w:pPr>
      <w:r w:rsidRPr="00AD08EC">
        <w:rPr>
          <w:rStyle w:val="Strong"/>
          <w:rFonts w:ascii="Arial" w:hAnsi="Arial" w:cs="Arial"/>
          <w:sz w:val="20"/>
          <w:szCs w:val="20"/>
        </w:rPr>
        <w:t>Hague Agreement Concerning the International Registration of Industrial Designs</w:t>
      </w:r>
      <w:r w:rsidRPr="00DD300B">
        <w:rPr>
          <w:rStyle w:val="Strong"/>
          <w:rFonts w:ascii="Arial" w:hAnsi="Arial" w:cs="Arial"/>
          <w:sz w:val="20"/>
          <w:szCs w:val="20"/>
        </w:rPr>
        <w:t xml:space="preserve"> (1925)</w:t>
      </w:r>
      <w:r w:rsidRPr="00DD300B">
        <w:rPr>
          <w:rFonts w:ascii="Arial" w:hAnsi="Arial" w:cs="Arial"/>
          <w:b/>
          <w:bCs/>
          <w:sz w:val="20"/>
          <w:szCs w:val="20"/>
        </w:rPr>
        <w:t xml:space="preserve">: </w:t>
      </w:r>
      <w:r w:rsidRPr="00AD08EC">
        <w:rPr>
          <w:rFonts w:ascii="Arial" w:hAnsi="Arial" w:cs="Arial"/>
          <w:sz w:val="20"/>
          <w:szCs w:val="20"/>
        </w:rPr>
        <w:t xml:space="preserve">Vietnam acceded to the Hague Agreement in 2019. This treaty simplifies the process of registering industrial designs in multiple countries through a single application, known as an international application, filed with the International Bureau of the World </w:t>
      </w:r>
      <w:r>
        <w:rPr>
          <w:rFonts w:ascii="Arial" w:hAnsi="Arial" w:cs="Arial"/>
          <w:sz w:val="20"/>
          <w:szCs w:val="20"/>
        </w:rPr>
        <w:t>IP</w:t>
      </w:r>
      <w:r w:rsidRPr="00AD08EC">
        <w:rPr>
          <w:rFonts w:ascii="Arial" w:hAnsi="Arial" w:cs="Arial"/>
          <w:sz w:val="20"/>
          <w:szCs w:val="20"/>
        </w:rPr>
        <w:t xml:space="preserve"> Organization (WIPO). This significantly streamlines the registration process for design protection in multiple jurisdictions.</w:t>
      </w:r>
    </w:p>
    <w:p w14:paraId="7E0965DD" w14:textId="77777777" w:rsidR="009D5785" w:rsidRPr="00AD08EC" w:rsidRDefault="009D5785" w:rsidP="009D5785">
      <w:pPr>
        <w:spacing w:after="0" w:line="240" w:lineRule="auto"/>
        <w:jc w:val="both"/>
        <w:rPr>
          <w:rFonts w:ascii="Arial" w:eastAsia="Times New Roman" w:hAnsi="Arial" w:cs="Arial"/>
          <w:sz w:val="20"/>
          <w:szCs w:val="20"/>
        </w:rPr>
      </w:pPr>
    </w:p>
    <w:p w14:paraId="595F90F3" w14:textId="3A706239" w:rsidR="003970B8" w:rsidRPr="009D5785" w:rsidRDefault="003970B8" w:rsidP="003970B8">
      <w:pPr>
        <w:numPr>
          <w:ilvl w:val="0"/>
          <w:numId w:val="30"/>
        </w:numPr>
        <w:spacing w:after="0" w:line="240" w:lineRule="auto"/>
        <w:jc w:val="both"/>
        <w:rPr>
          <w:rFonts w:ascii="Arial" w:eastAsia="Times New Roman" w:hAnsi="Arial" w:cs="Arial"/>
          <w:sz w:val="20"/>
          <w:szCs w:val="20"/>
        </w:rPr>
      </w:pPr>
      <w:r w:rsidRPr="00AD08EC">
        <w:rPr>
          <w:rStyle w:val="Strong"/>
          <w:rFonts w:ascii="Arial" w:hAnsi="Arial" w:cs="Arial"/>
          <w:sz w:val="20"/>
          <w:szCs w:val="20"/>
        </w:rPr>
        <w:t>Agreement on Trade-Related Aspects of Intellectual Property Rights (</w:t>
      </w:r>
      <w:hyperlink r:id="rId10" w:history="1">
        <w:r w:rsidRPr="00FB1938">
          <w:rPr>
            <w:rStyle w:val="Hyperlink"/>
            <w:rFonts w:ascii="Arial" w:hAnsi="Arial" w:cs="Arial"/>
            <w:b/>
            <w:sz w:val="20"/>
            <w:szCs w:val="20"/>
          </w:rPr>
          <w:t>TRIPS</w:t>
        </w:r>
      </w:hyperlink>
      <w:r w:rsidRPr="00AD08EC">
        <w:rPr>
          <w:rStyle w:val="Strong"/>
          <w:rFonts w:ascii="Arial" w:hAnsi="Arial" w:cs="Arial"/>
          <w:sz w:val="20"/>
          <w:szCs w:val="20"/>
        </w:rPr>
        <w:t xml:space="preserve">) </w:t>
      </w:r>
      <w:r w:rsidRPr="00DD300B">
        <w:rPr>
          <w:rStyle w:val="Strong"/>
          <w:rFonts w:ascii="Arial" w:hAnsi="Arial" w:cs="Arial"/>
          <w:sz w:val="20"/>
          <w:szCs w:val="20"/>
        </w:rPr>
        <w:t>(1995)</w:t>
      </w:r>
      <w:r w:rsidRPr="00DD300B">
        <w:rPr>
          <w:rFonts w:ascii="Arial" w:hAnsi="Arial" w:cs="Arial"/>
          <w:b/>
          <w:bCs/>
          <w:sz w:val="20"/>
          <w:szCs w:val="20"/>
        </w:rPr>
        <w:t>:</w:t>
      </w:r>
      <w:r w:rsidRPr="00AD08EC">
        <w:rPr>
          <w:rFonts w:ascii="Arial" w:hAnsi="Arial" w:cs="Arial"/>
          <w:sz w:val="20"/>
          <w:szCs w:val="20"/>
        </w:rPr>
        <w:t xml:space="preserve"> Vietnam is bound by the TRIPS Agreement, which sets minimum standards for the protection and enforcement of industrial designs. TRIPS requires that industrial designs be protected for at least 10 years, and it includes provisions for enforcing these rights through legal mechanisms.</w:t>
      </w:r>
    </w:p>
    <w:p w14:paraId="758F2770" w14:textId="09217FAD" w:rsidR="009D5785" w:rsidRPr="00AD08EC" w:rsidRDefault="009D5785" w:rsidP="009D5785">
      <w:pPr>
        <w:spacing w:after="0" w:line="240" w:lineRule="auto"/>
        <w:jc w:val="both"/>
        <w:rPr>
          <w:rFonts w:ascii="Arial" w:eastAsia="Times New Roman" w:hAnsi="Arial" w:cs="Arial"/>
          <w:sz w:val="20"/>
          <w:szCs w:val="20"/>
        </w:rPr>
      </w:pPr>
    </w:p>
    <w:p w14:paraId="4248A799" w14:textId="47144184" w:rsidR="003970B8" w:rsidRPr="009D5785" w:rsidRDefault="00C1742C" w:rsidP="003970B8">
      <w:pPr>
        <w:numPr>
          <w:ilvl w:val="0"/>
          <w:numId w:val="30"/>
        </w:numPr>
        <w:spacing w:after="0" w:line="240" w:lineRule="auto"/>
        <w:jc w:val="both"/>
        <w:rPr>
          <w:rFonts w:ascii="Arial" w:eastAsia="Times New Roman" w:hAnsi="Arial" w:cs="Arial"/>
          <w:sz w:val="20"/>
          <w:szCs w:val="20"/>
        </w:rPr>
      </w:pPr>
      <w:hyperlink r:id="rId11" w:history="1">
        <w:r w:rsidR="003970B8" w:rsidRPr="00C1742C">
          <w:rPr>
            <w:rStyle w:val="Hyperlink"/>
            <w:rFonts w:ascii="Arial" w:hAnsi="Arial" w:cs="Arial"/>
            <w:b/>
            <w:sz w:val="20"/>
            <w:szCs w:val="20"/>
          </w:rPr>
          <w:t>ASEAN Framework Agreement on Intellectual Property Cooperation</w:t>
        </w:r>
      </w:hyperlink>
      <w:r w:rsidR="003970B8" w:rsidRPr="00AD08EC">
        <w:rPr>
          <w:rStyle w:val="Strong"/>
          <w:rFonts w:ascii="Arial" w:hAnsi="Arial" w:cs="Arial"/>
          <w:sz w:val="20"/>
          <w:szCs w:val="20"/>
        </w:rPr>
        <w:t xml:space="preserve"> </w:t>
      </w:r>
      <w:r w:rsidR="003970B8" w:rsidRPr="00DD300B">
        <w:rPr>
          <w:rStyle w:val="Strong"/>
          <w:rFonts w:ascii="Arial" w:hAnsi="Arial" w:cs="Arial"/>
          <w:sz w:val="20"/>
          <w:szCs w:val="20"/>
        </w:rPr>
        <w:t>(1995)</w:t>
      </w:r>
      <w:r w:rsidR="003970B8" w:rsidRPr="00DD300B">
        <w:rPr>
          <w:rFonts w:ascii="Arial" w:hAnsi="Arial" w:cs="Arial"/>
          <w:b/>
          <w:bCs/>
          <w:sz w:val="20"/>
          <w:szCs w:val="20"/>
        </w:rPr>
        <w:t>:</w:t>
      </w:r>
      <w:r w:rsidR="003970B8" w:rsidRPr="00AD08EC">
        <w:rPr>
          <w:rFonts w:ascii="Arial" w:hAnsi="Arial" w:cs="Arial"/>
          <w:sz w:val="20"/>
          <w:szCs w:val="20"/>
        </w:rPr>
        <w:t xml:space="preserve"> As a member of ASEAN, Vietnam is part of regional cooperation on IP matters, including industrial designs. This framework promotes the harmonization of IP laws and procedures across ASEAN countries and fosters collaboration in protecting design rights.</w:t>
      </w:r>
    </w:p>
    <w:p w14:paraId="246915D0" w14:textId="77777777" w:rsidR="009D5785" w:rsidRPr="00AD08EC" w:rsidRDefault="009D5785" w:rsidP="009D5785">
      <w:pPr>
        <w:spacing w:after="0" w:line="240" w:lineRule="auto"/>
        <w:jc w:val="both"/>
        <w:rPr>
          <w:rFonts w:ascii="Arial" w:eastAsia="Times New Roman" w:hAnsi="Arial" w:cs="Arial"/>
          <w:sz w:val="20"/>
          <w:szCs w:val="20"/>
        </w:rPr>
      </w:pPr>
    </w:p>
    <w:p w14:paraId="785272F1" w14:textId="604D77B6" w:rsidR="003970B8" w:rsidRPr="009D5785" w:rsidRDefault="003970B8" w:rsidP="003970B8">
      <w:pPr>
        <w:numPr>
          <w:ilvl w:val="0"/>
          <w:numId w:val="30"/>
        </w:numPr>
        <w:spacing w:after="0" w:line="240" w:lineRule="auto"/>
        <w:jc w:val="both"/>
        <w:rPr>
          <w:rFonts w:ascii="Arial" w:eastAsia="Times New Roman" w:hAnsi="Arial" w:cs="Arial"/>
          <w:sz w:val="20"/>
          <w:szCs w:val="20"/>
        </w:rPr>
      </w:pPr>
      <w:r w:rsidRPr="00AD08EC">
        <w:rPr>
          <w:rStyle w:val="Strong"/>
          <w:rFonts w:ascii="Arial" w:hAnsi="Arial" w:cs="Arial"/>
          <w:sz w:val="20"/>
          <w:szCs w:val="20"/>
        </w:rPr>
        <w:t>Comprehensive and Progressive Agreement for Trans-Pacific Partnership (</w:t>
      </w:r>
      <w:hyperlink r:id="rId12" w:history="1">
        <w:r w:rsidRPr="00C1742C">
          <w:rPr>
            <w:rStyle w:val="Hyperlink"/>
            <w:rFonts w:ascii="Arial" w:hAnsi="Arial" w:cs="Arial"/>
            <w:b/>
            <w:sz w:val="20"/>
            <w:szCs w:val="20"/>
          </w:rPr>
          <w:t>CPTPP</w:t>
        </w:r>
      </w:hyperlink>
      <w:r w:rsidRPr="00AD08EC">
        <w:rPr>
          <w:rStyle w:val="Strong"/>
          <w:rFonts w:ascii="Arial" w:hAnsi="Arial" w:cs="Arial"/>
          <w:sz w:val="20"/>
          <w:szCs w:val="20"/>
        </w:rPr>
        <w:t xml:space="preserve">) </w:t>
      </w:r>
      <w:r w:rsidRPr="00AD08EC">
        <w:rPr>
          <w:rFonts w:ascii="Arial" w:eastAsia="Times New Roman" w:hAnsi="Arial" w:cs="Arial"/>
          <w:sz w:val="20"/>
          <w:szCs w:val="20"/>
        </w:rPr>
        <w:t>(</w:t>
      </w:r>
      <w:r w:rsidRPr="00AD08EC">
        <w:rPr>
          <w:rFonts w:ascii="Arial" w:eastAsia="Times New Roman" w:hAnsi="Arial" w:cs="Arial"/>
          <w:i/>
          <w:iCs/>
          <w:sz w:val="20"/>
          <w:szCs w:val="20"/>
        </w:rPr>
        <w:t>Signed: 08 March 2018. Effective date: 30 December 2018</w:t>
      </w:r>
      <w:r w:rsidRPr="00AD08EC">
        <w:rPr>
          <w:rFonts w:ascii="Arial" w:eastAsia="Times New Roman" w:hAnsi="Arial" w:cs="Arial"/>
          <w:sz w:val="20"/>
          <w:szCs w:val="20"/>
        </w:rPr>
        <w:t>):</w:t>
      </w:r>
      <w:r w:rsidRPr="00AD08EC">
        <w:rPr>
          <w:rFonts w:ascii="Arial" w:hAnsi="Arial" w:cs="Arial"/>
          <w:sz w:val="20"/>
          <w:szCs w:val="20"/>
        </w:rPr>
        <w:t xml:space="preserve"> Vietnam is a signatory to the CPTPP, which includes advanced provisions on industrial design protection. The CPTPP requires signatory countries to provide for the protection of industrial designs for at least 15 years and encourages enhanced enforcement measures.</w:t>
      </w:r>
    </w:p>
    <w:p w14:paraId="52A32681" w14:textId="77777777" w:rsidR="009D5785" w:rsidRPr="00AD08EC" w:rsidRDefault="009D5785" w:rsidP="009D5785">
      <w:pPr>
        <w:spacing w:after="0" w:line="240" w:lineRule="auto"/>
        <w:jc w:val="both"/>
        <w:rPr>
          <w:rFonts w:ascii="Arial" w:eastAsia="Times New Roman" w:hAnsi="Arial" w:cs="Arial"/>
          <w:sz w:val="20"/>
          <w:szCs w:val="20"/>
        </w:rPr>
      </w:pPr>
    </w:p>
    <w:p w14:paraId="0E108A01" w14:textId="76885E9E" w:rsidR="003970B8" w:rsidRPr="00AD08EC" w:rsidRDefault="003970B8" w:rsidP="003970B8">
      <w:pPr>
        <w:numPr>
          <w:ilvl w:val="0"/>
          <w:numId w:val="30"/>
        </w:numPr>
        <w:spacing w:after="0" w:line="240" w:lineRule="auto"/>
        <w:jc w:val="both"/>
        <w:rPr>
          <w:rStyle w:val="Strong"/>
          <w:rFonts w:ascii="Arial" w:eastAsia="Times New Roman" w:hAnsi="Arial" w:cs="Arial"/>
          <w:b w:val="0"/>
          <w:bCs w:val="0"/>
          <w:sz w:val="20"/>
          <w:szCs w:val="20"/>
        </w:rPr>
      </w:pPr>
      <w:r w:rsidRPr="00AD08EC">
        <w:rPr>
          <w:rStyle w:val="Strong"/>
          <w:rFonts w:ascii="Arial" w:hAnsi="Arial" w:cs="Arial"/>
          <w:sz w:val="20"/>
          <w:szCs w:val="20"/>
        </w:rPr>
        <w:t>Regional Comprehensive Economic Partnership (</w:t>
      </w:r>
      <w:hyperlink r:id="rId13" w:history="1">
        <w:r w:rsidRPr="00C1742C">
          <w:rPr>
            <w:rStyle w:val="Hyperlink"/>
            <w:rFonts w:ascii="Arial" w:hAnsi="Arial" w:cs="Arial"/>
            <w:b/>
            <w:sz w:val="20"/>
            <w:szCs w:val="20"/>
          </w:rPr>
          <w:t>RCEP</w:t>
        </w:r>
      </w:hyperlink>
      <w:r w:rsidRPr="00AD08EC">
        <w:rPr>
          <w:rStyle w:val="Strong"/>
          <w:rFonts w:ascii="Arial" w:hAnsi="Arial" w:cs="Arial"/>
          <w:sz w:val="20"/>
          <w:szCs w:val="20"/>
        </w:rPr>
        <w:t xml:space="preserve">) </w:t>
      </w:r>
      <w:r w:rsidRPr="00AD08EC">
        <w:rPr>
          <w:rFonts w:ascii="Arial" w:eastAsia="Times New Roman" w:hAnsi="Arial" w:cs="Arial"/>
          <w:sz w:val="20"/>
          <w:szCs w:val="20"/>
        </w:rPr>
        <w:t>(</w:t>
      </w:r>
      <w:r w:rsidRPr="00AD08EC">
        <w:rPr>
          <w:rFonts w:ascii="Arial" w:eastAsia="Times New Roman" w:hAnsi="Arial" w:cs="Arial"/>
          <w:i/>
          <w:iCs/>
          <w:sz w:val="20"/>
          <w:szCs w:val="20"/>
        </w:rPr>
        <w:t>Signed: 15 November 2020. Effective date: 01 January 2022</w:t>
      </w:r>
      <w:r w:rsidRPr="00AD08EC">
        <w:rPr>
          <w:rFonts w:ascii="Arial" w:eastAsia="Times New Roman" w:hAnsi="Arial" w:cs="Arial"/>
          <w:sz w:val="20"/>
          <w:szCs w:val="20"/>
        </w:rPr>
        <w:t>):</w:t>
      </w:r>
      <w:r w:rsidRPr="00AD08EC">
        <w:rPr>
          <w:rFonts w:ascii="Arial" w:hAnsi="Arial" w:cs="Arial"/>
          <w:sz w:val="20"/>
          <w:szCs w:val="20"/>
        </w:rPr>
        <w:t xml:space="preserve"> RCEP, which Vietnam joined in 2020, promotes regional cooperation on </w:t>
      </w:r>
      <w:r>
        <w:rPr>
          <w:rFonts w:ascii="Arial" w:hAnsi="Arial" w:cs="Arial"/>
          <w:sz w:val="20"/>
          <w:szCs w:val="20"/>
        </w:rPr>
        <w:t>IP</w:t>
      </w:r>
      <w:r w:rsidRPr="00AD08EC">
        <w:rPr>
          <w:rFonts w:ascii="Arial" w:hAnsi="Arial" w:cs="Arial"/>
          <w:sz w:val="20"/>
          <w:szCs w:val="20"/>
        </w:rPr>
        <w:t xml:space="preserve"> matters, including industrial designs. It sets out provisions for harmonizing IP protection across member countries and strengthening enforcement to protect industrial designs from infringement.</w:t>
      </w:r>
    </w:p>
    <w:p w14:paraId="2B8B04FB" w14:textId="77777777" w:rsidR="003970B8" w:rsidRPr="00975A9A" w:rsidRDefault="003970B8" w:rsidP="003970B8">
      <w:pPr>
        <w:spacing w:after="0" w:line="240" w:lineRule="auto"/>
        <w:ind w:left="720"/>
        <w:jc w:val="both"/>
        <w:rPr>
          <w:rStyle w:val="Strong"/>
          <w:rFonts w:ascii="Arial" w:eastAsia="Times New Roman" w:hAnsi="Arial" w:cs="Arial"/>
          <w:b w:val="0"/>
          <w:bCs w:val="0"/>
          <w:sz w:val="20"/>
          <w:szCs w:val="20"/>
        </w:rPr>
      </w:pPr>
    </w:p>
    <w:p w14:paraId="0F4AE901" w14:textId="77777777" w:rsidR="003970B8" w:rsidRPr="001E2239" w:rsidRDefault="003970B8" w:rsidP="003970B8">
      <w:pPr>
        <w:spacing w:after="0" w:line="240" w:lineRule="auto"/>
        <w:jc w:val="both"/>
        <w:rPr>
          <w:rFonts w:ascii="Arial" w:eastAsia="Times New Roman" w:hAnsi="Arial" w:cs="Arial"/>
          <w:b/>
          <w:bCs/>
          <w:color w:val="2F5496" w:themeColor="accent1" w:themeShade="BF"/>
        </w:rPr>
      </w:pPr>
      <w:r w:rsidRPr="001E2239">
        <w:rPr>
          <w:rFonts w:ascii="Arial" w:eastAsia="Times New Roman" w:hAnsi="Arial" w:cs="Arial"/>
          <w:b/>
          <w:bCs/>
          <w:color w:val="2F5496" w:themeColor="accent1" w:themeShade="BF"/>
        </w:rPr>
        <w:t xml:space="preserve">Current Legal </w:t>
      </w:r>
      <w:r>
        <w:rPr>
          <w:rFonts w:ascii="Arial" w:eastAsia="Times New Roman" w:hAnsi="Arial" w:cs="Arial"/>
          <w:b/>
          <w:bCs/>
          <w:color w:val="2F5496" w:themeColor="accent1" w:themeShade="BF"/>
        </w:rPr>
        <w:t xml:space="preserve">Industrial Design </w:t>
      </w:r>
      <w:r w:rsidRPr="001E2239">
        <w:rPr>
          <w:rFonts w:ascii="Arial" w:eastAsia="Times New Roman" w:hAnsi="Arial" w:cs="Arial"/>
          <w:b/>
          <w:bCs/>
          <w:color w:val="2F5496" w:themeColor="accent1" w:themeShade="BF"/>
        </w:rPr>
        <w:t>Framework</w:t>
      </w:r>
    </w:p>
    <w:p w14:paraId="47D97A58" w14:textId="77777777" w:rsidR="003970B8" w:rsidRPr="00614619" w:rsidRDefault="003970B8" w:rsidP="003970B8">
      <w:pPr>
        <w:spacing w:after="0" w:line="240" w:lineRule="auto"/>
        <w:jc w:val="both"/>
        <w:rPr>
          <w:rFonts w:ascii="Arial" w:eastAsia="Times New Roman" w:hAnsi="Arial" w:cs="Arial"/>
          <w:sz w:val="20"/>
          <w:szCs w:val="20"/>
        </w:rPr>
      </w:pPr>
    </w:p>
    <w:p w14:paraId="7D375789" w14:textId="77777777" w:rsidR="003970B8" w:rsidRPr="00614619" w:rsidRDefault="003970B8" w:rsidP="003970B8">
      <w:pPr>
        <w:spacing w:after="0" w:line="240" w:lineRule="auto"/>
        <w:jc w:val="both"/>
        <w:rPr>
          <w:rFonts w:ascii="Arial" w:eastAsia="Times New Roman" w:hAnsi="Arial" w:cs="Arial"/>
          <w:sz w:val="20"/>
          <w:szCs w:val="20"/>
        </w:rPr>
      </w:pPr>
      <w:r w:rsidRPr="00614619">
        <w:rPr>
          <w:rFonts w:ascii="Arial" w:eastAsia="Times New Roman" w:hAnsi="Arial" w:cs="Arial"/>
          <w:sz w:val="20"/>
          <w:szCs w:val="20"/>
        </w:rPr>
        <w:t xml:space="preserve">The following acts and legal documents serve as the foundation of </w:t>
      </w:r>
      <w:r>
        <w:rPr>
          <w:rFonts w:ascii="Arial" w:eastAsia="Times New Roman" w:hAnsi="Arial" w:cs="Arial"/>
          <w:sz w:val="20"/>
          <w:szCs w:val="20"/>
        </w:rPr>
        <w:t>industrial design</w:t>
      </w:r>
      <w:r w:rsidRPr="00614619">
        <w:rPr>
          <w:rFonts w:ascii="Arial" w:eastAsia="Times New Roman" w:hAnsi="Arial" w:cs="Arial"/>
          <w:sz w:val="20"/>
          <w:szCs w:val="20"/>
        </w:rPr>
        <w:t xml:space="preserve"> provisions in Vietnam:</w:t>
      </w:r>
    </w:p>
    <w:p w14:paraId="4F260D3E" w14:textId="77777777" w:rsidR="003970B8" w:rsidRPr="00614619" w:rsidRDefault="003970B8" w:rsidP="003970B8">
      <w:pPr>
        <w:spacing w:after="0" w:line="240" w:lineRule="auto"/>
        <w:jc w:val="both"/>
        <w:rPr>
          <w:rFonts w:ascii="Arial" w:eastAsia="Times New Roman" w:hAnsi="Arial" w:cs="Arial"/>
          <w:sz w:val="20"/>
          <w:szCs w:val="20"/>
        </w:rPr>
      </w:pPr>
    </w:p>
    <w:p w14:paraId="01D6E1B6" w14:textId="7B4ED61E" w:rsidR="003970B8" w:rsidRDefault="00C1742C" w:rsidP="003970B8">
      <w:pPr>
        <w:numPr>
          <w:ilvl w:val="0"/>
          <w:numId w:val="31"/>
        </w:numPr>
        <w:spacing w:after="0" w:line="240" w:lineRule="auto"/>
        <w:jc w:val="both"/>
        <w:rPr>
          <w:rFonts w:ascii="Arial" w:eastAsia="Times New Roman" w:hAnsi="Arial" w:cs="Arial"/>
          <w:sz w:val="20"/>
          <w:szCs w:val="20"/>
        </w:rPr>
      </w:pPr>
      <w:hyperlink r:id="rId14" w:history="1">
        <w:r w:rsidR="003970B8" w:rsidRPr="00C1742C">
          <w:rPr>
            <w:rStyle w:val="Hyperlink"/>
            <w:rFonts w:ascii="Arial" w:eastAsia="Times New Roman" w:hAnsi="Arial" w:cs="Arial"/>
            <w:b/>
            <w:bCs/>
            <w:sz w:val="20"/>
            <w:szCs w:val="20"/>
          </w:rPr>
          <w:t>IP Law</w:t>
        </w:r>
      </w:hyperlink>
      <w:r w:rsidR="003970B8" w:rsidRPr="00614619">
        <w:rPr>
          <w:rFonts w:ascii="Arial" w:eastAsia="Times New Roman" w:hAnsi="Arial" w:cs="Arial"/>
          <w:b/>
          <w:bCs/>
          <w:sz w:val="20"/>
          <w:szCs w:val="20"/>
        </w:rPr>
        <w:t xml:space="preserve"> </w:t>
      </w:r>
      <w:r w:rsidR="003970B8" w:rsidRPr="00AD08EC">
        <w:rPr>
          <w:rFonts w:ascii="Arial" w:eastAsia="Times New Roman" w:hAnsi="Arial" w:cs="Arial"/>
          <w:i/>
          <w:iCs/>
          <w:sz w:val="20"/>
          <w:szCs w:val="20"/>
        </w:rPr>
        <w:t xml:space="preserve">(2005, amended in 2009, 2019, and 2022): </w:t>
      </w:r>
      <w:r w:rsidR="003970B8" w:rsidRPr="00614619">
        <w:rPr>
          <w:rFonts w:ascii="Arial" w:eastAsia="Times New Roman" w:hAnsi="Arial" w:cs="Arial"/>
          <w:sz w:val="20"/>
          <w:szCs w:val="20"/>
        </w:rPr>
        <w:t xml:space="preserve">This </w:t>
      </w:r>
      <w:r w:rsidR="003970B8" w:rsidRPr="00614619">
        <w:rPr>
          <w:rFonts w:ascii="Arial" w:hAnsi="Arial" w:cs="Arial"/>
          <w:sz w:val="20"/>
          <w:szCs w:val="20"/>
        </w:rPr>
        <w:t xml:space="preserve">serves as the fundamental legal framework for all aspects of IP rights in Vietnam, including </w:t>
      </w:r>
      <w:r w:rsidR="003970B8">
        <w:rPr>
          <w:rFonts w:ascii="Arial" w:eastAsia="Times New Roman" w:hAnsi="Arial" w:cs="Arial"/>
          <w:sz w:val="20"/>
          <w:szCs w:val="20"/>
        </w:rPr>
        <w:t>industrial design</w:t>
      </w:r>
      <w:r w:rsidR="003970B8" w:rsidRPr="00614619">
        <w:rPr>
          <w:rFonts w:ascii="Arial" w:eastAsia="Times New Roman" w:hAnsi="Arial" w:cs="Arial"/>
          <w:sz w:val="20"/>
          <w:szCs w:val="20"/>
        </w:rPr>
        <w:t>.</w:t>
      </w:r>
    </w:p>
    <w:p w14:paraId="2B93A381" w14:textId="77777777" w:rsidR="009D5785" w:rsidRPr="00614619" w:rsidRDefault="009D5785" w:rsidP="009D5785">
      <w:pPr>
        <w:spacing w:after="0" w:line="240" w:lineRule="auto"/>
        <w:ind w:left="720"/>
        <w:jc w:val="both"/>
        <w:rPr>
          <w:rFonts w:ascii="Arial" w:eastAsia="Times New Roman" w:hAnsi="Arial" w:cs="Arial"/>
          <w:sz w:val="20"/>
          <w:szCs w:val="20"/>
        </w:rPr>
      </w:pPr>
    </w:p>
    <w:p w14:paraId="2B9DC2F5" w14:textId="79CC7E88" w:rsidR="003970B8" w:rsidRDefault="00C1742C" w:rsidP="003970B8">
      <w:pPr>
        <w:numPr>
          <w:ilvl w:val="0"/>
          <w:numId w:val="34"/>
        </w:numPr>
        <w:spacing w:after="0" w:line="240" w:lineRule="auto"/>
        <w:jc w:val="both"/>
        <w:rPr>
          <w:rFonts w:ascii="Arial" w:eastAsia="Times New Roman" w:hAnsi="Arial" w:cs="Arial"/>
          <w:sz w:val="20"/>
          <w:szCs w:val="20"/>
        </w:rPr>
      </w:pPr>
      <w:hyperlink r:id="rId15" w:history="1">
        <w:r w:rsidR="003970B8" w:rsidRPr="00C1742C">
          <w:rPr>
            <w:rStyle w:val="Hyperlink"/>
            <w:rFonts w:ascii="Arial" w:eastAsia="Times New Roman" w:hAnsi="Arial" w:cs="Arial"/>
            <w:b/>
            <w:bCs/>
            <w:sz w:val="20"/>
            <w:szCs w:val="20"/>
          </w:rPr>
          <w:t>Civil Code</w:t>
        </w:r>
      </w:hyperlink>
      <w:r w:rsidR="003970B8" w:rsidRPr="00614619">
        <w:rPr>
          <w:rFonts w:ascii="Arial" w:eastAsia="Times New Roman" w:hAnsi="Arial" w:cs="Arial"/>
          <w:b/>
          <w:bCs/>
          <w:sz w:val="20"/>
          <w:szCs w:val="20"/>
        </w:rPr>
        <w:t xml:space="preserve"> </w:t>
      </w:r>
      <w:r w:rsidR="003970B8" w:rsidRPr="00AD08EC">
        <w:rPr>
          <w:rFonts w:ascii="Arial" w:eastAsia="Times New Roman" w:hAnsi="Arial" w:cs="Arial"/>
          <w:sz w:val="20"/>
          <w:szCs w:val="20"/>
        </w:rPr>
        <w:t>(2015):</w:t>
      </w:r>
      <w:r w:rsidR="003970B8" w:rsidRPr="00614619">
        <w:rPr>
          <w:rFonts w:ascii="Arial" w:eastAsia="Times New Roman" w:hAnsi="Arial" w:cs="Arial"/>
          <w:sz w:val="20"/>
          <w:szCs w:val="20"/>
        </w:rPr>
        <w:t xml:space="preserve"> This provides general principles on civil liability and remedies, which can be applicable in </w:t>
      </w:r>
      <w:r w:rsidR="003970B8">
        <w:rPr>
          <w:rFonts w:ascii="Arial" w:eastAsia="Times New Roman" w:hAnsi="Arial" w:cs="Arial"/>
          <w:sz w:val="20"/>
          <w:szCs w:val="20"/>
        </w:rPr>
        <w:t>industrial design</w:t>
      </w:r>
      <w:r w:rsidR="003970B8" w:rsidRPr="00614619">
        <w:rPr>
          <w:rFonts w:ascii="Arial" w:eastAsia="Times New Roman" w:hAnsi="Arial" w:cs="Arial"/>
          <w:sz w:val="20"/>
          <w:szCs w:val="20"/>
        </w:rPr>
        <w:t xml:space="preserve"> disputes, particularly concerning damages and compensation.</w:t>
      </w:r>
    </w:p>
    <w:p w14:paraId="78063C76" w14:textId="77777777" w:rsidR="009D5785" w:rsidRPr="00614619" w:rsidRDefault="009D5785" w:rsidP="009D5785">
      <w:pPr>
        <w:spacing w:after="0" w:line="240" w:lineRule="auto"/>
        <w:ind w:left="720"/>
        <w:jc w:val="both"/>
        <w:rPr>
          <w:rFonts w:ascii="Arial" w:eastAsia="Times New Roman" w:hAnsi="Arial" w:cs="Arial"/>
          <w:sz w:val="20"/>
          <w:szCs w:val="20"/>
        </w:rPr>
      </w:pPr>
    </w:p>
    <w:p w14:paraId="5E4D018D" w14:textId="2C73101F" w:rsidR="003970B8" w:rsidRDefault="00C1742C" w:rsidP="003970B8">
      <w:pPr>
        <w:numPr>
          <w:ilvl w:val="0"/>
          <w:numId w:val="34"/>
        </w:numPr>
        <w:spacing w:after="0" w:line="240" w:lineRule="auto"/>
        <w:jc w:val="both"/>
        <w:rPr>
          <w:rFonts w:ascii="Arial" w:eastAsia="Times New Roman" w:hAnsi="Arial" w:cs="Arial"/>
          <w:sz w:val="20"/>
          <w:szCs w:val="20"/>
        </w:rPr>
      </w:pPr>
      <w:hyperlink r:id="rId16" w:history="1">
        <w:r w:rsidR="003970B8" w:rsidRPr="00C1742C">
          <w:rPr>
            <w:rStyle w:val="Hyperlink"/>
            <w:rFonts w:ascii="Arial" w:eastAsia="Times New Roman" w:hAnsi="Arial" w:cs="Arial"/>
            <w:b/>
            <w:bCs/>
            <w:sz w:val="20"/>
            <w:szCs w:val="20"/>
          </w:rPr>
          <w:t>Civil Procedure Code</w:t>
        </w:r>
      </w:hyperlink>
      <w:r w:rsidR="003970B8" w:rsidRPr="00614619">
        <w:rPr>
          <w:rFonts w:ascii="Arial" w:eastAsia="Times New Roman" w:hAnsi="Arial" w:cs="Arial"/>
          <w:b/>
          <w:bCs/>
          <w:sz w:val="20"/>
          <w:szCs w:val="20"/>
        </w:rPr>
        <w:t xml:space="preserve"> </w:t>
      </w:r>
      <w:r w:rsidR="003970B8" w:rsidRPr="00AD08EC">
        <w:rPr>
          <w:rFonts w:ascii="Arial" w:eastAsia="Times New Roman" w:hAnsi="Arial" w:cs="Arial"/>
          <w:sz w:val="20"/>
          <w:szCs w:val="20"/>
        </w:rPr>
        <w:t>(2015):</w:t>
      </w:r>
      <w:r w:rsidR="003970B8" w:rsidRPr="00614619">
        <w:rPr>
          <w:rFonts w:ascii="Arial" w:eastAsia="Times New Roman" w:hAnsi="Arial" w:cs="Arial"/>
          <w:sz w:val="20"/>
          <w:szCs w:val="20"/>
        </w:rPr>
        <w:t xml:space="preserve"> This sets out the procedural rules for initiating and conducting civil lawsuits, including those related to </w:t>
      </w:r>
      <w:r w:rsidR="003970B8">
        <w:rPr>
          <w:rFonts w:ascii="Arial" w:eastAsia="Times New Roman" w:hAnsi="Arial" w:cs="Arial"/>
          <w:sz w:val="20"/>
          <w:szCs w:val="20"/>
        </w:rPr>
        <w:t>industrial design</w:t>
      </w:r>
      <w:r w:rsidR="003970B8" w:rsidRPr="00614619">
        <w:rPr>
          <w:rFonts w:ascii="Arial" w:eastAsia="Times New Roman" w:hAnsi="Arial" w:cs="Arial"/>
          <w:sz w:val="20"/>
          <w:szCs w:val="20"/>
        </w:rPr>
        <w:t xml:space="preserve"> infringement.</w:t>
      </w:r>
    </w:p>
    <w:p w14:paraId="0ADB3685" w14:textId="77777777" w:rsidR="009D5785" w:rsidRPr="00614619" w:rsidRDefault="009D5785" w:rsidP="009D5785">
      <w:pPr>
        <w:spacing w:after="0" w:line="240" w:lineRule="auto"/>
        <w:ind w:left="720"/>
        <w:jc w:val="both"/>
        <w:rPr>
          <w:rFonts w:ascii="Arial" w:eastAsia="Times New Roman" w:hAnsi="Arial" w:cs="Arial"/>
          <w:sz w:val="20"/>
          <w:szCs w:val="20"/>
        </w:rPr>
      </w:pPr>
    </w:p>
    <w:p w14:paraId="4B41792E" w14:textId="77777777" w:rsidR="003970B8" w:rsidRPr="00614619" w:rsidRDefault="003970B8" w:rsidP="003970B8">
      <w:pPr>
        <w:numPr>
          <w:ilvl w:val="0"/>
          <w:numId w:val="34"/>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Relevant Decrees, Circulars and Joint Circulars:</w:t>
      </w:r>
      <w:r w:rsidRPr="00614619">
        <w:rPr>
          <w:rFonts w:ascii="Arial" w:eastAsia="Times New Roman" w:hAnsi="Arial" w:cs="Arial"/>
          <w:sz w:val="20"/>
          <w:szCs w:val="20"/>
        </w:rPr>
        <w:t xml:space="preserve"> These provide detailed guidance and implementation regulations for the above laws. Notable examples include:</w:t>
      </w:r>
    </w:p>
    <w:p w14:paraId="29D2B653" w14:textId="77777777" w:rsidR="003970B8" w:rsidRPr="00614619" w:rsidRDefault="003970B8" w:rsidP="003970B8">
      <w:pPr>
        <w:spacing w:after="0" w:line="240" w:lineRule="auto"/>
        <w:ind w:left="720"/>
        <w:jc w:val="both"/>
        <w:rPr>
          <w:rFonts w:ascii="Arial" w:eastAsia="Times New Roman" w:hAnsi="Arial" w:cs="Arial"/>
          <w:sz w:val="20"/>
          <w:szCs w:val="20"/>
        </w:rPr>
      </w:pPr>
    </w:p>
    <w:p w14:paraId="13A9551D" w14:textId="35F06C5B" w:rsidR="003970B8" w:rsidRPr="008872A2" w:rsidRDefault="005F6CFE"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17" w:tgtFrame="_blank" w:history="1">
        <w:r w:rsidRPr="008872A2">
          <w:rPr>
            <w:rStyle w:val="Hyperlink"/>
            <w:rFonts w:ascii="Arial" w:hAnsi="Arial" w:cs="Arial"/>
            <w:sz w:val="20"/>
            <w:szCs w:val="20"/>
            <w:u w:val="none"/>
            <w:bdr w:val="none" w:sz="0" w:space="0" w:color="auto" w:frame="1"/>
            <w:shd w:val="clear" w:color="auto" w:fill="FFFFFF"/>
          </w:rPr>
          <w:t>Decree No. 65/2023/ND-CP</w:t>
        </w:r>
      </w:hyperlink>
      <w:r w:rsidRPr="008872A2">
        <w:rPr>
          <w:rFonts w:ascii="Arial" w:eastAsia="Times New Roman" w:hAnsi="Arial" w:cs="Arial"/>
          <w:sz w:val="20"/>
          <w:szCs w:val="20"/>
        </w:rPr>
        <w:t xml:space="preserve"> </w:t>
      </w:r>
      <w:r w:rsidR="003970B8" w:rsidRPr="008872A2">
        <w:rPr>
          <w:rFonts w:ascii="Arial" w:eastAsia="Times New Roman" w:hAnsi="Arial" w:cs="Arial"/>
          <w:sz w:val="20"/>
          <w:szCs w:val="20"/>
        </w:rPr>
        <w:t>detailing and guiding the implementation of several articles of the IP Law.</w:t>
      </w:r>
    </w:p>
    <w:p w14:paraId="6232ED89" w14:textId="5C9D1021" w:rsidR="003970B8"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18" w:tgtFrame="_blank" w:history="1">
        <w:r w:rsidRPr="008872A2">
          <w:rPr>
            <w:rStyle w:val="Hyperlink"/>
            <w:rFonts w:ascii="Arial" w:hAnsi="Arial" w:cs="Arial"/>
            <w:sz w:val="20"/>
            <w:szCs w:val="20"/>
            <w:u w:val="none"/>
            <w:bdr w:val="none" w:sz="0" w:space="0" w:color="auto" w:frame="1"/>
            <w:shd w:val="clear" w:color="auto" w:fill="FFFFFF"/>
          </w:rPr>
          <w:t>Decree No. 99/2013/ND-CP</w:t>
        </w:r>
      </w:hyperlink>
      <w:r w:rsidRPr="008872A2">
        <w:rPr>
          <w:rFonts w:ascii="Arial" w:eastAsia="Times New Roman" w:hAnsi="Arial" w:cs="Arial"/>
          <w:sz w:val="20"/>
          <w:szCs w:val="20"/>
        </w:rPr>
        <w:t xml:space="preserve"> </w:t>
      </w:r>
      <w:r w:rsidR="003970B8" w:rsidRPr="008872A2">
        <w:rPr>
          <w:rFonts w:ascii="Arial" w:eastAsia="Times New Roman" w:hAnsi="Arial" w:cs="Arial"/>
          <w:sz w:val="20"/>
          <w:szCs w:val="20"/>
        </w:rPr>
        <w:t>on the sanctioning of administrative violations in the field of industrial property, revised under Decree No. 46/2024/NĐ-CP.</w:t>
      </w:r>
    </w:p>
    <w:p w14:paraId="56CF7CDB" w14:textId="55D953EA" w:rsidR="003970B8"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19" w:tgtFrame="_blank" w:history="1">
        <w:r w:rsidRPr="008872A2">
          <w:rPr>
            <w:rStyle w:val="Hyperlink"/>
            <w:rFonts w:ascii="Arial" w:hAnsi="Arial" w:cs="Arial"/>
            <w:sz w:val="20"/>
            <w:szCs w:val="20"/>
            <w:u w:val="none"/>
            <w:bdr w:val="none" w:sz="0" w:space="0" w:color="auto" w:frame="1"/>
            <w:shd w:val="clear" w:color="auto" w:fill="FFFFFF"/>
          </w:rPr>
          <w:t>Circular No. 23/2023/TT-BKHCN</w:t>
        </w:r>
      </w:hyperlink>
      <w:r w:rsidRPr="008872A2">
        <w:rPr>
          <w:rFonts w:ascii="Arial" w:eastAsia="Times New Roman" w:hAnsi="Arial" w:cs="Arial"/>
          <w:sz w:val="20"/>
          <w:szCs w:val="20"/>
        </w:rPr>
        <w:t xml:space="preserve"> </w:t>
      </w:r>
      <w:r w:rsidR="003970B8" w:rsidRPr="008872A2">
        <w:rPr>
          <w:rFonts w:ascii="Arial" w:eastAsia="Times New Roman" w:hAnsi="Arial" w:cs="Arial"/>
          <w:sz w:val="20"/>
          <w:szCs w:val="20"/>
        </w:rPr>
        <w:t xml:space="preserve">providing detailed guidance on the IP Law and implements measures from </w:t>
      </w:r>
      <w:bookmarkStart w:id="3" w:name="_GoBack"/>
      <w:bookmarkEnd w:id="3"/>
      <w:r w:rsidR="003970B8" w:rsidRPr="008872A2">
        <w:rPr>
          <w:rFonts w:ascii="Arial" w:eastAsia="Times New Roman" w:hAnsi="Arial" w:cs="Arial"/>
          <w:sz w:val="20"/>
          <w:szCs w:val="20"/>
        </w:rPr>
        <w:t>Decree 65/2023/ND-CP, particularly focusing on procedures for establishing and protecting industrial property rights.</w:t>
      </w:r>
    </w:p>
    <w:p w14:paraId="70F5C076" w14:textId="148461CA" w:rsidR="003970B8" w:rsidRPr="008872A2" w:rsidRDefault="001E1B72" w:rsidP="003970B8">
      <w:pPr>
        <w:pStyle w:val="ListParagraph"/>
        <w:numPr>
          <w:ilvl w:val="1"/>
          <w:numId w:val="34"/>
        </w:numPr>
        <w:spacing w:after="0" w:line="240" w:lineRule="auto"/>
        <w:ind w:left="1350" w:hanging="630"/>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5A8370F" wp14:editId="71929C91">
                <wp:simplePos x="0" y="0"/>
                <wp:positionH relativeFrom="page">
                  <wp:posOffset>7067550</wp:posOffset>
                </wp:positionH>
                <wp:positionV relativeFrom="paragraph">
                  <wp:posOffset>-209550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94752" w14:textId="77777777" w:rsidR="001E1B72" w:rsidRPr="00BA68B8" w:rsidRDefault="001E1B72" w:rsidP="001E1B72">
                            <w:pPr>
                              <w:spacing w:after="0" w:line="240" w:lineRule="auto"/>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8370F" id="Rectangle 2" o:spid="_x0000_s1029" style="position:absolute;left:0;text-align:left;margin-left:556.5pt;margin-top:-16.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" fillcolor="#00b39c" strokecolor="#00b39c" strokeweight="0">
                <v:textbox style="layout-flow:vertical" inset=",1.3mm,1.3mm">
                  <w:txbxContent>
                    <w:p w14:paraId="03294752" w14:textId="77777777" w:rsidR="001E1B72" w:rsidRPr="00BA68B8" w:rsidRDefault="001E1B72" w:rsidP="001E1B72">
                      <w:pPr>
                        <w:spacing w:after="0" w:line="240" w:lineRule="auto"/>
                        <w:rPr>
                          <w:rFonts w:ascii="Arial" w:hAnsi="Arial" w:cs="Arial"/>
                          <w:b/>
                          <w:color w:val="FFFFFF" w:themeColor="background1"/>
                          <w:sz w:val="20"/>
                          <w:szCs w:val="20"/>
                        </w:rPr>
                      </w:pPr>
                      <w:r w:rsidRPr="004F5DFB">
                        <w:rPr>
                          <w:rFonts w:ascii="Arial" w:hAnsi="Arial" w:cs="Arial"/>
                          <w:b/>
                          <w:bCs/>
                          <w:color w:val="FFFFFF" w:themeColor="background1"/>
                          <w:sz w:val="20"/>
                          <w:szCs w:val="20"/>
                        </w:rPr>
                        <w:t>Industrial Design Law in Vietnam</w:t>
                      </w:r>
                    </w:p>
                  </w:txbxContent>
                </v:textbox>
                <w10:wrap anchorx="page"/>
              </v:rect>
            </w:pict>
          </mc:Fallback>
        </mc:AlternateContent>
      </w:r>
      <w:hyperlink r:id="rId20" w:tgtFrame="_blank" w:history="1">
        <w:r w:rsidR="008872A2" w:rsidRPr="008872A2">
          <w:rPr>
            <w:rStyle w:val="Hyperlink"/>
            <w:rFonts w:ascii="Arial" w:hAnsi="Arial" w:cs="Arial"/>
            <w:sz w:val="20"/>
            <w:szCs w:val="20"/>
            <w:u w:val="none"/>
            <w:bdr w:val="none" w:sz="0" w:space="0" w:color="auto" w:frame="1"/>
            <w:shd w:val="clear" w:color="auto" w:fill="FFFFFF"/>
          </w:rPr>
          <w:t>Circular No. 11/2015/TT-BKHCN</w:t>
        </w:r>
      </w:hyperlink>
      <w:r w:rsidR="008872A2" w:rsidRPr="008872A2">
        <w:rPr>
          <w:rFonts w:ascii="Arial" w:hAnsi="Arial" w:cs="Arial"/>
          <w:sz w:val="20"/>
          <w:szCs w:val="20"/>
        </w:rPr>
        <w:t xml:space="preserve"> </w:t>
      </w:r>
      <w:r w:rsidR="003970B8" w:rsidRPr="008872A2">
        <w:rPr>
          <w:rFonts w:ascii="Arial" w:hAnsi="Arial" w:cs="Arial"/>
          <w:sz w:val="20"/>
          <w:szCs w:val="20"/>
        </w:rPr>
        <w:t>providing detailed instructions on how to handle administrative violations related to IP rights in Vietnam, specifying the procedures for imposing sanctions and addressing various violations outlined in Decree No. 99/2013/ND-CP.</w:t>
      </w:r>
    </w:p>
    <w:p w14:paraId="1EE56615" w14:textId="696FBD95" w:rsidR="003970B8"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21" w:tgtFrame="_blank" w:history="1">
        <w:r w:rsidRPr="008872A2">
          <w:rPr>
            <w:rStyle w:val="Hyperlink"/>
            <w:rFonts w:ascii="Arial" w:hAnsi="Arial" w:cs="Arial"/>
            <w:sz w:val="20"/>
            <w:szCs w:val="20"/>
            <w:u w:val="none"/>
            <w:bdr w:val="none" w:sz="0" w:space="0" w:color="auto" w:frame="1"/>
            <w:shd w:val="clear" w:color="auto" w:fill="FFFFFF"/>
          </w:rPr>
          <w:t>Joint Circular No. 01/2008/TTLT-TANDTC-VKSNDTC-BCA-BTP</w:t>
        </w:r>
      </w:hyperlink>
      <w:r w:rsidRPr="008872A2">
        <w:rPr>
          <w:rFonts w:ascii="Arial" w:hAnsi="Arial" w:cs="Arial"/>
          <w:sz w:val="20"/>
          <w:szCs w:val="20"/>
        </w:rPr>
        <w:t xml:space="preserve"> </w:t>
      </w:r>
      <w:r w:rsidR="003970B8" w:rsidRPr="008872A2">
        <w:rPr>
          <w:rFonts w:ascii="Arial" w:hAnsi="Arial" w:cs="Arial"/>
          <w:sz w:val="20"/>
          <w:szCs w:val="20"/>
        </w:rPr>
        <w:t>guiding the examination of penal liability for acts of infringing upon IP rights</w:t>
      </w:r>
    </w:p>
    <w:p w14:paraId="6189E6CE" w14:textId="7AB0D1A8" w:rsidR="003970B8"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22" w:tgtFrame="_blank" w:history="1">
        <w:r w:rsidRPr="008872A2">
          <w:rPr>
            <w:rStyle w:val="Hyperlink"/>
            <w:rFonts w:ascii="Arial" w:hAnsi="Arial" w:cs="Arial"/>
            <w:sz w:val="20"/>
            <w:szCs w:val="20"/>
            <w:u w:val="none"/>
            <w:bdr w:val="none" w:sz="0" w:space="0" w:color="auto" w:frame="1"/>
            <w:shd w:val="clear" w:color="auto" w:fill="FFFFFF"/>
          </w:rPr>
          <w:t>Joint Circular No. 02-2008-TTLT-TANDTC-VKSNDTC-BVHTTDL-BKHCN-BTP</w:t>
        </w:r>
      </w:hyperlink>
      <w:r w:rsidRPr="008872A2">
        <w:rPr>
          <w:rFonts w:ascii="Arial" w:hAnsi="Arial" w:cs="Arial"/>
          <w:sz w:val="20"/>
          <w:szCs w:val="20"/>
        </w:rPr>
        <w:t xml:space="preserve"> </w:t>
      </w:r>
      <w:r w:rsidR="003970B8" w:rsidRPr="008872A2">
        <w:rPr>
          <w:rFonts w:ascii="Arial" w:hAnsi="Arial" w:cs="Arial"/>
          <w:sz w:val="20"/>
          <w:szCs w:val="20"/>
        </w:rPr>
        <w:t>guiding the application of a number of legal provisions to the settlement of disputes over IP rights at people’s courts.</w:t>
      </w:r>
    </w:p>
    <w:p w14:paraId="02684900" w14:textId="14B2DE24" w:rsidR="003970B8"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23" w:tgtFrame="_blank" w:history="1">
        <w:r w:rsidRPr="008872A2">
          <w:rPr>
            <w:rStyle w:val="Hyperlink"/>
            <w:rFonts w:ascii="Arial" w:hAnsi="Arial" w:cs="Arial"/>
            <w:sz w:val="20"/>
            <w:szCs w:val="20"/>
            <w:u w:val="none"/>
            <w:bdr w:val="none" w:sz="0" w:space="0" w:color="auto" w:frame="1"/>
            <w:shd w:val="clear" w:color="auto" w:fill="FFFFFF"/>
          </w:rPr>
          <w:t>Joint Circular no. 05/2016/TTLT-BKHCN-BKHDT</w:t>
        </w:r>
      </w:hyperlink>
      <w:r w:rsidRPr="008872A2">
        <w:rPr>
          <w:rFonts w:ascii="Arial" w:hAnsi="Arial" w:cs="Arial"/>
          <w:sz w:val="20"/>
          <w:szCs w:val="20"/>
        </w:rPr>
        <w:t xml:space="preserve"> </w:t>
      </w:r>
      <w:r w:rsidR="003970B8" w:rsidRPr="008872A2">
        <w:rPr>
          <w:rFonts w:ascii="Arial" w:hAnsi="Arial" w:cs="Arial"/>
          <w:sz w:val="20"/>
          <w:szCs w:val="20"/>
        </w:rPr>
        <w:t>BKHDT on detailing and guiding measures agaisnt corporate names that infringe industrial property rights.</w:t>
      </w:r>
    </w:p>
    <w:p w14:paraId="75C54882" w14:textId="521D1CA7" w:rsidR="003970B8"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hyperlink r:id="rId24" w:tgtFrame="_blank" w:history="1">
        <w:r w:rsidRPr="008872A2">
          <w:rPr>
            <w:rStyle w:val="Hyperlink"/>
            <w:rFonts w:ascii="Arial" w:hAnsi="Arial" w:cs="Arial"/>
            <w:sz w:val="20"/>
            <w:szCs w:val="20"/>
            <w:u w:val="none"/>
            <w:bdr w:val="none" w:sz="0" w:space="0" w:color="auto" w:frame="1"/>
            <w:shd w:val="clear" w:color="auto" w:fill="FFFFFF"/>
          </w:rPr>
          <w:t>Joint Circular 14/2016/TTLT-BTTTT-BKHCN</w:t>
        </w:r>
      </w:hyperlink>
      <w:r w:rsidRPr="008872A2">
        <w:rPr>
          <w:rFonts w:ascii="Arial" w:hAnsi="Arial" w:cs="Arial"/>
          <w:color w:val="000000"/>
          <w:sz w:val="20"/>
          <w:szCs w:val="20"/>
        </w:rPr>
        <w:t xml:space="preserve"> </w:t>
      </w:r>
      <w:r w:rsidR="003970B8" w:rsidRPr="008872A2">
        <w:rPr>
          <w:rFonts w:ascii="Arial" w:hAnsi="Arial" w:cs="Arial"/>
          <w:color w:val="000000"/>
          <w:sz w:val="20"/>
          <w:szCs w:val="20"/>
        </w:rPr>
        <w:t>guiding the order and procedures for changing and revoking domain names infringing upon the IP rights.</w:t>
      </w:r>
    </w:p>
    <w:p w14:paraId="41E126CF" w14:textId="1B67DB51" w:rsidR="008872A2" w:rsidRPr="008872A2" w:rsidRDefault="008872A2" w:rsidP="003970B8">
      <w:pPr>
        <w:pStyle w:val="ListParagraph"/>
        <w:numPr>
          <w:ilvl w:val="1"/>
          <w:numId w:val="34"/>
        </w:numPr>
        <w:spacing w:after="0" w:line="240" w:lineRule="auto"/>
        <w:ind w:left="1350" w:hanging="630"/>
        <w:jc w:val="both"/>
        <w:rPr>
          <w:rFonts w:ascii="Arial" w:eastAsia="Times New Roman" w:hAnsi="Arial" w:cs="Arial"/>
          <w:sz w:val="20"/>
          <w:szCs w:val="20"/>
        </w:rPr>
      </w:pPr>
      <w:r w:rsidRPr="008872A2">
        <w:rPr>
          <w:rFonts w:ascii="Arial" w:hAnsi="Arial" w:cs="Arial"/>
          <w:color w:val="000000"/>
          <w:sz w:val="20"/>
          <w:szCs w:val="20"/>
          <w:shd w:val="clear" w:color="auto" w:fill="FFFFFF"/>
        </w:rPr>
        <w:t>(Resolution No. 02/2020/NQ-HDTP of September 24, 2020, of the Judicial Council of the Supreme People’s Court guiding the application of some provisions stipulating provisional measures in the Civil Procedure Code (“Resolution No. 02/2020”).</w:t>
      </w:r>
    </w:p>
    <w:bookmarkEnd w:id="2"/>
    <w:p w14:paraId="2C7B9652" w14:textId="77777777" w:rsidR="003970B8" w:rsidRPr="00614619" w:rsidRDefault="003970B8" w:rsidP="003970B8">
      <w:pPr>
        <w:spacing w:after="0" w:line="240" w:lineRule="auto"/>
        <w:jc w:val="both"/>
        <w:rPr>
          <w:rFonts w:ascii="Arial" w:eastAsia="Times New Roman" w:hAnsi="Arial" w:cs="Arial"/>
          <w:sz w:val="20"/>
          <w:szCs w:val="20"/>
        </w:rPr>
      </w:pPr>
    </w:p>
    <w:p w14:paraId="2BBDDDEE" w14:textId="77777777" w:rsidR="004F5DFB" w:rsidRPr="004B198B" w:rsidRDefault="00CE7D65" w:rsidP="004F5DFB">
      <w:pPr>
        <w:pStyle w:val="NormalWeb"/>
        <w:spacing w:before="0" w:beforeAutospacing="0" w:after="0" w:afterAutospacing="0" w:line="312" w:lineRule="auto"/>
        <w:ind w:left="720"/>
        <w:jc w:val="right"/>
        <w:rPr>
          <w:rFonts w:ascii="Arial" w:hAnsi="Arial" w:cs="Arial"/>
          <w:b/>
          <w:bCs/>
          <w:color w:val="000000"/>
          <w:sz w:val="20"/>
          <w:szCs w:val="20"/>
        </w:rPr>
      </w:pPr>
      <w:hyperlink r:id="rId25" w:tgtFrame="_blank" w:history="1">
        <w:r w:rsidR="004F5DFB" w:rsidRPr="00615D9F">
          <w:rPr>
            <w:rStyle w:val="Hyperlink"/>
            <w:rFonts w:ascii="Arial" w:hAnsi="Arial" w:cs="Arial"/>
            <w:b/>
            <w:bCs/>
            <w:color w:val="000000"/>
            <w:sz w:val="20"/>
            <w:szCs w:val="20"/>
            <w:u w:val="none"/>
          </w:rPr>
          <w:t>QUAN, Nguyen Vu</w:t>
        </w:r>
      </w:hyperlink>
      <w:r w:rsidR="004F5DFB" w:rsidRPr="00615D9F">
        <w:rPr>
          <w:rStyle w:val="Strong"/>
          <w:rFonts w:ascii="Arial" w:hAnsi="Arial" w:cs="Arial"/>
          <w:color w:val="000000"/>
          <w:sz w:val="20"/>
          <w:szCs w:val="20"/>
        </w:rPr>
        <w:t> </w:t>
      </w:r>
      <w:r w:rsidR="004F5DFB">
        <w:rPr>
          <w:rStyle w:val="Strong"/>
          <w:rFonts w:ascii="Arial" w:hAnsi="Arial" w:cs="Arial"/>
          <w:color w:val="000000"/>
          <w:sz w:val="20"/>
          <w:szCs w:val="20"/>
        </w:rPr>
        <w:t xml:space="preserve">| </w:t>
      </w:r>
      <w:r w:rsidR="004F5DFB" w:rsidRPr="00615D9F">
        <w:rPr>
          <w:rStyle w:val="Strong"/>
          <w:rFonts w:ascii="Arial" w:hAnsi="Arial" w:cs="Arial"/>
          <w:color w:val="000000"/>
          <w:sz w:val="20"/>
          <w:szCs w:val="20"/>
        </w:rPr>
        <w:t>Partner, IP Attorney</w:t>
      </w:r>
    </w:p>
    <w:p w14:paraId="32601084" w14:textId="071B4BD7"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241E7987" w:rsidR="0091740F" w:rsidRPr="00D03044" w:rsidRDefault="009D5785"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4DF6365C">
                <wp:simplePos x="0" y="0"/>
                <wp:positionH relativeFrom="margin">
                  <wp:posOffset>190500</wp:posOffset>
                </wp:positionH>
                <wp:positionV relativeFrom="paragraph">
                  <wp:posOffset>1905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E7D65" w:rsidP="0091740F">
                            <w:pPr>
                              <w:spacing w:before="20" w:afterLines="20" w:after="48" w:line="240" w:lineRule="auto"/>
                              <w:ind w:left="142"/>
                              <w:rPr>
                                <w:rFonts w:ascii="Arial" w:hAnsi="Arial" w:cs="Arial"/>
                                <w:b/>
                                <w:color w:val="000000" w:themeColor="text1"/>
                                <w:sz w:val="20"/>
                                <w:szCs w:val="20"/>
                              </w:rPr>
                            </w:pPr>
                            <w:hyperlink r:id="rId2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15pt;margin-top:.15pt;width:264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E7D65" w:rsidP="0091740F">
                      <w:pPr>
                        <w:spacing w:before="20" w:afterLines="20" w:after="48" w:line="240" w:lineRule="auto"/>
                        <w:ind w:left="142"/>
                        <w:rPr>
                          <w:rFonts w:ascii="Arial" w:hAnsi="Arial" w:cs="Arial"/>
                          <w:b/>
                          <w:color w:val="000000" w:themeColor="text1"/>
                          <w:sz w:val="20"/>
                          <w:szCs w:val="20"/>
                        </w:rPr>
                      </w:pPr>
                      <w:hyperlink r:id="rId2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652872F0" w:rsidR="0091740F" w:rsidRPr="00D03044" w:rsidRDefault="0091740F" w:rsidP="0091740F">
      <w:pPr>
        <w:spacing w:after="0" w:line="240" w:lineRule="auto"/>
        <w:rPr>
          <w:rFonts w:ascii="Arial" w:hAnsi="Arial" w:cs="Arial"/>
        </w:rPr>
      </w:pPr>
    </w:p>
    <w:p w14:paraId="01B7E910" w14:textId="32A98734" w:rsidR="0091740F" w:rsidRPr="00D03044" w:rsidRDefault="0091740F" w:rsidP="0091740F">
      <w:pPr>
        <w:rPr>
          <w:rFonts w:ascii="Arial" w:hAnsi="Arial" w:cs="Arial"/>
          <w:sz w:val="20"/>
          <w:szCs w:val="20"/>
        </w:rPr>
      </w:pPr>
    </w:p>
    <w:p w14:paraId="0774A8DD" w14:textId="29B4E1D0"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7C78A83D"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6ACBB653" w:rsidR="00077D04" w:rsidRPr="00834613" w:rsidRDefault="00077D04" w:rsidP="009A357F">
      <w:pPr>
        <w:spacing w:after="0" w:line="240" w:lineRule="auto"/>
        <w:jc w:val="both"/>
        <w:rPr>
          <w:rFonts w:ascii="Arial" w:hAnsi="Arial" w:cs="Arial"/>
          <w:sz w:val="20"/>
          <w:szCs w:val="20"/>
          <w:lang w:val="en-GB"/>
        </w:rPr>
      </w:pPr>
    </w:p>
    <w:sectPr w:rsidR="00077D04" w:rsidRPr="00834613" w:rsidSect="00EB36D0">
      <w:footerReference w:type="default" r:id="rId28"/>
      <w:pgSz w:w="11906" w:h="16838" w:code="9"/>
      <w:pgMar w:top="851"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9BA1" w14:textId="77777777" w:rsidR="00CE7D65" w:rsidRDefault="00CE7D65" w:rsidP="00E57781">
      <w:pPr>
        <w:spacing w:after="0" w:line="240" w:lineRule="auto"/>
      </w:pPr>
      <w:r>
        <w:separator/>
      </w:r>
    </w:p>
  </w:endnote>
  <w:endnote w:type="continuationSeparator" w:id="0">
    <w:p w14:paraId="263400D9" w14:textId="77777777" w:rsidR="00CE7D65" w:rsidRDefault="00CE7D65"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CE7D65"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8BE49" w14:textId="77777777" w:rsidR="00CE7D65" w:rsidRDefault="00CE7D65" w:rsidP="00E57781">
      <w:pPr>
        <w:spacing w:after="0" w:line="240" w:lineRule="auto"/>
      </w:pPr>
      <w:r>
        <w:separator/>
      </w:r>
    </w:p>
  </w:footnote>
  <w:footnote w:type="continuationSeparator" w:id="0">
    <w:p w14:paraId="34CD8D9C" w14:textId="77777777" w:rsidR="00CE7D65" w:rsidRDefault="00CE7D65"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02136"/>
    <w:multiLevelType w:val="multilevel"/>
    <w:tmpl w:val="7E1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7292B"/>
    <w:multiLevelType w:val="multilevel"/>
    <w:tmpl w:val="12E4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C3339"/>
    <w:multiLevelType w:val="hybridMultilevel"/>
    <w:tmpl w:val="9080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76F21"/>
    <w:multiLevelType w:val="multilevel"/>
    <w:tmpl w:val="B05899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35B81"/>
    <w:multiLevelType w:val="hybridMultilevel"/>
    <w:tmpl w:val="45D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82021"/>
    <w:multiLevelType w:val="multilevel"/>
    <w:tmpl w:val="85C69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9"/>
  </w:num>
  <w:num w:numId="4">
    <w:abstractNumId w:val="4"/>
  </w:num>
  <w:num w:numId="5">
    <w:abstractNumId w:val="5"/>
  </w:num>
  <w:num w:numId="6">
    <w:abstractNumId w:val="11"/>
  </w:num>
  <w:num w:numId="7">
    <w:abstractNumId w:val="1"/>
  </w:num>
  <w:num w:numId="8">
    <w:abstractNumId w:val="15"/>
  </w:num>
  <w:num w:numId="9">
    <w:abstractNumId w:val="2"/>
  </w:num>
  <w:num w:numId="10">
    <w:abstractNumId w:val="32"/>
  </w:num>
  <w:num w:numId="11">
    <w:abstractNumId w:val="10"/>
  </w:num>
  <w:num w:numId="12">
    <w:abstractNumId w:val="0"/>
  </w:num>
  <w:num w:numId="13">
    <w:abstractNumId w:val="8"/>
  </w:num>
  <w:num w:numId="14">
    <w:abstractNumId w:val="31"/>
  </w:num>
  <w:num w:numId="15">
    <w:abstractNumId w:val="6"/>
  </w:num>
  <w:num w:numId="16">
    <w:abstractNumId w:val="7"/>
  </w:num>
  <w:num w:numId="17">
    <w:abstractNumId w:val="3"/>
  </w:num>
  <w:num w:numId="18">
    <w:abstractNumId w:val="14"/>
  </w:num>
  <w:num w:numId="19">
    <w:abstractNumId w:val="26"/>
  </w:num>
  <w:num w:numId="20">
    <w:abstractNumId w:val="33"/>
  </w:num>
  <w:num w:numId="21">
    <w:abstractNumId w:val="25"/>
  </w:num>
  <w:num w:numId="22">
    <w:abstractNumId w:val="19"/>
  </w:num>
  <w:num w:numId="23">
    <w:abstractNumId w:val="21"/>
  </w:num>
  <w:num w:numId="24">
    <w:abstractNumId w:val="20"/>
  </w:num>
  <w:num w:numId="25">
    <w:abstractNumId w:val="23"/>
  </w:num>
  <w:num w:numId="26">
    <w:abstractNumId w:val="22"/>
  </w:num>
  <w:num w:numId="27">
    <w:abstractNumId w:val="27"/>
  </w:num>
  <w:num w:numId="28">
    <w:abstractNumId w:val="13"/>
  </w:num>
  <w:num w:numId="29">
    <w:abstractNumId w:val="16"/>
  </w:num>
  <w:num w:numId="30">
    <w:abstractNumId w:val="12"/>
  </w:num>
  <w:num w:numId="31">
    <w:abstractNumId w:val="29"/>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2692A"/>
    <w:rsid w:val="001435C0"/>
    <w:rsid w:val="00146EE9"/>
    <w:rsid w:val="00154F0D"/>
    <w:rsid w:val="00187BFC"/>
    <w:rsid w:val="00197784"/>
    <w:rsid w:val="001B61FF"/>
    <w:rsid w:val="001D0B67"/>
    <w:rsid w:val="001D4C1F"/>
    <w:rsid w:val="001D59D4"/>
    <w:rsid w:val="001E1B72"/>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970B8"/>
    <w:rsid w:val="003A5F95"/>
    <w:rsid w:val="003B2B83"/>
    <w:rsid w:val="003C1D82"/>
    <w:rsid w:val="003C7045"/>
    <w:rsid w:val="003E509C"/>
    <w:rsid w:val="003E5AFB"/>
    <w:rsid w:val="003F65EB"/>
    <w:rsid w:val="00405F9C"/>
    <w:rsid w:val="004144A5"/>
    <w:rsid w:val="004230C1"/>
    <w:rsid w:val="004731D4"/>
    <w:rsid w:val="00487067"/>
    <w:rsid w:val="004D7BC6"/>
    <w:rsid w:val="004F5DFB"/>
    <w:rsid w:val="00502998"/>
    <w:rsid w:val="005040D5"/>
    <w:rsid w:val="0051768B"/>
    <w:rsid w:val="0052015C"/>
    <w:rsid w:val="00531F0D"/>
    <w:rsid w:val="005479E4"/>
    <w:rsid w:val="005529BC"/>
    <w:rsid w:val="00567654"/>
    <w:rsid w:val="0057237B"/>
    <w:rsid w:val="005750FC"/>
    <w:rsid w:val="00576BF8"/>
    <w:rsid w:val="005A0E45"/>
    <w:rsid w:val="005A1357"/>
    <w:rsid w:val="005F32CB"/>
    <w:rsid w:val="005F6CFE"/>
    <w:rsid w:val="006005C9"/>
    <w:rsid w:val="0061522B"/>
    <w:rsid w:val="006558CB"/>
    <w:rsid w:val="00683FB4"/>
    <w:rsid w:val="006967A0"/>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872A2"/>
    <w:rsid w:val="008A20CE"/>
    <w:rsid w:val="008A5359"/>
    <w:rsid w:val="00914650"/>
    <w:rsid w:val="0091740F"/>
    <w:rsid w:val="00950BD0"/>
    <w:rsid w:val="0098031A"/>
    <w:rsid w:val="00986E67"/>
    <w:rsid w:val="00996FAC"/>
    <w:rsid w:val="009A357F"/>
    <w:rsid w:val="009B64C3"/>
    <w:rsid w:val="009B7FBF"/>
    <w:rsid w:val="009C0EB6"/>
    <w:rsid w:val="009D368A"/>
    <w:rsid w:val="009D5785"/>
    <w:rsid w:val="009F019F"/>
    <w:rsid w:val="00A201B3"/>
    <w:rsid w:val="00A25188"/>
    <w:rsid w:val="00A335E7"/>
    <w:rsid w:val="00A6481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1742C"/>
    <w:rsid w:val="00C200E1"/>
    <w:rsid w:val="00C218CC"/>
    <w:rsid w:val="00C313C4"/>
    <w:rsid w:val="00C35C43"/>
    <w:rsid w:val="00C41FBD"/>
    <w:rsid w:val="00C5133A"/>
    <w:rsid w:val="00C5147E"/>
    <w:rsid w:val="00C9104F"/>
    <w:rsid w:val="00CB6496"/>
    <w:rsid w:val="00CD712A"/>
    <w:rsid w:val="00CE5BB1"/>
    <w:rsid w:val="00CE7D65"/>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73D0E"/>
    <w:rsid w:val="00E93403"/>
    <w:rsid w:val="00EB2C62"/>
    <w:rsid w:val="00EB36D0"/>
    <w:rsid w:val="00EF2CB1"/>
    <w:rsid w:val="00EF6B7E"/>
    <w:rsid w:val="00F12983"/>
    <w:rsid w:val="00F212E1"/>
    <w:rsid w:val="00F2178D"/>
    <w:rsid w:val="00F27C56"/>
    <w:rsid w:val="00F45668"/>
    <w:rsid w:val="00F7531A"/>
    <w:rsid w:val="00F80AC8"/>
    <w:rsid w:val="00FB193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10810014">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gistering-industrial-designs-in-vietnam-6-mistakes-to-avoid-and-secrets-to-successful-registration" TargetMode="External"/><Relationship Id="rId13" Type="http://schemas.openxmlformats.org/officeDocument/2006/relationships/hyperlink" Target="https://kenfoxlaw.com/wp-content/uploads/2020/12/Regional-Comprehensive-Economic-Partnership-on-Intellectual-Property.pdf" TargetMode="External"/><Relationship Id="rId18" Type="http://schemas.openxmlformats.org/officeDocument/2006/relationships/hyperlink" Target="https://kenfoxlaw.com/wp-content/uploads/2019/02/Decree-No.99-2013-ND-CP-TIEENGS-ANH.pdf" TargetMode="External"/><Relationship Id="rId26"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21" Type="http://schemas.openxmlformats.org/officeDocument/2006/relationships/hyperlink" Target="https://kenfoxlaw.com/wp-content/uploads/2024/09/Joint-Circular-No.-01-2008-TTLT-TANDTC-VKSNDTC-BCA-BTP.pdf" TargetMode="External"/><Relationship Id="rId7" Type="http://schemas.openxmlformats.org/officeDocument/2006/relationships/hyperlink" Target="https://kenfoxlaw.com/our-practice/our-practice-in-vietnam/ip-practice-in-vietnam/ip-practice-industrial-design-in-vietnam" TargetMode="External"/><Relationship Id="rId12" Type="http://schemas.openxmlformats.org/officeDocument/2006/relationships/hyperlink" Target="https://kenfoxlaw.com/wp-content/uploads/2020/12/Comprehensive-and-Progressive-Agreement-for-Trans-Pacific-Partnership-on-Intellectual-Property.pdf" TargetMode="External"/><Relationship Id="rId17" Type="http://schemas.openxmlformats.org/officeDocument/2006/relationships/hyperlink" Target="https://kenfoxlaw.com/wp-content/uploads/2024/09/Decree-No.-65-2023-ND-CP-detailing-and-guiding-the-implementation-of-several-articles-of-the-IP-Law.pdf" TargetMode="External"/><Relationship Id="rId25" Type="http://schemas.openxmlformats.org/officeDocument/2006/relationships/hyperlink" Target="https://kenfoxlaw.com/professional_item/mr-nguyen-vu-quan" TargetMode="External"/><Relationship Id="rId2" Type="http://schemas.openxmlformats.org/officeDocument/2006/relationships/styles" Target="styles.xml"/><Relationship Id="rId16" Type="http://schemas.openxmlformats.org/officeDocument/2006/relationships/hyperlink" Target="https://kenfoxlaw.com/wp-content/uploads/2018/07/Code-of-Civil-Procedure-No.-92-2015-QH13.pdf" TargetMode="External"/><Relationship Id="rId20" Type="http://schemas.openxmlformats.org/officeDocument/2006/relationships/hyperlink" Target="https://kenfoxlaw.com/wp-content/uploads/2018/08/Circular-No.-11-2015-TT-BKHCN.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vietnam.gov.vn/documents/20182/694856/3.1.+Hi%E1%BB%87p+%C4%91%E1%BB%8Bnh+khung+ASEAN+v%E1%BB%81+h%E1%BB%A3p+t%C3%A1c+SHTT.pdf/69a83078-9ff6-460b-aada-5016426e7344" TargetMode="External"/><Relationship Id="rId24" Type="http://schemas.openxmlformats.org/officeDocument/2006/relationships/hyperlink" Target="https://kenfoxlaw.com/wp-content/uploads/2023/02/Joint-Circular-No.-142016TTLT-BTTTT-BKHCN-of-June-8-2016-Guiding-the-order-and-procedures-for-changing-and-revoking-domain-names-infringing-upon-the-intellectual-property-rights.pdf" TargetMode="External"/><Relationship Id="rId5" Type="http://schemas.openxmlformats.org/officeDocument/2006/relationships/footnotes" Target="footnotes.xml"/><Relationship Id="rId15" Type="http://schemas.openxmlformats.org/officeDocument/2006/relationships/hyperlink" Target="https://kenfoxlaw.com/wp-content/uploads/2018/07/Civil-Code-No.-91-2015-QH13.pdf" TargetMode="External"/><Relationship Id="rId23" Type="http://schemas.openxmlformats.org/officeDocument/2006/relationships/hyperlink" Target="https://kenfoxlaw.com/wp-content/uploads/2024/09/Joint-Circular-no.-05-2016-TTLT-BKHCN-BKHDT.pdf" TargetMode="External"/><Relationship Id="rId28" Type="http://schemas.openxmlformats.org/officeDocument/2006/relationships/footer" Target="footer1.xml"/><Relationship Id="rId10" Type="http://schemas.openxmlformats.org/officeDocument/2006/relationships/hyperlink" Target="https://kenfoxlaw.com/wp-content/uploads/2019/02/World-Trade-Organization-WTO-Agreement-on-Trade-Related-Aspects-of-Intellectual-Property-Rights-TRIPS-Agreement-1994.pdf" TargetMode="External"/><Relationship Id="rId19" Type="http://schemas.openxmlformats.org/officeDocument/2006/relationships/hyperlink" Target="https://kenfoxlaw.com/wp-content/uploads/2024/09/Circular-No.-23-2023-TT-BKHCN.pdf" TargetMode="External"/><Relationship Id="rId4" Type="http://schemas.openxmlformats.org/officeDocument/2006/relationships/webSettings" Target="webSettings.xml"/><Relationship Id="rId9" Type="http://schemas.openxmlformats.org/officeDocument/2006/relationships/hyperlink" Target="https://kenfoxlaw.com/wp-content/uploads/2019/02/Paris-Convention-for-the-Protection-of-Industrial-Property.pdf" TargetMode="External"/><Relationship Id="rId14" Type="http://schemas.openxmlformats.org/officeDocument/2006/relationships/hyperlink" Target="https://kenfoxlaw.com/wp-content/uploads/2023/12/KF-Luat-SHTT-2005_2009_2019-2022-VN-EN.pdf" TargetMode="External"/><Relationship Id="rId22" Type="http://schemas.openxmlformats.org/officeDocument/2006/relationships/hyperlink" Target="https://kenfoxlaw.com/wp-content/uploads/2019/02/Circular-No.-02-2008-TTLT-TANDTC-VKSNDTC-BVHTTDL-BKHCN-BTP.pdf" TargetMode="External"/><Relationship Id="rId27" Type="http://schemas.openxmlformats.org/officeDocument/2006/relationships/hyperlink" Target="https://kenfoxlaw.com/wp-content/uploads/2020/09/Lao-PDR_Law-on-Intellectual-Property-No-38_15-11-2017_Eng.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5</cp:revision>
  <cp:lastPrinted>2024-09-23T07:13:00Z</cp:lastPrinted>
  <dcterms:created xsi:type="dcterms:W3CDTF">2024-09-20T07:44:00Z</dcterms:created>
  <dcterms:modified xsi:type="dcterms:W3CDTF">2024-09-23T07:24:00Z</dcterms:modified>
</cp:coreProperties>
</file>