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34E12" w14:textId="7EF8B7B7" w:rsidR="00567654" w:rsidRPr="009B64C3" w:rsidRDefault="00986E67" w:rsidP="009B64C3">
      <w:pPr>
        <w:spacing w:after="0" w:line="240" w:lineRule="auto"/>
        <w:rPr>
          <w:rFonts w:ascii="Arial" w:hAnsi="Arial" w:cs="Arial"/>
          <w:b/>
          <w:color w:val="C00000"/>
          <w:sz w:val="20"/>
          <w:szCs w:val="20"/>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6283BC38" wp14:editId="4D1B281D">
                <wp:simplePos x="0" y="0"/>
                <wp:positionH relativeFrom="page">
                  <wp:posOffset>7065010</wp:posOffset>
                </wp:positionH>
                <wp:positionV relativeFrom="paragraph">
                  <wp:posOffset>-205740</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3338FC58" w:rsidR="00E93403" w:rsidRPr="00BA68B8" w:rsidRDefault="00D760F5" w:rsidP="00E93403">
                            <w:pPr>
                              <w:spacing w:after="0" w:line="240" w:lineRule="auto"/>
                              <w:rPr>
                                <w:rFonts w:ascii="Arial" w:hAnsi="Arial" w:cs="Arial"/>
                                <w:b/>
                                <w:color w:val="FFFFFF" w:themeColor="background1"/>
                                <w:sz w:val="20"/>
                                <w:szCs w:val="20"/>
                              </w:rPr>
                            </w:pPr>
                            <w:r w:rsidRPr="00D760F5">
                              <w:rPr>
                                <w:rFonts w:ascii="Arial" w:hAnsi="Arial" w:cs="Arial"/>
                                <w:b/>
                                <w:bCs/>
                                <w:color w:val="FFFFFF" w:themeColor="background1"/>
                                <w:sz w:val="20"/>
                                <w:szCs w:val="20"/>
                              </w:rPr>
                              <w:t>Trademark Examination Process in Laos</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56.3pt;margin-top:-16.2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" fillcolor="#00b39c" strokecolor="#00b39c" strokeweight="0">
                <v:textbox style="layout-flow:vertical" inset=",1.3mm,1.3mm">
                  <w:txbxContent>
                    <w:p w14:paraId="53BF0D56" w14:textId="3338FC58" w:rsidR="00E93403" w:rsidRPr="00BA68B8" w:rsidRDefault="00D760F5" w:rsidP="00E93403">
                      <w:pPr>
                        <w:spacing w:after="0" w:line="240" w:lineRule="auto"/>
                        <w:rPr>
                          <w:rFonts w:ascii="Arial" w:hAnsi="Arial" w:cs="Arial"/>
                          <w:b/>
                          <w:color w:val="FFFFFF" w:themeColor="background1"/>
                          <w:sz w:val="20"/>
                          <w:szCs w:val="20"/>
                        </w:rPr>
                      </w:pPr>
                      <w:r w:rsidRPr="00D760F5">
                        <w:rPr>
                          <w:rFonts w:ascii="Arial" w:hAnsi="Arial" w:cs="Arial"/>
                          <w:b/>
                          <w:bCs/>
                          <w:color w:val="FFFFFF" w:themeColor="background1"/>
                          <w:sz w:val="20"/>
                          <w:szCs w:val="20"/>
                        </w:rPr>
                        <w:t>Trademark Examination Process in Laos</w:t>
                      </w:r>
                    </w:p>
                  </w:txbxContent>
                </v:textbox>
                <w10:wrap anchorx="page"/>
              </v:rect>
            </w:pict>
          </mc:Fallback>
        </mc:AlternateContent>
      </w:r>
      <w:r w:rsidR="00216422" w:rsidRPr="00D03044">
        <w:rPr>
          <w:rFonts w:ascii="Arial" w:hAnsi="Arial" w:cs="Arial"/>
          <w:bCs/>
          <w:noProof/>
          <w:color w:val="C00000"/>
          <w:sz w:val="24"/>
          <w:szCs w:val="24"/>
          <w:lang w:eastAsia="ko-KR"/>
        </w:rPr>
        <mc:AlternateContent>
          <mc:Choice Requires="wps">
            <w:drawing>
              <wp:anchor distT="0" distB="0" distL="114300" distR="114300" simplePos="0" relativeHeight="251659264" behindDoc="0" locked="0" layoutInCell="1" allowOverlap="1" wp14:anchorId="7B6E777D" wp14:editId="6D188FF3">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1D62E1AF" w:rsidR="00216422" w:rsidRPr="00CC7576" w:rsidRDefault="00D760F5" w:rsidP="00216422">
                            <w:pPr>
                              <w:spacing w:after="0"/>
                              <w:jc w:val="center"/>
                              <w:rPr>
                                <w:rFonts w:ascii="Arial" w:hAnsi="Arial" w:cs="Arial"/>
                                <w:b/>
                                <w:color w:val="FFFFFF" w:themeColor="background1"/>
                                <w:sz w:val="20"/>
                                <w:szCs w:val="20"/>
                              </w:rPr>
                            </w:pPr>
                            <w:r w:rsidRPr="00D760F5">
                              <w:rPr>
                                <w:rFonts w:ascii="Arial" w:hAnsi="Arial" w:cs="Arial"/>
                                <w:b/>
                                <w:bCs/>
                                <w:color w:val="FFFFFF" w:themeColor="background1"/>
                                <w:sz w:val="20"/>
                                <w:szCs w:val="20"/>
                              </w:rPr>
                              <w:t>Trademark Examination Process in Laos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" fillcolor="#f56b2e" strokecolor="#f56b2e" strokeweight="1pt">
                <v:textbox>
                  <w:txbxContent>
                    <w:p w14:paraId="4F0151F5" w14:textId="1D62E1AF" w:rsidR="00216422" w:rsidRPr="00CC7576" w:rsidRDefault="00D760F5" w:rsidP="00216422">
                      <w:pPr>
                        <w:spacing w:after="0"/>
                        <w:jc w:val="center"/>
                        <w:rPr>
                          <w:rFonts w:ascii="Arial" w:hAnsi="Arial" w:cs="Arial"/>
                          <w:b/>
                          <w:color w:val="FFFFFF" w:themeColor="background1"/>
                          <w:sz w:val="20"/>
                          <w:szCs w:val="20"/>
                        </w:rPr>
                      </w:pPr>
                      <w:r w:rsidRPr="00D760F5">
                        <w:rPr>
                          <w:rFonts w:ascii="Arial" w:hAnsi="Arial" w:cs="Arial"/>
                          <w:b/>
                          <w:bCs/>
                          <w:color w:val="FFFFFF" w:themeColor="background1"/>
                          <w:sz w:val="20"/>
                          <w:szCs w:val="20"/>
                        </w:rPr>
                        <w:t>Trademark Examination Process in Laos</w:t>
                      </w:r>
                    </w:p>
                  </w:txbxContent>
                </v:textbox>
                <w10:wrap anchorx="page"/>
              </v:rect>
            </w:pict>
          </mc:Fallback>
        </mc:AlternateContent>
      </w:r>
      <w:bookmarkStart w:id="0" w:name="_Hlk110501394"/>
      <w:bookmarkStart w:id="1" w:name="_Hlk110501351"/>
    </w:p>
    <w:bookmarkEnd w:id="0"/>
    <w:p w14:paraId="5949BFA8" w14:textId="77777777" w:rsidR="00D760F5" w:rsidRPr="00E334E4" w:rsidRDefault="00D760F5" w:rsidP="00D760F5">
      <w:pPr>
        <w:spacing w:after="0" w:line="240" w:lineRule="auto"/>
        <w:jc w:val="center"/>
        <w:outlineLvl w:val="1"/>
        <w:rPr>
          <w:rFonts w:ascii="Arial" w:eastAsia="Times New Roman" w:hAnsi="Arial" w:cs="Arial"/>
          <w:b/>
          <w:bCs/>
          <w:color w:val="C00000"/>
          <w:sz w:val="24"/>
          <w:szCs w:val="24"/>
        </w:rPr>
      </w:pPr>
      <w:r w:rsidRPr="008E0A9D">
        <w:rPr>
          <w:rFonts w:ascii="Arial" w:eastAsia="Times New Roman" w:hAnsi="Arial" w:cs="Arial"/>
          <w:b/>
          <w:bCs/>
          <w:color w:val="C00000"/>
          <w:sz w:val="24"/>
          <w:szCs w:val="24"/>
        </w:rPr>
        <w:t>Understanding the Trademark Examination Process in Laos</w:t>
      </w:r>
    </w:p>
    <w:p w14:paraId="7D4A86A4" w14:textId="77777777" w:rsidR="00D760F5" w:rsidRPr="008E0A9D" w:rsidRDefault="00D760F5" w:rsidP="00D760F5">
      <w:pPr>
        <w:spacing w:after="0" w:line="240" w:lineRule="auto"/>
        <w:outlineLvl w:val="1"/>
        <w:rPr>
          <w:rFonts w:ascii="Arial" w:eastAsia="Times New Roman" w:hAnsi="Arial" w:cs="Arial"/>
          <w:b/>
          <w:bCs/>
          <w:sz w:val="20"/>
          <w:szCs w:val="20"/>
        </w:rPr>
      </w:pPr>
    </w:p>
    <w:p w14:paraId="2F1C3006" w14:textId="59E1946F" w:rsidR="00D760F5" w:rsidRDefault="00D760F5" w:rsidP="00D760F5">
      <w:pPr>
        <w:spacing w:after="0" w:line="240" w:lineRule="auto"/>
        <w:jc w:val="both"/>
        <w:rPr>
          <w:rFonts w:ascii="Arial" w:eastAsia="Times New Roman" w:hAnsi="Arial" w:cs="Arial"/>
          <w:sz w:val="20"/>
          <w:szCs w:val="20"/>
        </w:rPr>
      </w:pPr>
      <w:r w:rsidRPr="008E0A9D">
        <w:rPr>
          <w:rFonts w:ascii="Arial" w:eastAsia="Times New Roman" w:hAnsi="Arial" w:cs="Arial"/>
          <w:sz w:val="20"/>
          <w:szCs w:val="20"/>
        </w:rPr>
        <w:t>The Lao People's Democratic Republic (Lao PDR) offers a legal framework for protecting trademarks through</w:t>
      </w:r>
      <w:r w:rsidR="00F74651">
        <w:rPr>
          <w:rFonts w:ascii="Arial" w:eastAsia="Times New Roman" w:hAnsi="Arial" w:cs="Arial"/>
          <w:sz w:val="20"/>
          <w:szCs w:val="20"/>
        </w:rPr>
        <w:t xml:space="preserve"> </w:t>
      </w:r>
      <w:r w:rsidR="00F74651" w:rsidRPr="008E0A9D">
        <w:rPr>
          <w:rFonts w:ascii="Arial" w:eastAsia="Times New Roman" w:hAnsi="Arial" w:cs="Arial"/>
          <w:sz w:val="20"/>
          <w:szCs w:val="20"/>
        </w:rPr>
        <w:t>registration</w:t>
      </w:r>
      <w:r w:rsidRPr="008E0A9D">
        <w:rPr>
          <w:rFonts w:ascii="Arial" w:eastAsia="Times New Roman" w:hAnsi="Arial" w:cs="Arial"/>
          <w:sz w:val="20"/>
          <w:szCs w:val="20"/>
        </w:rPr>
        <w:t>. A registered trademark grants the owner exclusive rights to use the mark for specific goods or services, preventing others from using a similar mark that could cause confusion among consumers.</w:t>
      </w:r>
    </w:p>
    <w:p w14:paraId="676B2620" w14:textId="77777777" w:rsidR="00D760F5" w:rsidRPr="008E0A9D" w:rsidRDefault="00D760F5" w:rsidP="00D760F5">
      <w:pPr>
        <w:spacing w:after="0" w:line="240" w:lineRule="auto"/>
        <w:jc w:val="both"/>
        <w:rPr>
          <w:rFonts w:ascii="Arial" w:eastAsia="Times New Roman" w:hAnsi="Arial" w:cs="Arial"/>
          <w:sz w:val="20"/>
          <w:szCs w:val="20"/>
        </w:rPr>
      </w:pPr>
      <w:bookmarkStart w:id="2" w:name="_GoBack"/>
      <w:bookmarkEnd w:id="2"/>
    </w:p>
    <w:p w14:paraId="14A29290" w14:textId="77777777" w:rsidR="00D760F5" w:rsidRDefault="00D760F5" w:rsidP="00D760F5">
      <w:pPr>
        <w:spacing w:after="0" w:line="240" w:lineRule="auto"/>
        <w:jc w:val="both"/>
        <w:rPr>
          <w:rFonts w:ascii="Arial" w:eastAsia="Times New Roman" w:hAnsi="Arial" w:cs="Arial"/>
          <w:sz w:val="20"/>
          <w:szCs w:val="20"/>
        </w:rPr>
      </w:pPr>
      <w:r w:rsidRPr="0046258B">
        <w:rPr>
          <w:rFonts w:ascii="Arial" w:eastAsia="Times New Roman" w:hAnsi="Arial" w:cs="Arial"/>
          <w:sz w:val="20"/>
          <w:szCs w:val="20"/>
        </w:rPr>
        <w:t>KENFOX IP &amp; Law Office</w:t>
      </w:r>
      <w:r w:rsidRPr="008E0A9D">
        <w:rPr>
          <w:rFonts w:ascii="Arial" w:eastAsia="Times New Roman" w:hAnsi="Arial" w:cs="Arial"/>
          <w:sz w:val="20"/>
          <w:szCs w:val="20"/>
        </w:rPr>
        <w:t xml:space="preserve"> provides a comprehensive overview of the trademark examination process in Laos, guiding businesses and individuals through the key stages involved in securing trademark protection.</w:t>
      </w:r>
    </w:p>
    <w:p w14:paraId="3BDD583C" w14:textId="77777777" w:rsidR="00D760F5" w:rsidRPr="0046258B" w:rsidRDefault="00D760F5" w:rsidP="00D760F5">
      <w:pPr>
        <w:spacing w:after="0" w:line="240" w:lineRule="auto"/>
        <w:jc w:val="both"/>
        <w:rPr>
          <w:rFonts w:ascii="Arial" w:eastAsia="Times New Roman" w:hAnsi="Arial" w:cs="Arial"/>
          <w:sz w:val="20"/>
          <w:szCs w:val="20"/>
        </w:rPr>
      </w:pPr>
    </w:p>
    <w:p w14:paraId="358EB8EF" w14:textId="77777777" w:rsidR="00D760F5" w:rsidRPr="008E0A9D" w:rsidRDefault="00D760F5" w:rsidP="00D760F5">
      <w:pPr>
        <w:spacing w:after="0" w:line="240" w:lineRule="auto"/>
        <w:jc w:val="both"/>
        <w:rPr>
          <w:rFonts w:ascii="Arial" w:eastAsia="Times New Roman" w:hAnsi="Arial" w:cs="Arial"/>
          <w:b/>
          <w:bCs/>
          <w:color w:val="2F5496" w:themeColor="accent1" w:themeShade="BF"/>
        </w:rPr>
      </w:pPr>
      <w:r w:rsidRPr="00E334E4">
        <w:rPr>
          <w:rFonts w:ascii="Arial" w:eastAsia="Times New Roman" w:hAnsi="Arial" w:cs="Arial"/>
          <w:b/>
          <w:bCs/>
          <w:color w:val="2F5496" w:themeColor="accent1" w:themeShade="BF"/>
        </w:rPr>
        <w:t xml:space="preserve">1. </w:t>
      </w:r>
      <w:r w:rsidRPr="008E0A9D">
        <w:rPr>
          <w:rFonts w:ascii="Arial" w:eastAsia="Times New Roman" w:hAnsi="Arial" w:cs="Arial"/>
          <w:b/>
          <w:bCs/>
          <w:color w:val="2F5496" w:themeColor="accent1" w:themeShade="BF"/>
        </w:rPr>
        <w:t xml:space="preserve">Preliminary </w:t>
      </w:r>
      <w:r w:rsidRPr="00E334E4">
        <w:rPr>
          <w:rFonts w:ascii="Arial" w:eastAsia="Times New Roman" w:hAnsi="Arial" w:cs="Arial"/>
          <w:b/>
          <w:bCs/>
          <w:color w:val="2F5496" w:themeColor="accent1" w:themeShade="BF"/>
        </w:rPr>
        <w:t>e</w:t>
      </w:r>
      <w:r w:rsidRPr="008E0A9D">
        <w:rPr>
          <w:rFonts w:ascii="Arial" w:eastAsia="Times New Roman" w:hAnsi="Arial" w:cs="Arial"/>
          <w:b/>
          <w:bCs/>
          <w:color w:val="2F5496" w:themeColor="accent1" w:themeShade="BF"/>
        </w:rPr>
        <w:t>xamination</w:t>
      </w:r>
    </w:p>
    <w:p w14:paraId="3F597913" w14:textId="77777777" w:rsidR="00D760F5" w:rsidRDefault="00D760F5" w:rsidP="00D760F5">
      <w:pPr>
        <w:spacing w:after="0" w:line="240" w:lineRule="auto"/>
        <w:jc w:val="both"/>
        <w:rPr>
          <w:rFonts w:ascii="Arial" w:eastAsia="Times New Roman" w:hAnsi="Arial" w:cs="Arial"/>
          <w:sz w:val="20"/>
          <w:szCs w:val="20"/>
        </w:rPr>
      </w:pPr>
    </w:p>
    <w:p w14:paraId="668695FB" w14:textId="77777777" w:rsidR="00D760F5" w:rsidRDefault="00D760F5" w:rsidP="00D760F5">
      <w:pPr>
        <w:spacing w:after="0" w:line="240" w:lineRule="auto"/>
        <w:jc w:val="both"/>
        <w:rPr>
          <w:rFonts w:ascii="Arial" w:eastAsia="Times New Roman" w:hAnsi="Arial" w:cs="Arial"/>
          <w:sz w:val="20"/>
          <w:szCs w:val="20"/>
        </w:rPr>
      </w:pPr>
      <w:r w:rsidRPr="008E0A9D">
        <w:rPr>
          <w:rFonts w:ascii="Arial" w:eastAsia="Times New Roman" w:hAnsi="Arial" w:cs="Arial"/>
          <w:sz w:val="20"/>
          <w:szCs w:val="20"/>
        </w:rPr>
        <w:t>The first step in the trademark registration process is the preliminary examination conducted by the Department of Intellectual Property (</w:t>
      </w:r>
      <w:r w:rsidRPr="008E0A9D">
        <w:rPr>
          <w:rFonts w:ascii="Arial" w:eastAsia="Times New Roman" w:hAnsi="Arial" w:cs="Arial"/>
          <w:b/>
          <w:bCs/>
          <w:sz w:val="20"/>
          <w:szCs w:val="20"/>
        </w:rPr>
        <w:t>DIP</w:t>
      </w:r>
      <w:r w:rsidRPr="008E0A9D">
        <w:rPr>
          <w:rFonts w:ascii="Arial" w:eastAsia="Times New Roman" w:hAnsi="Arial" w:cs="Arial"/>
          <w:sz w:val="20"/>
          <w:szCs w:val="20"/>
        </w:rPr>
        <w:t xml:space="preserve">). The DIP assesses the application form for completeness and compliance with the requirements outlined in Articles 5, 7, 8, 9, and 10 of the </w:t>
      </w:r>
      <w:hyperlink r:id="rId7" w:history="1">
        <w:r w:rsidRPr="003332CA">
          <w:rPr>
            <w:rStyle w:val="Hyperlink"/>
            <w:rFonts w:ascii="Arial" w:eastAsia="Times New Roman" w:hAnsi="Arial" w:cs="Arial"/>
            <w:sz w:val="20"/>
            <w:szCs w:val="20"/>
          </w:rPr>
          <w:t>Agreement on Trademarks</w:t>
        </w:r>
      </w:hyperlink>
      <w:r w:rsidRPr="008E0A9D">
        <w:rPr>
          <w:rFonts w:ascii="Arial" w:eastAsia="Times New Roman" w:hAnsi="Arial" w:cs="Arial"/>
          <w:sz w:val="20"/>
          <w:szCs w:val="20"/>
        </w:rPr>
        <w:t xml:space="preserve"> (</w:t>
      </w:r>
      <w:r w:rsidRPr="008E0A9D">
        <w:rPr>
          <w:rFonts w:ascii="Arial" w:eastAsia="Times New Roman" w:hAnsi="Arial" w:cs="Arial"/>
          <w:b/>
          <w:bCs/>
          <w:sz w:val="20"/>
          <w:szCs w:val="20"/>
        </w:rPr>
        <w:t>the Agreement</w:t>
      </w:r>
      <w:r w:rsidRPr="008E0A9D">
        <w:rPr>
          <w:rFonts w:ascii="Arial" w:eastAsia="Times New Roman" w:hAnsi="Arial" w:cs="Arial"/>
          <w:sz w:val="20"/>
          <w:szCs w:val="20"/>
        </w:rPr>
        <w:t>). This examination typically takes 60 days from the date the DIP receives a complete application.</w:t>
      </w:r>
    </w:p>
    <w:p w14:paraId="5434B458" w14:textId="77777777" w:rsidR="00D760F5" w:rsidRPr="008E0A9D" w:rsidRDefault="00D760F5" w:rsidP="00D760F5">
      <w:pPr>
        <w:spacing w:after="0" w:line="240" w:lineRule="auto"/>
        <w:jc w:val="both"/>
        <w:rPr>
          <w:rFonts w:ascii="Arial" w:eastAsia="Times New Roman" w:hAnsi="Arial" w:cs="Arial"/>
          <w:sz w:val="20"/>
          <w:szCs w:val="20"/>
        </w:rPr>
      </w:pPr>
    </w:p>
    <w:p w14:paraId="04F77EF8" w14:textId="77777777" w:rsidR="00D760F5" w:rsidRDefault="00D760F5" w:rsidP="00D760F5">
      <w:pPr>
        <w:spacing w:after="0" w:line="240" w:lineRule="auto"/>
        <w:jc w:val="both"/>
        <w:rPr>
          <w:rFonts w:ascii="Arial" w:eastAsia="Times New Roman" w:hAnsi="Arial" w:cs="Arial"/>
          <w:sz w:val="20"/>
          <w:szCs w:val="20"/>
        </w:rPr>
      </w:pPr>
      <w:r w:rsidRPr="0046258B">
        <w:rPr>
          <w:rFonts w:ascii="Arial" w:eastAsia="Times New Roman" w:hAnsi="Arial" w:cs="Arial"/>
          <w:sz w:val="20"/>
          <w:szCs w:val="20"/>
        </w:rPr>
        <w:t>T</w:t>
      </w:r>
      <w:r w:rsidRPr="008E0A9D">
        <w:rPr>
          <w:rFonts w:ascii="Arial" w:eastAsia="Times New Roman" w:hAnsi="Arial" w:cs="Arial"/>
          <w:sz w:val="20"/>
          <w:szCs w:val="20"/>
        </w:rPr>
        <w:t>he DIP</w:t>
      </w:r>
      <w:r w:rsidRPr="007F0191">
        <w:rPr>
          <w:rFonts w:ascii="Arial" w:eastAsia="Times New Roman" w:hAnsi="Arial" w:cs="Arial"/>
          <w:sz w:val="20"/>
          <w:szCs w:val="20"/>
        </w:rPr>
        <w:t xml:space="preserve"> conduct</w:t>
      </w:r>
      <w:r>
        <w:rPr>
          <w:rFonts w:ascii="Arial" w:eastAsia="Times New Roman" w:hAnsi="Arial" w:cs="Arial"/>
          <w:sz w:val="20"/>
          <w:szCs w:val="20"/>
        </w:rPr>
        <w:t>s</w:t>
      </w:r>
      <w:r w:rsidRPr="007F0191">
        <w:rPr>
          <w:rFonts w:ascii="Arial" w:eastAsia="Times New Roman" w:hAnsi="Arial" w:cs="Arial"/>
          <w:sz w:val="20"/>
          <w:szCs w:val="20"/>
        </w:rPr>
        <w:t xml:space="preserve"> the preliminary examination for a trademark application based on the relevant articles</w:t>
      </w:r>
      <w:r>
        <w:rPr>
          <w:rFonts w:ascii="Arial" w:eastAsia="Times New Roman" w:hAnsi="Arial" w:cs="Arial"/>
          <w:sz w:val="20"/>
          <w:szCs w:val="20"/>
        </w:rPr>
        <w:t xml:space="preserve"> as follows</w:t>
      </w:r>
      <w:r w:rsidRPr="008E0A9D">
        <w:rPr>
          <w:rFonts w:ascii="Arial" w:eastAsia="Times New Roman" w:hAnsi="Arial" w:cs="Arial"/>
          <w:sz w:val="20"/>
          <w:szCs w:val="20"/>
        </w:rPr>
        <w:t>:</w:t>
      </w:r>
    </w:p>
    <w:p w14:paraId="25CEB242" w14:textId="77777777" w:rsidR="00D760F5" w:rsidRDefault="00D760F5" w:rsidP="00D760F5">
      <w:pPr>
        <w:spacing w:after="0" w:line="240" w:lineRule="auto"/>
        <w:rPr>
          <w:rFonts w:ascii="Arial" w:eastAsia="Times New Roman" w:hAnsi="Arial" w:cs="Arial"/>
          <w:sz w:val="20"/>
          <w:szCs w:val="20"/>
        </w:rPr>
      </w:pPr>
    </w:p>
    <w:tbl>
      <w:tblPr>
        <w:tblStyle w:val="TableGrid"/>
        <w:tblW w:w="0" w:type="auto"/>
        <w:tblLook w:val="04A0" w:firstRow="1" w:lastRow="0" w:firstColumn="1" w:lastColumn="0" w:noHBand="0" w:noVBand="1"/>
      </w:tblPr>
      <w:tblGrid>
        <w:gridCol w:w="1235"/>
        <w:gridCol w:w="2557"/>
        <w:gridCol w:w="5224"/>
      </w:tblGrid>
      <w:tr w:rsidR="00D760F5" w14:paraId="203C7B38" w14:textId="77777777" w:rsidTr="008B0AAB">
        <w:tc>
          <w:tcPr>
            <w:tcW w:w="1255" w:type="dxa"/>
          </w:tcPr>
          <w:p w14:paraId="0599505E" w14:textId="77777777" w:rsidR="00D760F5" w:rsidRPr="00E334E4" w:rsidRDefault="00D760F5" w:rsidP="008B0AAB">
            <w:pPr>
              <w:spacing w:before="60" w:after="60"/>
              <w:jc w:val="center"/>
              <w:rPr>
                <w:rFonts w:ascii="Arial" w:eastAsia="Times New Roman" w:hAnsi="Arial" w:cs="Arial"/>
                <w:b/>
                <w:bCs/>
                <w:sz w:val="20"/>
                <w:szCs w:val="20"/>
              </w:rPr>
            </w:pPr>
            <w:r w:rsidRPr="00E334E4">
              <w:rPr>
                <w:rFonts w:ascii="Arial" w:hAnsi="Arial" w:cs="Arial"/>
                <w:b/>
                <w:bCs/>
                <w:sz w:val="20"/>
                <w:szCs w:val="20"/>
              </w:rPr>
              <w:t>Article</w:t>
            </w:r>
          </w:p>
        </w:tc>
        <w:tc>
          <w:tcPr>
            <w:tcW w:w="2610" w:type="dxa"/>
          </w:tcPr>
          <w:p w14:paraId="65ACD713" w14:textId="77777777" w:rsidR="00D760F5" w:rsidRPr="00E334E4" w:rsidRDefault="00D760F5" w:rsidP="008B0AAB">
            <w:pPr>
              <w:spacing w:before="60" w:after="60"/>
              <w:jc w:val="center"/>
              <w:rPr>
                <w:rFonts w:ascii="Arial" w:eastAsia="Times New Roman" w:hAnsi="Arial" w:cs="Arial"/>
                <w:b/>
                <w:bCs/>
                <w:sz w:val="20"/>
                <w:szCs w:val="20"/>
              </w:rPr>
            </w:pPr>
            <w:r w:rsidRPr="00E334E4">
              <w:rPr>
                <w:rFonts w:ascii="Arial" w:hAnsi="Arial" w:cs="Arial"/>
                <w:b/>
                <w:bCs/>
                <w:sz w:val="20"/>
                <w:szCs w:val="20"/>
              </w:rPr>
              <w:t>Focus Area</w:t>
            </w:r>
          </w:p>
        </w:tc>
        <w:tc>
          <w:tcPr>
            <w:tcW w:w="5400" w:type="dxa"/>
          </w:tcPr>
          <w:p w14:paraId="32C3E532" w14:textId="77777777" w:rsidR="00D760F5" w:rsidRPr="00E334E4" w:rsidRDefault="00D760F5" w:rsidP="008B0AAB">
            <w:pPr>
              <w:spacing w:before="60" w:after="60"/>
              <w:jc w:val="center"/>
              <w:rPr>
                <w:rFonts w:ascii="Arial" w:eastAsia="Times New Roman" w:hAnsi="Arial" w:cs="Arial"/>
                <w:b/>
                <w:bCs/>
                <w:sz w:val="20"/>
                <w:szCs w:val="20"/>
              </w:rPr>
            </w:pPr>
            <w:r w:rsidRPr="00E334E4">
              <w:rPr>
                <w:rFonts w:ascii="Arial" w:hAnsi="Arial" w:cs="Arial"/>
                <w:b/>
                <w:bCs/>
                <w:sz w:val="20"/>
                <w:szCs w:val="20"/>
              </w:rPr>
              <w:t>Details</w:t>
            </w:r>
          </w:p>
        </w:tc>
      </w:tr>
      <w:tr w:rsidR="00D760F5" w14:paraId="41E4C39F" w14:textId="77777777" w:rsidTr="008B0AAB">
        <w:tc>
          <w:tcPr>
            <w:tcW w:w="1255" w:type="dxa"/>
          </w:tcPr>
          <w:p w14:paraId="4B4FD4D5" w14:textId="77777777" w:rsidR="00D760F5" w:rsidRPr="00E334E4" w:rsidRDefault="00D760F5" w:rsidP="008B0AAB">
            <w:pPr>
              <w:spacing w:before="60" w:after="60"/>
              <w:jc w:val="center"/>
              <w:rPr>
                <w:rFonts w:ascii="Arial" w:eastAsia="Times New Roman" w:hAnsi="Arial" w:cs="Arial"/>
                <w:sz w:val="20"/>
                <w:szCs w:val="20"/>
              </w:rPr>
            </w:pPr>
            <w:r w:rsidRPr="00E334E4">
              <w:rPr>
                <w:rFonts w:ascii="Arial" w:eastAsia="Times New Roman" w:hAnsi="Arial" w:cs="Arial"/>
                <w:sz w:val="20"/>
                <w:szCs w:val="20"/>
              </w:rPr>
              <w:t>Article 5</w:t>
            </w:r>
          </w:p>
        </w:tc>
        <w:tc>
          <w:tcPr>
            <w:tcW w:w="2610" w:type="dxa"/>
          </w:tcPr>
          <w:p w14:paraId="50A4BFC7" w14:textId="77777777" w:rsidR="00D760F5" w:rsidRPr="00E334E4" w:rsidRDefault="00D760F5" w:rsidP="008B0AAB">
            <w:pPr>
              <w:spacing w:before="60" w:after="60"/>
              <w:jc w:val="center"/>
              <w:rPr>
                <w:rFonts w:ascii="Arial" w:eastAsia="Times New Roman" w:hAnsi="Arial" w:cs="Arial"/>
                <w:sz w:val="20"/>
                <w:szCs w:val="20"/>
              </w:rPr>
            </w:pPr>
            <w:r w:rsidRPr="00E334E4">
              <w:rPr>
                <w:rFonts w:ascii="Arial" w:hAnsi="Arial" w:cs="Arial"/>
                <w:sz w:val="20"/>
                <w:szCs w:val="20"/>
              </w:rPr>
              <w:t>Types of Trademarks</w:t>
            </w:r>
          </w:p>
        </w:tc>
        <w:tc>
          <w:tcPr>
            <w:tcW w:w="5400" w:type="dxa"/>
          </w:tcPr>
          <w:p w14:paraId="5B5E0B4F" w14:textId="77777777" w:rsidR="00D760F5" w:rsidRPr="00E334E4" w:rsidRDefault="00D760F5" w:rsidP="008B0AAB">
            <w:pPr>
              <w:spacing w:before="60" w:after="60"/>
              <w:rPr>
                <w:rFonts w:ascii="Arial" w:eastAsia="Times New Roman" w:hAnsi="Arial" w:cs="Arial"/>
                <w:sz w:val="20"/>
                <w:szCs w:val="20"/>
              </w:rPr>
            </w:pPr>
            <w:r w:rsidRPr="00E334E4">
              <w:rPr>
                <w:rFonts w:ascii="Arial" w:hAnsi="Arial" w:cs="Arial"/>
                <w:sz w:val="20"/>
                <w:szCs w:val="20"/>
              </w:rPr>
              <w:t>Verifies that the trademark application falls within the categories of trademarks for goods, services, certification marks, or collective marks.</w:t>
            </w:r>
          </w:p>
        </w:tc>
      </w:tr>
      <w:tr w:rsidR="00D760F5" w14:paraId="0549A9A1" w14:textId="77777777" w:rsidTr="008B0AAB">
        <w:tc>
          <w:tcPr>
            <w:tcW w:w="1255" w:type="dxa"/>
          </w:tcPr>
          <w:p w14:paraId="00317026" w14:textId="77777777" w:rsidR="00D760F5" w:rsidRPr="00E334E4" w:rsidRDefault="00D760F5" w:rsidP="008B0AAB">
            <w:pPr>
              <w:spacing w:before="60" w:after="60"/>
              <w:jc w:val="center"/>
              <w:rPr>
                <w:rFonts w:ascii="Arial" w:eastAsia="Times New Roman" w:hAnsi="Arial" w:cs="Arial"/>
                <w:sz w:val="20"/>
                <w:szCs w:val="20"/>
              </w:rPr>
            </w:pPr>
            <w:r w:rsidRPr="00E334E4">
              <w:rPr>
                <w:rFonts w:ascii="Arial" w:hAnsi="Arial" w:cs="Arial"/>
                <w:sz w:val="20"/>
                <w:szCs w:val="20"/>
              </w:rPr>
              <w:t>Article 7</w:t>
            </w:r>
          </w:p>
        </w:tc>
        <w:tc>
          <w:tcPr>
            <w:tcW w:w="2610" w:type="dxa"/>
          </w:tcPr>
          <w:p w14:paraId="03A81CED" w14:textId="77777777" w:rsidR="00D760F5" w:rsidRPr="00E334E4" w:rsidRDefault="00D760F5" w:rsidP="008B0AAB">
            <w:pPr>
              <w:spacing w:before="60" w:after="60"/>
              <w:jc w:val="center"/>
              <w:rPr>
                <w:rFonts w:ascii="Arial" w:eastAsia="Times New Roman" w:hAnsi="Arial" w:cs="Arial"/>
                <w:sz w:val="20"/>
                <w:szCs w:val="20"/>
              </w:rPr>
            </w:pPr>
            <w:r w:rsidRPr="00E334E4">
              <w:rPr>
                <w:rFonts w:ascii="Arial" w:hAnsi="Arial" w:cs="Arial"/>
                <w:sz w:val="20"/>
                <w:szCs w:val="20"/>
              </w:rPr>
              <w:t>Application for Trademark Registration</w:t>
            </w:r>
          </w:p>
        </w:tc>
        <w:tc>
          <w:tcPr>
            <w:tcW w:w="5400" w:type="dxa"/>
          </w:tcPr>
          <w:p w14:paraId="636A6FA3" w14:textId="77777777" w:rsidR="00D760F5" w:rsidRPr="00E334E4" w:rsidRDefault="00D760F5" w:rsidP="008B0AAB">
            <w:pPr>
              <w:spacing w:before="60" w:after="60"/>
              <w:rPr>
                <w:rFonts w:ascii="Arial" w:eastAsia="Times New Roman" w:hAnsi="Arial" w:cs="Arial"/>
                <w:sz w:val="20"/>
                <w:szCs w:val="20"/>
              </w:rPr>
            </w:pPr>
            <w:r w:rsidRPr="00E334E4">
              <w:rPr>
                <w:rFonts w:ascii="Arial" w:hAnsi="Arial" w:cs="Arial"/>
                <w:sz w:val="20"/>
                <w:szCs w:val="20"/>
              </w:rPr>
              <w:t>Checks inclusion of required documents: application form, power of attorney (if applicable), representation of the trademark, specification of goods/services, priority date documents (if any), and payment receipts.</w:t>
            </w:r>
          </w:p>
        </w:tc>
      </w:tr>
      <w:tr w:rsidR="00D760F5" w14:paraId="5208ED96" w14:textId="77777777" w:rsidTr="008B0AAB">
        <w:tc>
          <w:tcPr>
            <w:tcW w:w="1255" w:type="dxa"/>
          </w:tcPr>
          <w:p w14:paraId="75FD37E9" w14:textId="77777777" w:rsidR="00D760F5" w:rsidRPr="00E334E4" w:rsidRDefault="00D760F5" w:rsidP="008B0AAB">
            <w:pPr>
              <w:spacing w:before="60" w:after="60"/>
              <w:jc w:val="center"/>
              <w:rPr>
                <w:rFonts w:ascii="Arial" w:eastAsia="Times New Roman" w:hAnsi="Arial" w:cs="Arial"/>
                <w:sz w:val="20"/>
                <w:szCs w:val="20"/>
              </w:rPr>
            </w:pPr>
            <w:r w:rsidRPr="00E334E4">
              <w:rPr>
                <w:rFonts w:ascii="Arial" w:hAnsi="Arial" w:cs="Arial"/>
                <w:sz w:val="20"/>
                <w:szCs w:val="20"/>
              </w:rPr>
              <w:t>Article 8</w:t>
            </w:r>
          </w:p>
        </w:tc>
        <w:tc>
          <w:tcPr>
            <w:tcW w:w="2610" w:type="dxa"/>
          </w:tcPr>
          <w:p w14:paraId="0E56EF37" w14:textId="77777777" w:rsidR="00D760F5" w:rsidRPr="00E334E4" w:rsidRDefault="00D760F5" w:rsidP="008B0AAB">
            <w:pPr>
              <w:spacing w:before="60" w:after="60"/>
              <w:jc w:val="center"/>
              <w:rPr>
                <w:rFonts w:ascii="Arial" w:eastAsia="Times New Roman" w:hAnsi="Arial" w:cs="Arial"/>
                <w:sz w:val="20"/>
                <w:szCs w:val="20"/>
              </w:rPr>
            </w:pPr>
            <w:r w:rsidRPr="00E334E4">
              <w:rPr>
                <w:rFonts w:ascii="Arial" w:hAnsi="Arial" w:cs="Arial"/>
                <w:sz w:val="20"/>
                <w:szCs w:val="20"/>
              </w:rPr>
              <w:t>Procedures for Filing Trademark Registration Applications</w:t>
            </w:r>
          </w:p>
        </w:tc>
        <w:tc>
          <w:tcPr>
            <w:tcW w:w="5400" w:type="dxa"/>
          </w:tcPr>
          <w:p w14:paraId="3823D757" w14:textId="77777777" w:rsidR="00D760F5" w:rsidRPr="00E334E4" w:rsidRDefault="00D760F5" w:rsidP="008B0AAB">
            <w:pPr>
              <w:spacing w:before="60" w:after="60"/>
              <w:rPr>
                <w:rFonts w:ascii="Arial" w:eastAsia="Times New Roman" w:hAnsi="Arial" w:cs="Arial"/>
                <w:sz w:val="20"/>
                <w:szCs w:val="20"/>
              </w:rPr>
            </w:pPr>
            <w:r w:rsidRPr="00E334E4">
              <w:rPr>
                <w:rFonts w:ascii="Arial" w:hAnsi="Arial" w:cs="Arial"/>
                <w:sz w:val="20"/>
                <w:szCs w:val="20"/>
              </w:rPr>
              <w:t>Ensures correct filing procedures: application filed at the appropriate location (Department of Industry and Trade or electronically), issuance of receipts, and forwarding of application to the DIP.</w:t>
            </w:r>
          </w:p>
        </w:tc>
      </w:tr>
      <w:tr w:rsidR="00D760F5" w14:paraId="1BEE9DBF" w14:textId="77777777" w:rsidTr="008B0AAB">
        <w:tc>
          <w:tcPr>
            <w:tcW w:w="1255" w:type="dxa"/>
          </w:tcPr>
          <w:p w14:paraId="3B8F6A2F" w14:textId="77777777" w:rsidR="00D760F5" w:rsidRPr="00E334E4" w:rsidRDefault="00D760F5" w:rsidP="008B0AAB">
            <w:pPr>
              <w:spacing w:before="60" w:after="60"/>
              <w:jc w:val="center"/>
              <w:rPr>
                <w:rFonts w:ascii="Arial" w:eastAsia="Times New Roman" w:hAnsi="Arial" w:cs="Arial"/>
                <w:sz w:val="20"/>
                <w:szCs w:val="20"/>
              </w:rPr>
            </w:pPr>
            <w:r w:rsidRPr="00E334E4">
              <w:rPr>
                <w:rFonts w:ascii="Arial" w:hAnsi="Arial" w:cs="Arial"/>
                <w:sz w:val="20"/>
                <w:szCs w:val="20"/>
              </w:rPr>
              <w:t>Article 9</w:t>
            </w:r>
          </w:p>
        </w:tc>
        <w:tc>
          <w:tcPr>
            <w:tcW w:w="2610" w:type="dxa"/>
          </w:tcPr>
          <w:p w14:paraId="07E96CFC" w14:textId="77777777" w:rsidR="00D760F5" w:rsidRPr="00E334E4" w:rsidRDefault="00D760F5" w:rsidP="008B0AAB">
            <w:pPr>
              <w:spacing w:before="60" w:after="60"/>
              <w:jc w:val="center"/>
              <w:rPr>
                <w:rFonts w:ascii="Arial" w:eastAsia="Times New Roman" w:hAnsi="Arial" w:cs="Arial"/>
                <w:sz w:val="20"/>
                <w:szCs w:val="20"/>
              </w:rPr>
            </w:pPr>
            <w:r w:rsidRPr="00E334E4">
              <w:rPr>
                <w:rFonts w:ascii="Arial" w:hAnsi="Arial" w:cs="Arial"/>
                <w:sz w:val="20"/>
                <w:szCs w:val="20"/>
              </w:rPr>
              <w:t>Minimum Requirements for Obtaining a Filing Date</w:t>
            </w:r>
          </w:p>
        </w:tc>
        <w:tc>
          <w:tcPr>
            <w:tcW w:w="5400" w:type="dxa"/>
          </w:tcPr>
          <w:p w14:paraId="2106C635" w14:textId="77777777" w:rsidR="00D760F5" w:rsidRPr="00E334E4" w:rsidRDefault="00D760F5" w:rsidP="008B0AAB">
            <w:pPr>
              <w:spacing w:before="60" w:after="60"/>
              <w:rPr>
                <w:rFonts w:ascii="Arial" w:eastAsia="Times New Roman" w:hAnsi="Arial" w:cs="Arial"/>
                <w:sz w:val="20"/>
                <w:szCs w:val="20"/>
              </w:rPr>
            </w:pPr>
            <w:r w:rsidRPr="00E334E4">
              <w:rPr>
                <w:rFonts w:ascii="Arial" w:hAnsi="Arial" w:cs="Arial"/>
                <w:sz w:val="20"/>
                <w:szCs w:val="20"/>
              </w:rPr>
              <w:t>Confirms completeness of application form, inclusion of power of attorney, clear representation of trademark, specification of class and items of goods/services, priority date documents (if any), and payment receipts.</w:t>
            </w:r>
          </w:p>
        </w:tc>
      </w:tr>
      <w:tr w:rsidR="00D760F5" w14:paraId="765F019B" w14:textId="77777777" w:rsidTr="008B0AAB">
        <w:tc>
          <w:tcPr>
            <w:tcW w:w="1255" w:type="dxa"/>
          </w:tcPr>
          <w:p w14:paraId="2C266E99" w14:textId="77777777" w:rsidR="00D760F5" w:rsidRPr="00E334E4" w:rsidRDefault="00D760F5" w:rsidP="008B0AAB">
            <w:pPr>
              <w:spacing w:before="60" w:after="60"/>
              <w:jc w:val="center"/>
              <w:rPr>
                <w:rFonts w:ascii="Arial" w:eastAsia="Times New Roman" w:hAnsi="Arial" w:cs="Arial"/>
                <w:sz w:val="20"/>
                <w:szCs w:val="20"/>
              </w:rPr>
            </w:pPr>
            <w:r w:rsidRPr="00E334E4">
              <w:rPr>
                <w:rFonts w:ascii="Arial" w:hAnsi="Arial" w:cs="Arial"/>
                <w:sz w:val="20"/>
                <w:szCs w:val="20"/>
              </w:rPr>
              <w:t>Article 10</w:t>
            </w:r>
          </w:p>
        </w:tc>
        <w:tc>
          <w:tcPr>
            <w:tcW w:w="2610" w:type="dxa"/>
          </w:tcPr>
          <w:p w14:paraId="596D9EA0" w14:textId="77777777" w:rsidR="00D760F5" w:rsidRPr="00E334E4" w:rsidRDefault="00D760F5" w:rsidP="008B0AAB">
            <w:pPr>
              <w:spacing w:before="60" w:after="60"/>
              <w:jc w:val="center"/>
              <w:rPr>
                <w:rFonts w:ascii="Arial" w:eastAsia="Times New Roman" w:hAnsi="Arial" w:cs="Arial"/>
                <w:sz w:val="20"/>
                <w:szCs w:val="20"/>
              </w:rPr>
            </w:pPr>
            <w:r w:rsidRPr="00E334E4">
              <w:rPr>
                <w:rFonts w:ascii="Arial" w:hAnsi="Arial" w:cs="Arial"/>
                <w:sz w:val="20"/>
                <w:szCs w:val="20"/>
              </w:rPr>
              <w:t>Requirements for Trademark Specimens</w:t>
            </w:r>
          </w:p>
        </w:tc>
        <w:tc>
          <w:tcPr>
            <w:tcW w:w="5400" w:type="dxa"/>
          </w:tcPr>
          <w:p w14:paraId="5D6B3F0F" w14:textId="77777777" w:rsidR="00D760F5" w:rsidRPr="00E334E4" w:rsidRDefault="00D760F5" w:rsidP="008B0AAB">
            <w:pPr>
              <w:spacing w:before="60" w:after="60"/>
              <w:rPr>
                <w:rFonts w:ascii="Arial" w:eastAsia="Times New Roman" w:hAnsi="Arial" w:cs="Arial"/>
                <w:sz w:val="20"/>
                <w:szCs w:val="20"/>
              </w:rPr>
            </w:pPr>
            <w:r w:rsidRPr="00E334E4">
              <w:rPr>
                <w:rFonts w:ascii="Arial" w:hAnsi="Arial" w:cs="Arial"/>
                <w:sz w:val="20"/>
                <w:szCs w:val="20"/>
              </w:rPr>
              <w:t>Examines trademark specimens for correct format (electronic or high-quality hard copy), clarity, specification of fonts, color codes, descriptions, pronunciations, and representations of three-dimensional or motion marks.</w:t>
            </w:r>
          </w:p>
        </w:tc>
      </w:tr>
    </w:tbl>
    <w:p w14:paraId="35CD8B60" w14:textId="77777777" w:rsidR="00D760F5" w:rsidRDefault="00D760F5" w:rsidP="00D760F5">
      <w:pPr>
        <w:spacing w:after="0" w:line="240" w:lineRule="auto"/>
        <w:jc w:val="both"/>
        <w:rPr>
          <w:rFonts w:ascii="Arial" w:eastAsia="Times New Roman" w:hAnsi="Arial" w:cs="Arial"/>
          <w:sz w:val="20"/>
          <w:szCs w:val="20"/>
        </w:rPr>
      </w:pPr>
    </w:p>
    <w:p w14:paraId="2968A34A" w14:textId="77777777" w:rsidR="00D760F5" w:rsidRPr="008E0A9D" w:rsidRDefault="00D760F5" w:rsidP="00D760F5">
      <w:pPr>
        <w:spacing w:after="0" w:line="240" w:lineRule="auto"/>
        <w:jc w:val="both"/>
        <w:rPr>
          <w:rFonts w:ascii="Arial" w:eastAsia="Times New Roman" w:hAnsi="Arial" w:cs="Arial"/>
          <w:sz w:val="20"/>
          <w:szCs w:val="20"/>
        </w:rPr>
      </w:pPr>
      <w:r w:rsidRPr="008E0A9D">
        <w:rPr>
          <w:rFonts w:ascii="Arial" w:eastAsia="Times New Roman" w:hAnsi="Arial" w:cs="Arial"/>
          <w:sz w:val="20"/>
          <w:szCs w:val="20"/>
        </w:rPr>
        <w:t>If the application fails to meet the requirements, the DIP notifies the applicant. The applicant has 12 working days to rectify the issues and resubmit the application. Failure to comply within the timeframe results in the application being deemed forfeited.</w:t>
      </w:r>
    </w:p>
    <w:p w14:paraId="2E4D1750" w14:textId="77777777" w:rsidR="00D760F5" w:rsidRDefault="00D760F5" w:rsidP="00D760F5">
      <w:pPr>
        <w:spacing w:after="0" w:line="240" w:lineRule="auto"/>
        <w:rPr>
          <w:rFonts w:ascii="Arial" w:eastAsia="Times New Roman" w:hAnsi="Arial" w:cs="Arial"/>
          <w:b/>
          <w:bCs/>
          <w:sz w:val="20"/>
          <w:szCs w:val="20"/>
        </w:rPr>
      </w:pPr>
    </w:p>
    <w:p w14:paraId="5E843233" w14:textId="77777777" w:rsidR="00D760F5" w:rsidRPr="008E0A9D" w:rsidRDefault="00D760F5" w:rsidP="00D760F5">
      <w:pPr>
        <w:spacing w:after="0" w:line="240" w:lineRule="auto"/>
        <w:rPr>
          <w:rFonts w:ascii="Arial" w:eastAsia="Times New Roman" w:hAnsi="Arial" w:cs="Arial"/>
          <w:b/>
          <w:bCs/>
          <w:color w:val="2F5496" w:themeColor="accent1" w:themeShade="BF"/>
        </w:rPr>
      </w:pPr>
      <w:r w:rsidRPr="00E334E4">
        <w:rPr>
          <w:rFonts w:ascii="Arial" w:eastAsia="Times New Roman" w:hAnsi="Arial" w:cs="Arial"/>
          <w:b/>
          <w:bCs/>
          <w:color w:val="2F5496" w:themeColor="accent1" w:themeShade="BF"/>
        </w:rPr>
        <w:t xml:space="preserve">2. </w:t>
      </w:r>
      <w:r w:rsidRPr="008E0A9D">
        <w:rPr>
          <w:rFonts w:ascii="Arial" w:eastAsia="Times New Roman" w:hAnsi="Arial" w:cs="Arial"/>
          <w:b/>
          <w:bCs/>
          <w:color w:val="2F5496" w:themeColor="accent1" w:themeShade="BF"/>
        </w:rPr>
        <w:t xml:space="preserve">Publication and </w:t>
      </w:r>
      <w:r w:rsidRPr="00E334E4">
        <w:rPr>
          <w:rFonts w:ascii="Arial" w:eastAsia="Times New Roman" w:hAnsi="Arial" w:cs="Arial"/>
          <w:b/>
          <w:bCs/>
          <w:color w:val="2F5496" w:themeColor="accent1" w:themeShade="BF"/>
        </w:rPr>
        <w:t>o</w:t>
      </w:r>
      <w:r w:rsidRPr="008E0A9D">
        <w:rPr>
          <w:rFonts w:ascii="Arial" w:eastAsia="Times New Roman" w:hAnsi="Arial" w:cs="Arial"/>
          <w:b/>
          <w:bCs/>
          <w:color w:val="2F5496" w:themeColor="accent1" w:themeShade="BF"/>
        </w:rPr>
        <w:t>pposition</w:t>
      </w:r>
    </w:p>
    <w:p w14:paraId="1086BC13" w14:textId="77777777" w:rsidR="00D760F5" w:rsidRDefault="00D760F5" w:rsidP="00D760F5">
      <w:pPr>
        <w:spacing w:after="0" w:line="240" w:lineRule="auto"/>
        <w:rPr>
          <w:rFonts w:ascii="Arial" w:eastAsia="Times New Roman" w:hAnsi="Arial" w:cs="Arial"/>
          <w:sz w:val="20"/>
          <w:szCs w:val="20"/>
        </w:rPr>
      </w:pPr>
    </w:p>
    <w:p w14:paraId="1BE9EDCF" w14:textId="77777777" w:rsidR="00D760F5" w:rsidRPr="008E0A9D" w:rsidRDefault="00D760F5" w:rsidP="00D760F5">
      <w:pPr>
        <w:spacing w:after="0" w:line="240" w:lineRule="auto"/>
        <w:jc w:val="both"/>
        <w:rPr>
          <w:rFonts w:ascii="Arial" w:eastAsia="Times New Roman" w:hAnsi="Arial" w:cs="Arial"/>
          <w:sz w:val="20"/>
          <w:szCs w:val="20"/>
        </w:rPr>
      </w:pPr>
      <w:r w:rsidRPr="008E0A9D">
        <w:rPr>
          <w:rFonts w:ascii="Arial" w:eastAsia="Times New Roman" w:hAnsi="Arial" w:cs="Arial"/>
          <w:sz w:val="20"/>
          <w:szCs w:val="20"/>
        </w:rPr>
        <w:t>Upon successful completion of the preliminary examination, the DIP publishes the trademark application in the Official Journal of Intellectual Property. This publication serves two purposes:</w:t>
      </w:r>
    </w:p>
    <w:p w14:paraId="7854EDEB" w14:textId="77777777" w:rsidR="00D760F5" w:rsidRDefault="00D760F5" w:rsidP="00D760F5">
      <w:pPr>
        <w:spacing w:after="0" w:line="240" w:lineRule="auto"/>
        <w:jc w:val="both"/>
        <w:rPr>
          <w:rFonts w:ascii="Arial" w:eastAsia="Times New Roman" w:hAnsi="Arial" w:cs="Arial"/>
          <w:b/>
          <w:bCs/>
          <w:sz w:val="20"/>
          <w:szCs w:val="20"/>
        </w:rPr>
      </w:pPr>
    </w:p>
    <w:p w14:paraId="6D385AC3" w14:textId="77777777" w:rsidR="00D760F5" w:rsidRPr="008E0A9D" w:rsidRDefault="00D760F5" w:rsidP="00D760F5">
      <w:pPr>
        <w:spacing w:after="0" w:line="240" w:lineRule="auto"/>
        <w:jc w:val="both"/>
        <w:rPr>
          <w:rFonts w:ascii="Arial" w:eastAsia="Times New Roman" w:hAnsi="Arial" w:cs="Arial"/>
          <w:sz w:val="20"/>
          <w:szCs w:val="20"/>
        </w:rPr>
      </w:pPr>
      <w:r w:rsidRPr="0046258B">
        <w:rPr>
          <w:rFonts w:ascii="Arial" w:eastAsia="Times New Roman" w:hAnsi="Arial" w:cs="Arial"/>
          <w:b/>
          <w:bCs/>
          <w:sz w:val="20"/>
          <w:szCs w:val="20"/>
        </w:rPr>
        <w:t xml:space="preserve">[i] </w:t>
      </w:r>
      <w:r w:rsidRPr="008E0A9D">
        <w:rPr>
          <w:rFonts w:ascii="Arial" w:eastAsia="Times New Roman" w:hAnsi="Arial" w:cs="Arial"/>
          <w:b/>
          <w:bCs/>
          <w:sz w:val="20"/>
          <w:szCs w:val="20"/>
        </w:rPr>
        <w:t>Informs the public:</w:t>
      </w:r>
      <w:r w:rsidRPr="008E0A9D">
        <w:rPr>
          <w:rFonts w:ascii="Arial" w:eastAsia="Times New Roman" w:hAnsi="Arial" w:cs="Arial"/>
          <w:sz w:val="20"/>
          <w:szCs w:val="20"/>
        </w:rPr>
        <w:t xml:space="preserve"> It allows third parties to be aware of pending trademark applications and potentially raise objections.</w:t>
      </w:r>
    </w:p>
    <w:p w14:paraId="25FED790" w14:textId="77777777" w:rsidR="00D760F5" w:rsidRDefault="00D760F5" w:rsidP="00D760F5">
      <w:pPr>
        <w:spacing w:after="0" w:line="240" w:lineRule="auto"/>
        <w:jc w:val="both"/>
        <w:rPr>
          <w:rFonts w:ascii="Arial" w:eastAsia="Times New Roman" w:hAnsi="Arial" w:cs="Arial"/>
          <w:b/>
          <w:bCs/>
          <w:sz w:val="20"/>
          <w:szCs w:val="20"/>
        </w:rPr>
      </w:pPr>
    </w:p>
    <w:p w14:paraId="3CA0785E" w14:textId="77777777" w:rsidR="00D760F5" w:rsidRDefault="00D760F5" w:rsidP="00D760F5">
      <w:pPr>
        <w:spacing w:after="0" w:line="240" w:lineRule="auto"/>
        <w:jc w:val="both"/>
        <w:rPr>
          <w:rFonts w:ascii="Arial" w:eastAsia="Times New Roman" w:hAnsi="Arial" w:cs="Arial"/>
          <w:sz w:val="20"/>
          <w:szCs w:val="20"/>
        </w:rPr>
      </w:pPr>
      <w:r w:rsidRPr="0046258B">
        <w:rPr>
          <w:rFonts w:ascii="Arial" w:eastAsia="Times New Roman" w:hAnsi="Arial" w:cs="Arial"/>
          <w:b/>
          <w:bCs/>
          <w:sz w:val="20"/>
          <w:szCs w:val="20"/>
        </w:rPr>
        <w:t xml:space="preserve">[ii] </w:t>
      </w:r>
      <w:r w:rsidRPr="008E0A9D">
        <w:rPr>
          <w:rFonts w:ascii="Arial" w:eastAsia="Times New Roman" w:hAnsi="Arial" w:cs="Arial"/>
          <w:b/>
          <w:bCs/>
          <w:sz w:val="20"/>
          <w:szCs w:val="20"/>
        </w:rPr>
        <w:t>Establishes priority:</w:t>
      </w:r>
      <w:r w:rsidRPr="008E0A9D">
        <w:rPr>
          <w:rFonts w:ascii="Arial" w:eastAsia="Times New Roman" w:hAnsi="Arial" w:cs="Arial"/>
          <w:sz w:val="20"/>
          <w:szCs w:val="20"/>
        </w:rPr>
        <w:t xml:space="preserve"> The publication date serves as the priority date for the application, which becomes crucial if multiple applications for similar marks are filed around the same time.</w:t>
      </w:r>
    </w:p>
    <w:p w14:paraId="73368BCE" w14:textId="6115B1D9" w:rsidR="00D760F5" w:rsidRPr="008E0A9D" w:rsidRDefault="006D60ED" w:rsidP="00D760F5">
      <w:pPr>
        <w:spacing w:after="0" w:line="240" w:lineRule="auto"/>
        <w:jc w:val="both"/>
        <w:rPr>
          <w:rFonts w:ascii="Arial" w:eastAsia="Times New Roman" w:hAnsi="Arial" w:cs="Arial"/>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5408" behindDoc="0" locked="0" layoutInCell="1" allowOverlap="1" wp14:anchorId="4E589C4B" wp14:editId="7AB19317">
                <wp:simplePos x="0" y="0"/>
                <wp:positionH relativeFrom="page">
                  <wp:posOffset>7067550</wp:posOffset>
                </wp:positionH>
                <wp:positionV relativeFrom="paragraph">
                  <wp:posOffset>-208280</wp:posOffset>
                </wp:positionV>
                <wp:extent cx="3086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9A6A69" w14:textId="77777777" w:rsidR="006D60ED" w:rsidRPr="00BA68B8" w:rsidRDefault="006D60ED" w:rsidP="006D60ED">
                            <w:pPr>
                              <w:spacing w:after="0" w:line="240" w:lineRule="auto"/>
                              <w:rPr>
                                <w:rFonts w:ascii="Arial" w:hAnsi="Arial" w:cs="Arial"/>
                                <w:b/>
                                <w:color w:val="FFFFFF" w:themeColor="background1"/>
                                <w:sz w:val="20"/>
                                <w:szCs w:val="20"/>
                              </w:rPr>
                            </w:pPr>
                            <w:r w:rsidRPr="00D760F5">
                              <w:rPr>
                                <w:rFonts w:ascii="Arial" w:hAnsi="Arial" w:cs="Arial"/>
                                <w:b/>
                                <w:bCs/>
                                <w:color w:val="FFFFFF" w:themeColor="background1"/>
                                <w:sz w:val="20"/>
                                <w:szCs w:val="20"/>
                              </w:rPr>
                              <w:t>Trademark Examination Process in Laos</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89C4B" id="Rectangle 1" o:spid="_x0000_s1028" style="position:absolute;left:0;text-align:left;margin-left:556.5pt;margin-top:-16.4pt;width:24.3pt;height:8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" fillcolor="#00b39c" strokecolor="#00b39c" strokeweight="0">
                <v:textbox style="layout-flow:vertical" inset=",1.3mm,1.3mm">
                  <w:txbxContent>
                    <w:p w14:paraId="1E9A6A69" w14:textId="77777777" w:rsidR="006D60ED" w:rsidRPr="00BA68B8" w:rsidRDefault="006D60ED" w:rsidP="006D60ED">
                      <w:pPr>
                        <w:spacing w:after="0" w:line="240" w:lineRule="auto"/>
                        <w:rPr>
                          <w:rFonts w:ascii="Arial" w:hAnsi="Arial" w:cs="Arial"/>
                          <w:b/>
                          <w:color w:val="FFFFFF" w:themeColor="background1"/>
                          <w:sz w:val="20"/>
                          <w:szCs w:val="20"/>
                        </w:rPr>
                      </w:pPr>
                      <w:r w:rsidRPr="00D760F5">
                        <w:rPr>
                          <w:rFonts w:ascii="Arial" w:hAnsi="Arial" w:cs="Arial"/>
                          <w:b/>
                          <w:bCs/>
                          <w:color w:val="FFFFFF" w:themeColor="background1"/>
                          <w:sz w:val="20"/>
                          <w:szCs w:val="20"/>
                        </w:rPr>
                        <w:t>Trademark Examination Process in Laos</w:t>
                      </w:r>
                    </w:p>
                  </w:txbxContent>
                </v:textbox>
                <w10:wrap anchorx="page"/>
              </v:rect>
            </w:pict>
          </mc:Fallback>
        </mc:AlternateContent>
      </w:r>
    </w:p>
    <w:p w14:paraId="0E9E5FFD" w14:textId="77777777" w:rsidR="00D760F5" w:rsidRPr="008E0A9D" w:rsidRDefault="00D760F5" w:rsidP="00D760F5">
      <w:pPr>
        <w:spacing w:after="0" w:line="240" w:lineRule="auto"/>
        <w:jc w:val="both"/>
        <w:rPr>
          <w:rFonts w:ascii="Arial" w:eastAsia="Times New Roman" w:hAnsi="Arial" w:cs="Arial"/>
          <w:sz w:val="20"/>
          <w:szCs w:val="20"/>
        </w:rPr>
      </w:pPr>
      <w:r w:rsidRPr="008E0A9D">
        <w:rPr>
          <w:rFonts w:ascii="Arial" w:eastAsia="Times New Roman" w:hAnsi="Arial" w:cs="Arial"/>
          <w:sz w:val="20"/>
          <w:szCs w:val="20"/>
        </w:rPr>
        <w:t xml:space="preserve">Any third party can file an </w:t>
      </w:r>
      <w:hyperlink r:id="rId8" w:history="1">
        <w:r w:rsidRPr="00896503">
          <w:rPr>
            <w:rStyle w:val="Hyperlink"/>
            <w:rFonts w:ascii="Arial" w:eastAsia="Times New Roman" w:hAnsi="Arial" w:cs="Arial"/>
            <w:sz w:val="20"/>
            <w:szCs w:val="20"/>
          </w:rPr>
          <w:t>opposition</w:t>
        </w:r>
      </w:hyperlink>
      <w:r w:rsidRPr="008E0A9D">
        <w:rPr>
          <w:rFonts w:ascii="Arial" w:eastAsia="Times New Roman" w:hAnsi="Arial" w:cs="Arial"/>
          <w:sz w:val="20"/>
          <w:szCs w:val="20"/>
        </w:rPr>
        <w:t xml:space="preserve"> to the application within 60 days of publication. The opposition must be submitted using the prescribed form and accompanied by the relevant fees.</w:t>
      </w:r>
    </w:p>
    <w:p w14:paraId="6CD53404" w14:textId="3E636696" w:rsidR="00D760F5" w:rsidRDefault="00D760F5" w:rsidP="00D760F5">
      <w:pPr>
        <w:spacing w:after="0" w:line="240" w:lineRule="auto"/>
        <w:jc w:val="both"/>
        <w:rPr>
          <w:rFonts w:ascii="Arial" w:eastAsia="Times New Roman" w:hAnsi="Arial" w:cs="Arial"/>
          <w:b/>
          <w:bCs/>
          <w:sz w:val="20"/>
          <w:szCs w:val="20"/>
        </w:rPr>
      </w:pPr>
    </w:p>
    <w:p w14:paraId="4A3965C1" w14:textId="5241FBE0" w:rsidR="00D760F5" w:rsidRPr="008E0A9D" w:rsidRDefault="00D760F5" w:rsidP="00D760F5">
      <w:pPr>
        <w:spacing w:after="0" w:line="240" w:lineRule="auto"/>
        <w:jc w:val="both"/>
        <w:rPr>
          <w:rFonts w:ascii="Arial" w:eastAsia="Times New Roman" w:hAnsi="Arial" w:cs="Arial"/>
          <w:color w:val="2F5496" w:themeColor="accent1" w:themeShade="BF"/>
        </w:rPr>
      </w:pPr>
      <w:r w:rsidRPr="00E334E4">
        <w:rPr>
          <w:rFonts w:ascii="Arial" w:eastAsia="Times New Roman" w:hAnsi="Arial" w:cs="Arial"/>
          <w:b/>
          <w:bCs/>
          <w:color w:val="2F5496" w:themeColor="accent1" w:themeShade="BF"/>
        </w:rPr>
        <w:t xml:space="preserve">3. </w:t>
      </w:r>
      <w:r w:rsidRPr="008E0A9D">
        <w:rPr>
          <w:rFonts w:ascii="Arial" w:eastAsia="Times New Roman" w:hAnsi="Arial" w:cs="Arial"/>
          <w:b/>
          <w:bCs/>
          <w:color w:val="2F5496" w:themeColor="accent1" w:themeShade="BF"/>
        </w:rPr>
        <w:t xml:space="preserve">Substantive </w:t>
      </w:r>
      <w:r w:rsidRPr="00E334E4">
        <w:rPr>
          <w:rFonts w:ascii="Arial" w:eastAsia="Times New Roman" w:hAnsi="Arial" w:cs="Arial"/>
          <w:b/>
          <w:bCs/>
          <w:color w:val="2F5496" w:themeColor="accent1" w:themeShade="BF"/>
        </w:rPr>
        <w:t>e</w:t>
      </w:r>
      <w:r w:rsidRPr="008E0A9D">
        <w:rPr>
          <w:rFonts w:ascii="Arial" w:eastAsia="Times New Roman" w:hAnsi="Arial" w:cs="Arial"/>
          <w:b/>
          <w:bCs/>
          <w:color w:val="2F5496" w:themeColor="accent1" w:themeShade="BF"/>
        </w:rPr>
        <w:t>xamination</w:t>
      </w:r>
    </w:p>
    <w:p w14:paraId="170170F6" w14:textId="015927A6" w:rsidR="00D760F5" w:rsidRDefault="00D760F5" w:rsidP="00D760F5">
      <w:pPr>
        <w:spacing w:after="0" w:line="240" w:lineRule="auto"/>
        <w:jc w:val="both"/>
        <w:rPr>
          <w:rFonts w:ascii="Arial" w:eastAsia="Times New Roman" w:hAnsi="Arial" w:cs="Arial"/>
          <w:sz w:val="20"/>
          <w:szCs w:val="20"/>
        </w:rPr>
      </w:pPr>
    </w:p>
    <w:p w14:paraId="2D574AA9" w14:textId="6502A308" w:rsidR="00D760F5" w:rsidRPr="008E0A9D" w:rsidRDefault="00D760F5" w:rsidP="00D760F5">
      <w:pPr>
        <w:spacing w:after="0" w:line="240" w:lineRule="auto"/>
        <w:jc w:val="both"/>
        <w:rPr>
          <w:rFonts w:ascii="Arial" w:eastAsia="Times New Roman" w:hAnsi="Arial" w:cs="Arial"/>
          <w:sz w:val="20"/>
          <w:szCs w:val="20"/>
        </w:rPr>
      </w:pPr>
      <w:r w:rsidRPr="008E0A9D">
        <w:rPr>
          <w:rFonts w:ascii="Arial" w:eastAsia="Times New Roman" w:hAnsi="Arial" w:cs="Arial"/>
          <w:sz w:val="20"/>
          <w:szCs w:val="20"/>
        </w:rPr>
        <w:t>Following the publication period, the DIP conducts a substantive examination to determine whether the applied-for mark meets the criteria for registration as outlined in Article 12 of the Agreement. This examination involves a thorough review of the mark using the DIP's Intellectual Property Information System (IPAS) and the international WIPO GLOBAL BRAND database.</w:t>
      </w:r>
    </w:p>
    <w:p w14:paraId="08D7FF34" w14:textId="77777777" w:rsidR="00D760F5" w:rsidRDefault="00D760F5" w:rsidP="00D760F5">
      <w:pPr>
        <w:spacing w:after="0" w:line="240" w:lineRule="auto"/>
        <w:rPr>
          <w:rFonts w:ascii="Arial" w:eastAsia="Times New Roman" w:hAnsi="Arial" w:cs="Arial"/>
          <w:sz w:val="20"/>
          <w:szCs w:val="20"/>
        </w:rPr>
      </w:pPr>
    </w:p>
    <w:p w14:paraId="61661E25" w14:textId="2F90CD03" w:rsidR="00D760F5" w:rsidRDefault="00D760F5" w:rsidP="00D760F5">
      <w:pPr>
        <w:spacing w:after="0" w:line="240" w:lineRule="auto"/>
        <w:jc w:val="both"/>
        <w:rPr>
          <w:rFonts w:ascii="Arial" w:eastAsia="Times New Roman" w:hAnsi="Arial" w:cs="Arial"/>
          <w:sz w:val="20"/>
          <w:szCs w:val="20"/>
        </w:rPr>
      </w:pPr>
      <w:r w:rsidRPr="008E0A9D">
        <w:rPr>
          <w:rFonts w:ascii="Arial" w:eastAsia="Times New Roman" w:hAnsi="Arial" w:cs="Arial"/>
          <w:sz w:val="20"/>
          <w:szCs w:val="20"/>
        </w:rPr>
        <w:t xml:space="preserve">The DIP may issue a preliminary </w:t>
      </w:r>
      <w:hyperlink r:id="rId9" w:history="1">
        <w:r w:rsidRPr="007164B8">
          <w:rPr>
            <w:rStyle w:val="Hyperlink"/>
            <w:rFonts w:ascii="Arial" w:eastAsia="Times New Roman" w:hAnsi="Arial" w:cs="Arial"/>
            <w:sz w:val="20"/>
            <w:szCs w:val="20"/>
          </w:rPr>
          <w:t>refusal</w:t>
        </w:r>
      </w:hyperlink>
      <w:r w:rsidRPr="008E0A9D">
        <w:rPr>
          <w:rFonts w:ascii="Arial" w:eastAsia="Times New Roman" w:hAnsi="Arial" w:cs="Arial"/>
          <w:sz w:val="20"/>
          <w:szCs w:val="20"/>
        </w:rPr>
        <w:t xml:space="preserve"> notice if the mark fails to meet the registration requirements. This notice</w:t>
      </w:r>
      <w:r>
        <w:rPr>
          <w:rFonts w:ascii="Arial" w:eastAsia="Times New Roman" w:hAnsi="Arial" w:cs="Arial"/>
          <w:sz w:val="20"/>
          <w:szCs w:val="20"/>
        </w:rPr>
        <w:t xml:space="preserve"> </w:t>
      </w:r>
      <w:r w:rsidRPr="008E0A9D">
        <w:rPr>
          <w:rFonts w:ascii="Arial" w:eastAsia="Times New Roman" w:hAnsi="Arial" w:cs="Arial"/>
          <w:sz w:val="20"/>
          <w:szCs w:val="20"/>
        </w:rPr>
        <w:t>details the reasons for refusal and provides the applicant with an opportunity to respond. The applicant has 60 days to submit documents, explanations, or objections to the DIP in an attempt to overcome the refusal. An extension of 30 days may be granted upon written justification.</w:t>
      </w:r>
    </w:p>
    <w:p w14:paraId="259F4A62" w14:textId="77777777" w:rsidR="00D760F5" w:rsidRPr="008E0A9D" w:rsidRDefault="00D760F5" w:rsidP="00D760F5">
      <w:pPr>
        <w:spacing w:after="0" w:line="240" w:lineRule="auto"/>
        <w:rPr>
          <w:rFonts w:ascii="Arial" w:eastAsia="Times New Roman" w:hAnsi="Arial" w:cs="Arial"/>
          <w:sz w:val="20"/>
          <w:szCs w:val="20"/>
        </w:rPr>
      </w:pPr>
    </w:p>
    <w:p w14:paraId="6AF55C61" w14:textId="77777777" w:rsidR="00D760F5" w:rsidRPr="008E0A9D" w:rsidRDefault="00D760F5" w:rsidP="00D760F5">
      <w:pPr>
        <w:spacing w:after="0" w:line="240" w:lineRule="auto"/>
        <w:jc w:val="both"/>
        <w:rPr>
          <w:rFonts w:ascii="Arial" w:eastAsia="Times New Roman" w:hAnsi="Arial" w:cs="Arial"/>
          <w:sz w:val="20"/>
          <w:szCs w:val="20"/>
        </w:rPr>
      </w:pPr>
      <w:r w:rsidRPr="008E0A9D">
        <w:rPr>
          <w:rFonts w:ascii="Arial" w:eastAsia="Times New Roman" w:hAnsi="Arial" w:cs="Arial"/>
          <w:sz w:val="20"/>
          <w:szCs w:val="20"/>
        </w:rPr>
        <w:t>The substantive examination must be completed within 90 days from the expiration of the publication period if no opposition is filed.</w:t>
      </w:r>
    </w:p>
    <w:p w14:paraId="61E5D9B7" w14:textId="77777777" w:rsidR="00D760F5" w:rsidRDefault="00D760F5" w:rsidP="00D760F5">
      <w:pPr>
        <w:spacing w:after="0" w:line="240" w:lineRule="auto"/>
        <w:rPr>
          <w:rFonts w:ascii="Arial" w:eastAsia="Times New Roman" w:hAnsi="Arial" w:cs="Arial"/>
          <w:b/>
          <w:bCs/>
          <w:sz w:val="20"/>
          <w:szCs w:val="20"/>
        </w:rPr>
      </w:pPr>
    </w:p>
    <w:p w14:paraId="49DE31A6" w14:textId="77777777" w:rsidR="00D760F5" w:rsidRPr="00E334E4" w:rsidRDefault="00D760F5" w:rsidP="00D760F5">
      <w:pPr>
        <w:spacing w:after="0" w:line="240" w:lineRule="auto"/>
        <w:rPr>
          <w:rFonts w:ascii="Arial" w:eastAsia="Times New Roman" w:hAnsi="Arial" w:cs="Arial"/>
          <w:b/>
          <w:bCs/>
          <w:color w:val="2F5496" w:themeColor="accent1" w:themeShade="BF"/>
        </w:rPr>
      </w:pPr>
      <w:r w:rsidRPr="00E334E4">
        <w:rPr>
          <w:rFonts w:ascii="Arial" w:eastAsia="Times New Roman" w:hAnsi="Arial" w:cs="Arial"/>
          <w:b/>
          <w:bCs/>
          <w:color w:val="2F5496" w:themeColor="accent1" w:themeShade="BF"/>
        </w:rPr>
        <w:t xml:space="preserve">4. </w:t>
      </w:r>
      <w:r w:rsidRPr="008E0A9D">
        <w:rPr>
          <w:rFonts w:ascii="Arial" w:eastAsia="Times New Roman" w:hAnsi="Arial" w:cs="Arial"/>
          <w:b/>
          <w:bCs/>
          <w:color w:val="2F5496" w:themeColor="accent1" w:themeShade="BF"/>
        </w:rPr>
        <w:t xml:space="preserve">Special </w:t>
      </w:r>
      <w:r w:rsidRPr="00E334E4">
        <w:rPr>
          <w:rFonts w:ascii="Arial" w:eastAsia="Times New Roman" w:hAnsi="Arial" w:cs="Arial"/>
          <w:b/>
          <w:bCs/>
          <w:color w:val="2F5496" w:themeColor="accent1" w:themeShade="BF"/>
        </w:rPr>
        <w:t>c</w:t>
      </w:r>
      <w:r w:rsidRPr="008E0A9D">
        <w:rPr>
          <w:rFonts w:ascii="Arial" w:eastAsia="Times New Roman" w:hAnsi="Arial" w:cs="Arial"/>
          <w:b/>
          <w:bCs/>
          <w:color w:val="2F5496" w:themeColor="accent1" w:themeShade="BF"/>
        </w:rPr>
        <w:t>onsiderations</w:t>
      </w:r>
    </w:p>
    <w:p w14:paraId="6C2383EB" w14:textId="77777777" w:rsidR="00D760F5" w:rsidRPr="008E0A9D" w:rsidRDefault="00D760F5" w:rsidP="00D760F5">
      <w:pPr>
        <w:spacing w:after="0" w:line="240" w:lineRule="auto"/>
        <w:rPr>
          <w:rFonts w:ascii="Arial" w:eastAsia="Times New Roman" w:hAnsi="Arial" w:cs="Arial"/>
          <w:sz w:val="20"/>
          <w:szCs w:val="20"/>
        </w:rPr>
      </w:pPr>
    </w:p>
    <w:p w14:paraId="2988CDAD" w14:textId="77777777" w:rsidR="00D760F5" w:rsidRDefault="00D760F5" w:rsidP="00D760F5">
      <w:pPr>
        <w:spacing w:after="0" w:line="240" w:lineRule="auto"/>
        <w:jc w:val="both"/>
        <w:rPr>
          <w:rFonts w:ascii="Arial" w:eastAsia="Times New Roman" w:hAnsi="Arial" w:cs="Arial"/>
          <w:sz w:val="20"/>
          <w:szCs w:val="20"/>
        </w:rPr>
      </w:pPr>
      <w:r w:rsidRPr="008E0A9D">
        <w:rPr>
          <w:rFonts w:ascii="Arial" w:eastAsia="Times New Roman" w:hAnsi="Arial" w:cs="Arial"/>
          <w:sz w:val="20"/>
          <w:szCs w:val="20"/>
        </w:rPr>
        <w:t>The trademark examination process in Laos considers several special circumstances:</w:t>
      </w:r>
    </w:p>
    <w:p w14:paraId="004730B5" w14:textId="77777777" w:rsidR="00D760F5" w:rsidRPr="008E0A9D" w:rsidRDefault="00D760F5" w:rsidP="00D760F5">
      <w:pPr>
        <w:spacing w:after="0" w:line="240" w:lineRule="auto"/>
        <w:jc w:val="both"/>
        <w:rPr>
          <w:rFonts w:ascii="Arial" w:eastAsia="Times New Roman" w:hAnsi="Arial" w:cs="Arial"/>
          <w:sz w:val="20"/>
          <w:szCs w:val="20"/>
        </w:rPr>
      </w:pPr>
    </w:p>
    <w:p w14:paraId="46242E79" w14:textId="77777777" w:rsidR="00D760F5" w:rsidRDefault="00D760F5" w:rsidP="00D760F5">
      <w:pPr>
        <w:pStyle w:val="ListParagraph"/>
        <w:numPr>
          <w:ilvl w:val="0"/>
          <w:numId w:val="29"/>
        </w:numPr>
        <w:spacing w:after="0" w:line="240" w:lineRule="auto"/>
        <w:ind w:left="450" w:hanging="450"/>
        <w:jc w:val="both"/>
        <w:rPr>
          <w:rFonts w:ascii="Arial" w:eastAsia="Times New Roman" w:hAnsi="Arial" w:cs="Arial"/>
          <w:sz w:val="20"/>
          <w:szCs w:val="20"/>
        </w:rPr>
      </w:pPr>
      <w:r w:rsidRPr="0046258B">
        <w:rPr>
          <w:rFonts w:ascii="Arial" w:eastAsia="Times New Roman" w:hAnsi="Arial" w:cs="Arial"/>
          <w:b/>
          <w:bCs/>
          <w:sz w:val="20"/>
          <w:szCs w:val="20"/>
        </w:rPr>
        <w:t>Well-known marks and geographical indications:</w:t>
      </w:r>
      <w:r w:rsidRPr="0046258B">
        <w:rPr>
          <w:rFonts w:ascii="Arial" w:eastAsia="Times New Roman" w:hAnsi="Arial" w:cs="Arial"/>
          <w:sz w:val="20"/>
          <w:szCs w:val="20"/>
        </w:rPr>
        <w:t xml:space="preserve"> Applications for marks identical or similar to well-known marks or registered geographical indications require an earlier priority date than the well-known mark or geographical indication to be considered for registration</w:t>
      </w:r>
      <w:r>
        <w:rPr>
          <w:rFonts w:ascii="Arial" w:eastAsia="Times New Roman" w:hAnsi="Arial" w:cs="Arial"/>
          <w:sz w:val="20"/>
          <w:szCs w:val="20"/>
        </w:rPr>
        <w:t>.</w:t>
      </w:r>
    </w:p>
    <w:p w14:paraId="7517C3ED" w14:textId="77777777" w:rsidR="00D760F5" w:rsidRDefault="00D760F5" w:rsidP="00D760F5">
      <w:pPr>
        <w:pStyle w:val="ListParagraph"/>
        <w:spacing w:after="0" w:line="240" w:lineRule="auto"/>
        <w:ind w:left="450"/>
        <w:jc w:val="both"/>
        <w:rPr>
          <w:rFonts w:ascii="Arial" w:eastAsia="Times New Roman" w:hAnsi="Arial" w:cs="Arial"/>
          <w:sz w:val="20"/>
          <w:szCs w:val="20"/>
        </w:rPr>
      </w:pPr>
      <w:r w:rsidRPr="0046258B">
        <w:rPr>
          <w:rFonts w:ascii="Arial" w:eastAsia="Times New Roman" w:hAnsi="Arial" w:cs="Arial"/>
          <w:sz w:val="20"/>
          <w:szCs w:val="20"/>
        </w:rPr>
        <w:t>[</w:t>
      </w:r>
      <w:r w:rsidRPr="0046258B">
        <w:rPr>
          <w:rFonts w:ascii="Arial" w:eastAsia="Times New Roman" w:hAnsi="Arial" w:cs="Arial"/>
          <w:i/>
          <w:iCs/>
          <w:sz w:val="20"/>
          <w:szCs w:val="20"/>
        </w:rPr>
        <w:t>Article 14: Principles for Examining Trademark Registration Applications: In the case where a trademark registration application is for a mark that is identical or similar to a well-known mark or a geographical indication, the application shall be considered but must have an earlier priority date than the well-known mark or geographical indication that has been registered in the Lao PDR or any other country</w:t>
      </w:r>
      <w:r w:rsidRPr="0046258B">
        <w:rPr>
          <w:rFonts w:ascii="Arial" w:eastAsia="Times New Roman" w:hAnsi="Arial" w:cs="Arial"/>
          <w:sz w:val="20"/>
          <w:szCs w:val="20"/>
        </w:rPr>
        <w:t>].</w:t>
      </w:r>
    </w:p>
    <w:p w14:paraId="2BC45FDF" w14:textId="77777777" w:rsidR="00D760F5" w:rsidRPr="0046258B" w:rsidRDefault="00D760F5" w:rsidP="00D760F5">
      <w:pPr>
        <w:pStyle w:val="ListParagraph"/>
        <w:spacing w:after="0" w:line="240" w:lineRule="auto"/>
        <w:ind w:left="450"/>
        <w:jc w:val="both"/>
        <w:rPr>
          <w:rFonts w:ascii="Arial" w:eastAsia="Times New Roman" w:hAnsi="Arial" w:cs="Arial"/>
          <w:sz w:val="20"/>
          <w:szCs w:val="20"/>
        </w:rPr>
      </w:pPr>
    </w:p>
    <w:p w14:paraId="279EC2C2" w14:textId="77777777" w:rsidR="00D760F5" w:rsidRDefault="00D760F5" w:rsidP="00D760F5">
      <w:pPr>
        <w:pStyle w:val="ListParagraph"/>
        <w:numPr>
          <w:ilvl w:val="0"/>
          <w:numId w:val="29"/>
        </w:numPr>
        <w:spacing w:after="0" w:line="240" w:lineRule="auto"/>
        <w:ind w:left="450" w:hanging="450"/>
        <w:jc w:val="both"/>
        <w:rPr>
          <w:rFonts w:ascii="Arial" w:eastAsia="Times New Roman" w:hAnsi="Arial" w:cs="Arial"/>
          <w:sz w:val="20"/>
          <w:szCs w:val="20"/>
        </w:rPr>
      </w:pPr>
      <w:r w:rsidRPr="0046258B">
        <w:rPr>
          <w:rFonts w:ascii="Arial" w:eastAsia="Times New Roman" w:hAnsi="Arial" w:cs="Arial"/>
          <w:b/>
          <w:bCs/>
          <w:sz w:val="20"/>
          <w:szCs w:val="20"/>
        </w:rPr>
        <w:t>Multiple applications for similar marks:</w:t>
      </w:r>
      <w:r w:rsidRPr="0046258B">
        <w:rPr>
          <w:rFonts w:ascii="Arial" w:eastAsia="Times New Roman" w:hAnsi="Arial" w:cs="Arial"/>
          <w:sz w:val="20"/>
          <w:szCs w:val="20"/>
        </w:rPr>
        <w:t xml:space="preserve"> If multiple applications for similar marks are filed during the same period, the application with the earliest filing date takes precedence </w:t>
      </w:r>
    </w:p>
    <w:p w14:paraId="10A250AA" w14:textId="77777777" w:rsidR="00D760F5" w:rsidRDefault="00D760F5" w:rsidP="00D760F5">
      <w:pPr>
        <w:pStyle w:val="ListParagraph"/>
        <w:spacing w:after="0" w:line="240" w:lineRule="auto"/>
        <w:ind w:left="450"/>
        <w:jc w:val="both"/>
        <w:rPr>
          <w:rFonts w:ascii="Arial" w:eastAsia="Times New Roman" w:hAnsi="Arial" w:cs="Arial"/>
          <w:sz w:val="20"/>
          <w:szCs w:val="20"/>
        </w:rPr>
      </w:pPr>
      <w:r w:rsidRPr="0046258B">
        <w:rPr>
          <w:rFonts w:ascii="Arial" w:eastAsia="Times New Roman" w:hAnsi="Arial" w:cs="Arial"/>
          <w:sz w:val="20"/>
          <w:szCs w:val="20"/>
        </w:rPr>
        <w:t>[</w:t>
      </w:r>
      <w:r w:rsidRPr="0046258B">
        <w:rPr>
          <w:rFonts w:ascii="Arial" w:eastAsia="Times New Roman" w:hAnsi="Arial" w:cs="Arial"/>
          <w:i/>
          <w:iCs/>
          <w:sz w:val="20"/>
          <w:szCs w:val="20"/>
        </w:rPr>
        <w:t>Article 14: Principles for Examining Trademark Registration Applications: In the case of multiple trademark registration applications filed during the same period for the same or similar marks for the same or similar goods, the application with the earlier priority date shall be considered first</w:t>
      </w:r>
      <w:r w:rsidRPr="0046258B">
        <w:rPr>
          <w:rFonts w:ascii="Arial" w:eastAsia="Times New Roman" w:hAnsi="Arial" w:cs="Arial"/>
          <w:sz w:val="20"/>
          <w:szCs w:val="20"/>
        </w:rPr>
        <w:t>]</w:t>
      </w:r>
      <w:r>
        <w:rPr>
          <w:rFonts w:ascii="Arial" w:eastAsia="Times New Roman" w:hAnsi="Arial" w:cs="Arial"/>
          <w:sz w:val="20"/>
          <w:szCs w:val="20"/>
        </w:rPr>
        <w:t>.</w:t>
      </w:r>
    </w:p>
    <w:p w14:paraId="3DFD4879" w14:textId="77777777" w:rsidR="00D760F5" w:rsidRPr="0046258B" w:rsidRDefault="00D760F5" w:rsidP="00D760F5">
      <w:pPr>
        <w:pStyle w:val="ListParagraph"/>
        <w:spacing w:after="0" w:line="240" w:lineRule="auto"/>
        <w:ind w:left="450"/>
        <w:jc w:val="both"/>
        <w:rPr>
          <w:rFonts w:ascii="Arial" w:eastAsia="Times New Roman" w:hAnsi="Arial" w:cs="Arial"/>
          <w:sz w:val="20"/>
          <w:szCs w:val="20"/>
        </w:rPr>
      </w:pPr>
    </w:p>
    <w:p w14:paraId="38D22512" w14:textId="77777777" w:rsidR="00D760F5" w:rsidRDefault="00D760F5" w:rsidP="00D760F5">
      <w:pPr>
        <w:pStyle w:val="ListParagraph"/>
        <w:numPr>
          <w:ilvl w:val="0"/>
          <w:numId w:val="29"/>
        </w:numPr>
        <w:spacing w:after="0" w:line="240" w:lineRule="auto"/>
        <w:ind w:left="450" w:hanging="450"/>
        <w:jc w:val="both"/>
        <w:rPr>
          <w:rFonts w:ascii="Arial" w:eastAsia="Times New Roman" w:hAnsi="Arial" w:cs="Arial"/>
          <w:sz w:val="20"/>
          <w:szCs w:val="20"/>
        </w:rPr>
      </w:pPr>
      <w:r w:rsidRPr="0046258B">
        <w:rPr>
          <w:rFonts w:ascii="Arial" w:eastAsia="Times New Roman" w:hAnsi="Arial" w:cs="Arial"/>
          <w:b/>
          <w:bCs/>
          <w:sz w:val="20"/>
          <w:szCs w:val="20"/>
        </w:rPr>
        <w:t>Disclaimer of exclusive rights:</w:t>
      </w:r>
      <w:r w:rsidRPr="0046258B">
        <w:rPr>
          <w:rFonts w:ascii="Arial" w:eastAsia="Times New Roman" w:hAnsi="Arial" w:cs="Arial"/>
          <w:sz w:val="20"/>
          <w:szCs w:val="20"/>
        </w:rPr>
        <w:t xml:space="preserve"> The DIP may require an applicant to disclaim exclusive rights to elements of the mark that are generic or </w:t>
      </w:r>
      <w:hyperlink r:id="rId10" w:history="1">
        <w:r w:rsidRPr="00825977">
          <w:rPr>
            <w:rStyle w:val="Hyperlink"/>
            <w:rFonts w:ascii="Arial" w:eastAsia="Times New Roman" w:hAnsi="Arial" w:cs="Arial"/>
            <w:sz w:val="20"/>
            <w:szCs w:val="20"/>
          </w:rPr>
          <w:t>descriptive</w:t>
        </w:r>
      </w:hyperlink>
      <w:r w:rsidRPr="0046258B">
        <w:rPr>
          <w:rFonts w:ascii="Arial" w:eastAsia="Times New Roman" w:hAnsi="Arial" w:cs="Arial"/>
          <w:sz w:val="20"/>
          <w:szCs w:val="20"/>
        </w:rPr>
        <w:t>, such as common words or symbols.</w:t>
      </w:r>
    </w:p>
    <w:p w14:paraId="70E4F894" w14:textId="77777777" w:rsidR="00D760F5" w:rsidRDefault="00D760F5" w:rsidP="00D760F5">
      <w:pPr>
        <w:pStyle w:val="ListParagraph"/>
        <w:spacing w:after="0" w:line="240" w:lineRule="auto"/>
        <w:ind w:left="450"/>
        <w:jc w:val="both"/>
        <w:rPr>
          <w:rFonts w:ascii="Arial" w:eastAsia="Times New Roman" w:hAnsi="Arial" w:cs="Arial"/>
          <w:sz w:val="20"/>
          <w:szCs w:val="20"/>
        </w:rPr>
      </w:pPr>
      <w:r w:rsidRPr="0046258B">
        <w:rPr>
          <w:rFonts w:ascii="Arial" w:eastAsia="Times New Roman" w:hAnsi="Arial" w:cs="Arial"/>
          <w:sz w:val="20"/>
          <w:szCs w:val="20"/>
        </w:rPr>
        <w:t>[</w:t>
      </w:r>
      <w:r w:rsidRPr="0046258B">
        <w:rPr>
          <w:rFonts w:ascii="Arial" w:eastAsia="Times New Roman" w:hAnsi="Arial" w:cs="Arial"/>
          <w:i/>
          <w:iCs/>
          <w:sz w:val="20"/>
          <w:szCs w:val="20"/>
        </w:rPr>
        <w:t>Article 18: Disclaimer of Exclusive Right in Elements of a Mark: The Department of Intellectual Property shall not allow exclusive rights to any element or word of a mark such as descriptions or general terms indications of quality characteristics of goods or services and shall preliminarily notify the trademark applicant of the refusal</w:t>
      </w:r>
      <w:r w:rsidRPr="0046258B">
        <w:rPr>
          <w:rFonts w:ascii="Arial" w:eastAsia="Times New Roman" w:hAnsi="Arial" w:cs="Arial"/>
          <w:sz w:val="20"/>
          <w:szCs w:val="20"/>
        </w:rPr>
        <w:t>]</w:t>
      </w:r>
      <w:r>
        <w:rPr>
          <w:rFonts w:ascii="Arial" w:eastAsia="Times New Roman" w:hAnsi="Arial" w:cs="Arial"/>
          <w:sz w:val="20"/>
          <w:szCs w:val="20"/>
        </w:rPr>
        <w:t>.</w:t>
      </w:r>
    </w:p>
    <w:p w14:paraId="1B214C31" w14:textId="77777777" w:rsidR="00D760F5" w:rsidRPr="0046258B" w:rsidRDefault="00D760F5" w:rsidP="00D760F5">
      <w:pPr>
        <w:pStyle w:val="ListParagraph"/>
        <w:spacing w:after="0" w:line="240" w:lineRule="auto"/>
        <w:ind w:left="450"/>
        <w:jc w:val="both"/>
        <w:rPr>
          <w:rFonts w:ascii="Arial" w:eastAsia="Times New Roman" w:hAnsi="Arial" w:cs="Arial"/>
          <w:sz w:val="20"/>
          <w:szCs w:val="20"/>
        </w:rPr>
      </w:pPr>
    </w:p>
    <w:p w14:paraId="6774A22E" w14:textId="77777777" w:rsidR="00D760F5" w:rsidRDefault="00D760F5" w:rsidP="00D760F5">
      <w:pPr>
        <w:pStyle w:val="ListParagraph"/>
        <w:numPr>
          <w:ilvl w:val="0"/>
          <w:numId w:val="29"/>
        </w:numPr>
        <w:spacing w:after="0" w:line="240" w:lineRule="auto"/>
        <w:ind w:left="450" w:hanging="450"/>
        <w:jc w:val="both"/>
        <w:rPr>
          <w:rFonts w:ascii="Arial" w:eastAsia="Times New Roman" w:hAnsi="Arial" w:cs="Arial"/>
          <w:sz w:val="20"/>
          <w:szCs w:val="20"/>
        </w:rPr>
      </w:pPr>
      <w:r w:rsidRPr="0046258B">
        <w:rPr>
          <w:rFonts w:ascii="Arial" w:eastAsia="Times New Roman" w:hAnsi="Arial" w:cs="Arial"/>
          <w:b/>
          <w:bCs/>
          <w:sz w:val="20"/>
          <w:szCs w:val="20"/>
        </w:rPr>
        <w:t>Division of applications:</w:t>
      </w:r>
      <w:r w:rsidRPr="0046258B">
        <w:rPr>
          <w:rFonts w:ascii="Arial" w:eastAsia="Times New Roman" w:hAnsi="Arial" w:cs="Arial"/>
          <w:sz w:val="20"/>
          <w:szCs w:val="20"/>
        </w:rPr>
        <w:t xml:space="preserve"> An application can be divided into multiple applications before registration, allowing the applicant to pursue registration for specific elements of the original mark.</w:t>
      </w:r>
    </w:p>
    <w:p w14:paraId="007EA943" w14:textId="77777777" w:rsidR="00D760F5" w:rsidRPr="0046258B" w:rsidRDefault="00D760F5" w:rsidP="00D760F5">
      <w:pPr>
        <w:pStyle w:val="ListParagraph"/>
        <w:spacing w:after="0" w:line="240" w:lineRule="auto"/>
        <w:ind w:left="450"/>
        <w:jc w:val="both"/>
        <w:rPr>
          <w:rFonts w:ascii="Arial" w:eastAsia="Times New Roman" w:hAnsi="Arial" w:cs="Arial"/>
          <w:sz w:val="20"/>
          <w:szCs w:val="20"/>
        </w:rPr>
      </w:pPr>
      <w:r w:rsidRPr="0046258B">
        <w:rPr>
          <w:rFonts w:ascii="Arial" w:eastAsia="Times New Roman" w:hAnsi="Arial" w:cs="Arial"/>
          <w:sz w:val="20"/>
          <w:szCs w:val="20"/>
        </w:rPr>
        <w:t>[</w:t>
      </w:r>
      <w:r w:rsidRPr="0046258B">
        <w:rPr>
          <w:rFonts w:ascii="Arial" w:eastAsia="Times New Roman" w:hAnsi="Arial" w:cs="Arial"/>
          <w:i/>
          <w:iCs/>
          <w:sz w:val="20"/>
          <w:szCs w:val="20"/>
        </w:rPr>
        <w:t>Article 19: Division of Applications: A trademark application may be divided into two or more applications but only before registration abandonment refusal or other final disposition of the application</w:t>
      </w:r>
      <w:r w:rsidRPr="0046258B">
        <w:rPr>
          <w:rFonts w:ascii="Arial" w:eastAsia="Times New Roman" w:hAnsi="Arial" w:cs="Arial"/>
          <w:sz w:val="20"/>
          <w:szCs w:val="20"/>
        </w:rPr>
        <w:t>]</w:t>
      </w:r>
      <w:r>
        <w:rPr>
          <w:rFonts w:ascii="Arial" w:eastAsia="Times New Roman" w:hAnsi="Arial" w:cs="Arial"/>
          <w:sz w:val="20"/>
          <w:szCs w:val="20"/>
        </w:rPr>
        <w:t>.</w:t>
      </w:r>
    </w:p>
    <w:p w14:paraId="2B81FA20" w14:textId="76F9694E" w:rsidR="00F27C56" w:rsidRPr="00EB36D0" w:rsidRDefault="00F27C56" w:rsidP="00EB36D0">
      <w:pPr>
        <w:spacing w:after="0" w:line="240" w:lineRule="auto"/>
        <w:jc w:val="both"/>
        <w:rPr>
          <w:rFonts w:ascii="Arial" w:hAnsi="Arial" w:cs="Arial"/>
          <w:sz w:val="20"/>
          <w:szCs w:val="20"/>
        </w:rPr>
      </w:pPr>
    </w:p>
    <w:p w14:paraId="3BCE5536" w14:textId="77777777" w:rsidR="00D760F5" w:rsidRPr="00615D9F" w:rsidRDefault="00D760F5" w:rsidP="00D760F5">
      <w:pPr>
        <w:spacing w:after="0" w:line="312" w:lineRule="auto"/>
        <w:jc w:val="both"/>
        <w:rPr>
          <w:rFonts w:ascii="Arial" w:eastAsia="Times New Roman" w:hAnsi="Arial" w:cs="Arial"/>
          <w:sz w:val="20"/>
          <w:szCs w:val="20"/>
        </w:rPr>
      </w:pPr>
    </w:p>
    <w:p w14:paraId="75A7C531" w14:textId="77777777" w:rsidR="00D760F5" w:rsidRPr="00615D9F" w:rsidRDefault="00264E22" w:rsidP="00D760F5">
      <w:pPr>
        <w:pStyle w:val="NormalWeb"/>
        <w:spacing w:before="0" w:beforeAutospacing="0" w:after="0" w:afterAutospacing="0" w:line="312" w:lineRule="auto"/>
        <w:jc w:val="right"/>
        <w:rPr>
          <w:rFonts w:ascii="Arial" w:hAnsi="Arial" w:cs="Arial"/>
          <w:sz w:val="20"/>
          <w:szCs w:val="20"/>
        </w:rPr>
      </w:pPr>
      <w:hyperlink r:id="rId11" w:tgtFrame="_blank" w:history="1">
        <w:r w:rsidR="00D760F5" w:rsidRPr="00615D9F">
          <w:rPr>
            <w:rStyle w:val="Hyperlink"/>
            <w:rFonts w:ascii="Arial" w:hAnsi="Arial" w:cs="Arial"/>
            <w:b/>
            <w:bCs/>
            <w:color w:val="000000"/>
            <w:sz w:val="20"/>
            <w:szCs w:val="20"/>
            <w:u w:val="none"/>
          </w:rPr>
          <w:t>QUAN, Nguyen Vu</w:t>
        </w:r>
      </w:hyperlink>
      <w:r w:rsidR="00D760F5" w:rsidRPr="00615D9F">
        <w:rPr>
          <w:rStyle w:val="Strong"/>
          <w:rFonts w:ascii="Arial" w:hAnsi="Arial" w:cs="Arial"/>
          <w:color w:val="000000"/>
          <w:sz w:val="20"/>
          <w:szCs w:val="20"/>
        </w:rPr>
        <w:t> | Partner, IP Attorney</w:t>
      </w:r>
    </w:p>
    <w:p w14:paraId="4044DB11" w14:textId="77777777" w:rsidR="00D760F5" w:rsidRPr="00615D9F" w:rsidRDefault="00264E22" w:rsidP="00D760F5">
      <w:pPr>
        <w:pStyle w:val="NormalWeb"/>
        <w:spacing w:before="0" w:beforeAutospacing="0" w:after="0" w:afterAutospacing="0" w:line="312" w:lineRule="auto"/>
        <w:jc w:val="right"/>
        <w:rPr>
          <w:rFonts w:ascii="Arial" w:hAnsi="Arial" w:cs="Arial"/>
          <w:sz w:val="20"/>
          <w:szCs w:val="20"/>
        </w:rPr>
      </w:pPr>
      <w:hyperlink r:id="rId12" w:tgtFrame="_blank" w:history="1">
        <w:r w:rsidR="00D760F5" w:rsidRPr="00615D9F">
          <w:rPr>
            <w:rStyle w:val="Hyperlink"/>
            <w:rFonts w:ascii="Arial" w:hAnsi="Arial" w:cs="Arial"/>
            <w:b/>
            <w:bCs/>
            <w:color w:val="000000"/>
            <w:sz w:val="20"/>
            <w:szCs w:val="20"/>
            <w:u w:val="none"/>
          </w:rPr>
          <w:t>PHAN, Do Thi </w:t>
        </w:r>
      </w:hyperlink>
      <w:r w:rsidR="00D760F5" w:rsidRPr="00615D9F">
        <w:rPr>
          <w:rStyle w:val="Strong"/>
          <w:rFonts w:ascii="Arial" w:hAnsi="Arial" w:cs="Arial"/>
          <w:color w:val="000000"/>
          <w:sz w:val="20"/>
          <w:szCs w:val="20"/>
        </w:rPr>
        <w:t> | Special Counsel</w:t>
      </w:r>
    </w:p>
    <w:p w14:paraId="2C94F52B" w14:textId="77777777" w:rsidR="00D760F5" w:rsidRPr="00615D9F" w:rsidRDefault="00264E22" w:rsidP="00D760F5">
      <w:pPr>
        <w:pStyle w:val="NormalWeb"/>
        <w:spacing w:before="0" w:beforeAutospacing="0" w:after="0" w:afterAutospacing="0" w:line="312" w:lineRule="auto"/>
        <w:jc w:val="right"/>
        <w:rPr>
          <w:rFonts w:ascii="Arial" w:hAnsi="Arial" w:cs="Arial"/>
          <w:sz w:val="20"/>
          <w:szCs w:val="20"/>
        </w:rPr>
      </w:pPr>
      <w:hyperlink r:id="rId13" w:tgtFrame="_blank" w:history="1">
        <w:r w:rsidR="00D760F5" w:rsidRPr="00615D9F">
          <w:rPr>
            <w:rStyle w:val="Hyperlink"/>
            <w:rFonts w:ascii="Arial" w:hAnsi="Arial" w:cs="Arial"/>
            <w:b/>
            <w:bCs/>
            <w:color w:val="000000"/>
            <w:sz w:val="20"/>
            <w:szCs w:val="20"/>
            <w:u w:val="none"/>
          </w:rPr>
          <w:t>HONG, Hoang Thi Tuyet</w:t>
        </w:r>
      </w:hyperlink>
      <w:r w:rsidR="00D760F5" w:rsidRPr="00615D9F">
        <w:rPr>
          <w:rStyle w:val="Strong"/>
          <w:rFonts w:ascii="Arial" w:hAnsi="Arial" w:cs="Arial"/>
          <w:color w:val="000000"/>
          <w:sz w:val="20"/>
          <w:szCs w:val="20"/>
        </w:rPr>
        <w:t> | Senior Trademark Attorney</w:t>
      </w:r>
    </w:p>
    <w:p w14:paraId="32601084" w14:textId="3B5C05D8" w:rsidR="00F27C56" w:rsidRDefault="00D760F5" w:rsidP="005750FC">
      <w:pPr>
        <w:pStyle w:val="NormalWeb"/>
        <w:shd w:val="clear" w:color="auto" w:fill="FFFFFF"/>
        <w:spacing w:before="0" w:beforeAutospacing="0" w:after="0" w:afterAutospacing="0" w:line="360" w:lineRule="atLeast"/>
        <w:jc w:val="right"/>
        <w:textAlignment w:val="baseline"/>
        <w:rPr>
          <w:color w:val="6A6A6A"/>
          <w:sz w:val="23"/>
          <w:szCs w:val="23"/>
        </w:rPr>
      </w:pPr>
      <w:r w:rsidRPr="00D03044">
        <w:rPr>
          <w:rFonts w:ascii="Arial" w:hAnsi="Arial" w:cs="Arial"/>
          <w:noProof/>
          <w:lang w:eastAsia="ko-KR"/>
        </w:rPr>
        <mc:AlternateContent>
          <mc:Choice Requires="wps">
            <w:drawing>
              <wp:anchor distT="0" distB="0" distL="114300" distR="114300" simplePos="0" relativeHeight="251663360" behindDoc="0" locked="0" layoutInCell="1" allowOverlap="1" wp14:anchorId="534D4560" wp14:editId="54590C61">
                <wp:simplePos x="0" y="0"/>
                <wp:positionH relativeFrom="margin">
                  <wp:align>left</wp:align>
                </wp:positionH>
                <wp:positionV relativeFrom="paragraph">
                  <wp:posOffset>75565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264E22" w:rsidP="0091740F">
                            <w:pPr>
                              <w:spacing w:before="20" w:afterLines="20" w:after="48" w:line="240" w:lineRule="auto"/>
                              <w:ind w:left="142"/>
                              <w:rPr>
                                <w:rFonts w:ascii="Arial" w:hAnsi="Arial" w:cs="Arial"/>
                                <w:b/>
                                <w:color w:val="000000" w:themeColor="text1"/>
                                <w:sz w:val="20"/>
                                <w:szCs w:val="20"/>
                              </w:rPr>
                            </w:pPr>
                            <w:hyperlink r:id="rId14"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4560" id="Rectangle 48" o:spid="_x0000_s1029" style="position:absolute;left:0;text-align:left;margin-left:0;margin-top:5.95pt;width:264pt;height:9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jSg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" fillcolor="#d8d8d8 [2732]" strokecolor="#ed7d31 [3205]">
                <v:textbo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7F377C" w:rsidP="0091740F">
                      <w:pPr>
                        <w:spacing w:before="20" w:afterLines="20" w:after="48" w:line="240" w:lineRule="auto"/>
                        <w:ind w:left="142"/>
                        <w:rPr>
                          <w:rFonts w:ascii="Arial" w:hAnsi="Arial" w:cs="Arial"/>
                          <w:b/>
                          <w:color w:val="000000" w:themeColor="text1"/>
                          <w:sz w:val="20"/>
                          <w:szCs w:val="20"/>
                        </w:rPr>
                      </w:pPr>
                      <w:hyperlink r:id="rId16"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w10:wrap anchorx="margin"/>
              </v:rect>
            </w:pict>
          </mc:Fallback>
        </mc:AlternateContent>
      </w:r>
    </w:p>
    <w:p w14:paraId="02E3DDEC" w14:textId="52853A67" w:rsidR="0091740F" w:rsidRPr="00D03044" w:rsidRDefault="0091740F" w:rsidP="0091740F">
      <w:pPr>
        <w:spacing w:after="0" w:line="240" w:lineRule="auto"/>
        <w:jc w:val="both"/>
        <w:rPr>
          <w:rFonts w:ascii="Arial" w:eastAsia="Times New Roman" w:hAnsi="Arial" w:cs="Arial"/>
          <w:sz w:val="20"/>
          <w:szCs w:val="20"/>
          <w:lang w:eastAsia="ko-KR"/>
        </w:rPr>
      </w:pPr>
    </w:p>
    <w:p w14:paraId="7AC564C6" w14:textId="77777777" w:rsidR="0091740F" w:rsidRPr="00D03044" w:rsidRDefault="0091740F" w:rsidP="0091740F">
      <w:pPr>
        <w:spacing w:after="0" w:line="240" w:lineRule="auto"/>
        <w:rPr>
          <w:rFonts w:ascii="Arial" w:hAnsi="Arial" w:cs="Arial"/>
        </w:rPr>
      </w:pPr>
    </w:p>
    <w:p w14:paraId="01B7E910" w14:textId="13F063FF" w:rsidR="0091740F" w:rsidRPr="00D03044" w:rsidRDefault="0091740F" w:rsidP="0091740F">
      <w:pPr>
        <w:rPr>
          <w:rFonts w:ascii="Arial" w:hAnsi="Arial" w:cs="Arial"/>
          <w:sz w:val="20"/>
          <w:szCs w:val="20"/>
        </w:rPr>
      </w:pPr>
    </w:p>
    <w:bookmarkEnd w:id="1"/>
    <w:p w14:paraId="48D045A8" w14:textId="5330F03B" w:rsidR="00077D04" w:rsidRPr="00834613" w:rsidRDefault="00077D04" w:rsidP="009A357F">
      <w:pPr>
        <w:spacing w:after="0" w:line="240" w:lineRule="auto"/>
        <w:jc w:val="both"/>
        <w:rPr>
          <w:rFonts w:ascii="Arial" w:hAnsi="Arial" w:cs="Arial"/>
          <w:sz w:val="20"/>
          <w:szCs w:val="20"/>
          <w:lang w:val="en-GB"/>
        </w:rPr>
      </w:pPr>
    </w:p>
    <w:sectPr w:rsidR="00077D04" w:rsidRPr="00834613" w:rsidSect="00EB36D0">
      <w:footerReference w:type="default" r:id="rId17"/>
      <w:pgSz w:w="11906" w:h="16838" w:code="9"/>
      <w:pgMar w:top="851" w:right="1440" w:bottom="1440" w:left="1440"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CD581" w14:textId="77777777" w:rsidR="00264E22" w:rsidRDefault="00264E22" w:rsidP="00E57781">
      <w:pPr>
        <w:spacing w:after="0" w:line="240" w:lineRule="auto"/>
      </w:pPr>
      <w:r>
        <w:separator/>
      </w:r>
    </w:p>
  </w:endnote>
  <w:endnote w:type="continuationSeparator" w:id="0">
    <w:p w14:paraId="425A1C45" w14:textId="77777777" w:rsidR="00264E22" w:rsidRDefault="00264E22"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327" w14:textId="093B7C64" w:rsidR="00E57781" w:rsidRPr="00E57781" w:rsidRDefault="00264E22"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hyperlink r:id="rId1" w:history="1">
      <w:r w:rsidR="00E57781" w:rsidRPr="00357E95">
        <w:rPr>
          <w:rStyle w:val="Hyperlink"/>
          <w:rFonts w:ascii="Arial" w:hAnsi="Arial" w:cs="Arial"/>
          <w:noProof/>
          <w:sz w:val="20"/>
          <w:szCs w:val="20"/>
          <w:u w:val="none"/>
        </w:rPr>
        <w:t>KENFOX IP &amp; Law Office</w:t>
      </w:r>
    </w:hyperlink>
    <w:r w:rsidR="00E57781" w:rsidRPr="00357E95">
      <w:rPr>
        <w:rFonts w:ascii="Arial" w:hAnsi="Arial" w:cs="Arial"/>
        <w:noProof/>
        <w:color w:val="404040" w:themeColor="text1" w:themeTint="BF"/>
        <w:sz w:val="20"/>
        <w:szCs w:val="20"/>
      </w:rPr>
      <w:t xml:space="preserve">                                                                                                                 </w:t>
    </w:r>
    <w:r w:rsidR="004144A5" w:rsidRPr="00357E95">
      <w:rPr>
        <w:rFonts w:ascii="Arial" w:hAnsi="Arial" w:cs="Arial"/>
        <w:noProof/>
        <w:color w:val="404040" w:themeColor="text1" w:themeTint="BF"/>
        <w:sz w:val="20"/>
        <w:szCs w:val="20"/>
      </w:rPr>
      <w:t xml:space="preserve">   </w:t>
    </w:r>
    <w:r w:rsidR="00E57781" w:rsidRPr="00357E95">
      <w:rPr>
        <w:rFonts w:ascii="Arial" w:hAnsi="Arial" w:cs="Arial"/>
        <w:noProof/>
        <w:color w:val="404040" w:themeColor="text1" w:themeTint="BF"/>
        <w:sz w:val="20"/>
        <w:szCs w:val="20"/>
      </w:rPr>
      <w:t xml:space="preserve">   </w:t>
    </w:r>
    <w:r w:rsidR="00E57781" w:rsidRPr="00E57781">
      <w:rPr>
        <w:rFonts w:ascii="Arial" w:hAnsi="Arial" w:cs="Arial"/>
        <w:noProof/>
        <w:color w:val="404040" w:themeColor="text1" w:themeTint="BF"/>
        <w:sz w:val="20"/>
        <w:szCs w:val="20"/>
      </w:rPr>
      <w:fldChar w:fldCharType="begin"/>
    </w:r>
    <w:r w:rsidR="00E57781" w:rsidRPr="00E57781">
      <w:rPr>
        <w:rFonts w:ascii="Arial" w:hAnsi="Arial" w:cs="Arial"/>
        <w:noProof/>
        <w:color w:val="404040" w:themeColor="text1" w:themeTint="BF"/>
        <w:sz w:val="20"/>
        <w:szCs w:val="20"/>
      </w:rPr>
      <w:instrText xml:space="preserve"> PAGE   \* MERGEFORMAT </w:instrText>
    </w:r>
    <w:r w:rsidR="00E57781" w:rsidRPr="00E57781">
      <w:rPr>
        <w:rFonts w:ascii="Arial" w:hAnsi="Arial" w:cs="Arial"/>
        <w:noProof/>
        <w:color w:val="404040" w:themeColor="text1" w:themeTint="BF"/>
        <w:sz w:val="20"/>
        <w:szCs w:val="20"/>
      </w:rPr>
      <w:fldChar w:fldCharType="separate"/>
    </w:r>
    <w:r w:rsidR="00E57781" w:rsidRPr="00E57781">
      <w:rPr>
        <w:rFonts w:ascii="Arial" w:hAnsi="Arial" w:cs="Arial"/>
        <w:noProof/>
        <w:color w:val="404040" w:themeColor="text1" w:themeTint="BF"/>
        <w:sz w:val="20"/>
        <w:szCs w:val="20"/>
      </w:rPr>
      <w:t>2</w:t>
    </w:r>
    <w:r w:rsidR="00E57781"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D107E" w14:textId="77777777" w:rsidR="00264E22" w:rsidRDefault="00264E22" w:rsidP="00E57781">
      <w:pPr>
        <w:spacing w:after="0" w:line="240" w:lineRule="auto"/>
      </w:pPr>
      <w:r>
        <w:separator/>
      </w:r>
    </w:p>
  </w:footnote>
  <w:footnote w:type="continuationSeparator" w:id="0">
    <w:p w14:paraId="10E29B89" w14:textId="77777777" w:rsidR="00264E22" w:rsidRDefault="00264E22" w:rsidP="00E57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8FF"/>
    <w:multiLevelType w:val="hybridMultilevel"/>
    <w:tmpl w:val="3F0AF1CE"/>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2228"/>
    <w:multiLevelType w:val="hybridMultilevel"/>
    <w:tmpl w:val="FD78A6AC"/>
    <w:lvl w:ilvl="0" w:tplc="82488B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06D"/>
    <w:multiLevelType w:val="hybridMultilevel"/>
    <w:tmpl w:val="F190A61A"/>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31379"/>
    <w:multiLevelType w:val="hybridMultilevel"/>
    <w:tmpl w:val="7286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E5451"/>
    <w:multiLevelType w:val="hybridMultilevel"/>
    <w:tmpl w:val="FE8E49F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D1B79"/>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274F3"/>
    <w:multiLevelType w:val="hybridMultilevel"/>
    <w:tmpl w:val="99FA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C7A10"/>
    <w:multiLevelType w:val="hybridMultilevel"/>
    <w:tmpl w:val="20D6F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F5730"/>
    <w:multiLevelType w:val="hybridMultilevel"/>
    <w:tmpl w:val="BBEA7C40"/>
    <w:lvl w:ilvl="0" w:tplc="49B65F2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3286546"/>
    <w:multiLevelType w:val="multilevel"/>
    <w:tmpl w:val="FF12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53DA5"/>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D07D75"/>
    <w:multiLevelType w:val="hybridMultilevel"/>
    <w:tmpl w:val="7D1CF8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E20406"/>
    <w:multiLevelType w:val="hybridMultilevel"/>
    <w:tmpl w:val="F41C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66B39"/>
    <w:multiLevelType w:val="hybridMultilevel"/>
    <w:tmpl w:val="8A069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062425"/>
    <w:multiLevelType w:val="hybridMultilevel"/>
    <w:tmpl w:val="B8B22560"/>
    <w:lvl w:ilvl="0" w:tplc="A2B8E512">
      <w:start w:val="1"/>
      <w:numFmt w:val="lowerRoman"/>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51ACC"/>
    <w:multiLevelType w:val="hybridMultilevel"/>
    <w:tmpl w:val="7556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1D4989"/>
    <w:multiLevelType w:val="hybridMultilevel"/>
    <w:tmpl w:val="993875E8"/>
    <w:lvl w:ilvl="0" w:tplc="A2B8E51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3401E7"/>
    <w:multiLevelType w:val="hybridMultilevel"/>
    <w:tmpl w:val="2D86B7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EE57F2"/>
    <w:multiLevelType w:val="hybridMultilevel"/>
    <w:tmpl w:val="DE448BB2"/>
    <w:lvl w:ilvl="0" w:tplc="D3DE92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EE2812"/>
    <w:multiLevelType w:val="hybridMultilevel"/>
    <w:tmpl w:val="F0348E94"/>
    <w:lvl w:ilvl="0" w:tplc="911C6E8A">
      <w:start w:val="1"/>
      <w:numFmt w:val="lowerRoman"/>
      <w:lvlText w:val="(%1)"/>
      <w:lvlJc w:val="left"/>
      <w:pPr>
        <w:ind w:left="720" w:hanging="360"/>
      </w:pPr>
      <w:rPr>
        <w:rFonts w:ascii="Arial" w:hAnsi="Arial" w:cs="Arial"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D41418"/>
    <w:multiLevelType w:val="hybridMultilevel"/>
    <w:tmpl w:val="45183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DD52E3"/>
    <w:multiLevelType w:val="hybridMultilevel"/>
    <w:tmpl w:val="48C644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101F96"/>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D945D3"/>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944786"/>
    <w:multiLevelType w:val="multilevel"/>
    <w:tmpl w:val="381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37597E"/>
    <w:multiLevelType w:val="hybridMultilevel"/>
    <w:tmpl w:val="EA3248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8647B1"/>
    <w:multiLevelType w:val="hybridMultilevel"/>
    <w:tmpl w:val="230AA48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9"/>
  </w:num>
  <w:num w:numId="4">
    <w:abstractNumId w:val="4"/>
  </w:num>
  <w:num w:numId="5">
    <w:abstractNumId w:val="5"/>
  </w:num>
  <w:num w:numId="6">
    <w:abstractNumId w:val="11"/>
  </w:num>
  <w:num w:numId="7">
    <w:abstractNumId w:val="1"/>
  </w:num>
  <w:num w:numId="8">
    <w:abstractNumId w:val="14"/>
  </w:num>
  <w:num w:numId="9">
    <w:abstractNumId w:val="2"/>
  </w:num>
  <w:num w:numId="10">
    <w:abstractNumId w:val="26"/>
  </w:num>
  <w:num w:numId="11">
    <w:abstractNumId w:val="10"/>
  </w:num>
  <w:num w:numId="12">
    <w:abstractNumId w:val="0"/>
  </w:num>
  <w:num w:numId="13">
    <w:abstractNumId w:val="8"/>
  </w:num>
  <w:num w:numId="14">
    <w:abstractNumId w:val="25"/>
  </w:num>
  <w:num w:numId="15">
    <w:abstractNumId w:val="6"/>
  </w:num>
  <w:num w:numId="16">
    <w:abstractNumId w:val="7"/>
  </w:num>
  <w:num w:numId="17">
    <w:abstractNumId w:val="3"/>
  </w:num>
  <w:num w:numId="18">
    <w:abstractNumId w:val="13"/>
  </w:num>
  <w:num w:numId="19">
    <w:abstractNumId w:val="21"/>
  </w:num>
  <w:num w:numId="20">
    <w:abstractNumId w:val="28"/>
  </w:num>
  <w:num w:numId="21">
    <w:abstractNumId w:val="20"/>
  </w:num>
  <w:num w:numId="22">
    <w:abstractNumId w:val="15"/>
  </w:num>
  <w:num w:numId="23">
    <w:abstractNumId w:val="17"/>
  </w:num>
  <w:num w:numId="24">
    <w:abstractNumId w:val="16"/>
  </w:num>
  <w:num w:numId="25">
    <w:abstractNumId w:val="19"/>
  </w:num>
  <w:num w:numId="26">
    <w:abstractNumId w:val="18"/>
  </w:num>
  <w:num w:numId="27">
    <w:abstractNumId w:val="22"/>
  </w:num>
  <w:num w:numId="28">
    <w:abstractNumId w:val="1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47A0D"/>
    <w:rsid w:val="00077D04"/>
    <w:rsid w:val="00087948"/>
    <w:rsid w:val="000927EF"/>
    <w:rsid w:val="00097BD6"/>
    <w:rsid w:val="000B6856"/>
    <w:rsid w:val="000C15C0"/>
    <w:rsid w:val="000E35C1"/>
    <w:rsid w:val="000F2B21"/>
    <w:rsid w:val="00125C38"/>
    <w:rsid w:val="001435C0"/>
    <w:rsid w:val="00146EE9"/>
    <w:rsid w:val="00154F0D"/>
    <w:rsid w:val="00187BFC"/>
    <w:rsid w:val="00197784"/>
    <w:rsid w:val="001B61FF"/>
    <w:rsid w:val="001D0B67"/>
    <w:rsid w:val="001D4C1F"/>
    <w:rsid w:val="001D59D4"/>
    <w:rsid w:val="001F74C2"/>
    <w:rsid w:val="00216422"/>
    <w:rsid w:val="00234134"/>
    <w:rsid w:val="00240AEB"/>
    <w:rsid w:val="00242098"/>
    <w:rsid w:val="00253743"/>
    <w:rsid w:val="00264E22"/>
    <w:rsid w:val="00272804"/>
    <w:rsid w:val="00276D02"/>
    <w:rsid w:val="00282B38"/>
    <w:rsid w:val="00285F5C"/>
    <w:rsid w:val="00295720"/>
    <w:rsid w:val="002B05A0"/>
    <w:rsid w:val="002E575F"/>
    <w:rsid w:val="00313195"/>
    <w:rsid w:val="00321A9E"/>
    <w:rsid w:val="0033521E"/>
    <w:rsid w:val="00357E95"/>
    <w:rsid w:val="00396A1B"/>
    <w:rsid w:val="003A5F95"/>
    <w:rsid w:val="003B2B83"/>
    <w:rsid w:val="003C1D82"/>
    <w:rsid w:val="003C7045"/>
    <w:rsid w:val="003E509C"/>
    <w:rsid w:val="003E5AFB"/>
    <w:rsid w:val="003F65EB"/>
    <w:rsid w:val="00405F9C"/>
    <w:rsid w:val="004144A5"/>
    <w:rsid w:val="004731D4"/>
    <w:rsid w:val="00487067"/>
    <w:rsid w:val="004D7BC6"/>
    <w:rsid w:val="00502998"/>
    <w:rsid w:val="005040D5"/>
    <w:rsid w:val="0051768B"/>
    <w:rsid w:val="0052015C"/>
    <w:rsid w:val="00531F0D"/>
    <w:rsid w:val="005479E4"/>
    <w:rsid w:val="005529BC"/>
    <w:rsid w:val="00567654"/>
    <w:rsid w:val="0057237B"/>
    <w:rsid w:val="005750FC"/>
    <w:rsid w:val="00576BF8"/>
    <w:rsid w:val="005A0E45"/>
    <w:rsid w:val="005F32CB"/>
    <w:rsid w:val="006005C9"/>
    <w:rsid w:val="0061522B"/>
    <w:rsid w:val="006558CB"/>
    <w:rsid w:val="00683FB4"/>
    <w:rsid w:val="006967A0"/>
    <w:rsid w:val="006A0298"/>
    <w:rsid w:val="006D60ED"/>
    <w:rsid w:val="0072710A"/>
    <w:rsid w:val="0073186B"/>
    <w:rsid w:val="00742A2F"/>
    <w:rsid w:val="007507FC"/>
    <w:rsid w:val="00751DFF"/>
    <w:rsid w:val="00772784"/>
    <w:rsid w:val="00775D8A"/>
    <w:rsid w:val="00776ABB"/>
    <w:rsid w:val="007B682C"/>
    <w:rsid w:val="007F1AA2"/>
    <w:rsid w:val="007F377C"/>
    <w:rsid w:val="00834613"/>
    <w:rsid w:val="00841D28"/>
    <w:rsid w:val="00872C22"/>
    <w:rsid w:val="0088143C"/>
    <w:rsid w:val="008A20CE"/>
    <w:rsid w:val="008A5359"/>
    <w:rsid w:val="00914650"/>
    <w:rsid w:val="0091740F"/>
    <w:rsid w:val="00950BD0"/>
    <w:rsid w:val="0098031A"/>
    <w:rsid w:val="00986E67"/>
    <w:rsid w:val="00996FAC"/>
    <w:rsid w:val="009A357F"/>
    <w:rsid w:val="009B64C3"/>
    <w:rsid w:val="009B7FBF"/>
    <w:rsid w:val="009C0EB6"/>
    <w:rsid w:val="009D368A"/>
    <w:rsid w:val="009F019F"/>
    <w:rsid w:val="00A201B3"/>
    <w:rsid w:val="00A25188"/>
    <w:rsid w:val="00A335E7"/>
    <w:rsid w:val="00A924A4"/>
    <w:rsid w:val="00AC4E64"/>
    <w:rsid w:val="00AC6BFB"/>
    <w:rsid w:val="00AF0EC5"/>
    <w:rsid w:val="00AF2B5B"/>
    <w:rsid w:val="00AF7F3D"/>
    <w:rsid w:val="00B25E48"/>
    <w:rsid w:val="00B41A3D"/>
    <w:rsid w:val="00B5732E"/>
    <w:rsid w:val="00B66E4F"/>
    <w:rsid w:val="00B77947"/>
    <w:rsid w:val="00B9182F"/>
    <w:rsid w:val="00BB26A1"/>
    <w:rsid w:val="00BC7B8A"/>
    <w:rsid w:val="00BE7DF9"/>
    <w:rsid w:val="00BF60AC"/>
    <w:rsid w:val="00C02E1E"/>
    <w:rsid w:val="00C200E1"/>
    <w:rsid w:val="00C218CC"/>
    <w:rsid w:val="00C313C4"/>
    <w:rsid w:val="00C35C43"/>
    <w:rsid w:val="00C41FBD"/>
    <w:rsid w:val="00C5133A"/>
    <w:rsid w:val="00C5147E"/>
    <w:rsid w:val="00C9104F"/>
    <w:rsid w:val="00CD712A"/>
    <w:rsid w:val="00CE5BB1"/>
    <w:rsid w:val="00D1374F"/>
    <w:rsid w:val="00D16F5D"/>
    <w:rsid w:val="00D420CE"/>
    <w:rsid w:val="00D431A6"/>
    <w:rsid w:val="00D760F5"/>
    <w:rsid w:val="00D92F03"/>
    <w:rsid w:val="00DB06F3"/>
    <w:rsid w:val="00DE1B4A"/>
    <w:rsid w:val="00DF069F"/>
    <w:rsid w:val="00E20E31"/>
    <w:rsid w:val="00E304DC"/>
    <w:rsid w:val="00E321E0"/>
    <w:rsid w:val="00E51CB7"/>
    <w:rsid w:val="00E57781"/>
    <w:rsid w:val="00E6401E"/>
    <w:rsid w:val="00E93403"/>
    <w:rsid w:val="00EB2C62"/>
    <w:rsid w:val="00EB36D0"/>
    <w:rsid w:val="00EF2CB1"/>
    <w:rsid w:val="00EF6B7E"/>
    <w:rsid w:val="00F12983"/>
    <w:rsid w:val="00F212E1"/>
    <w:rsid w:val="00F2178D"/>
    <w:rsid w:val="00F27C56"/>
    <w:rsid w:val="00F45668"/>
    <w:rsid w:val="00F74651"/>
    <w:rsid w:val="00F7531A"/>
    <w:rsid w:val="00F80AC8"/>
    <w:rsid w:val="00FF4F63"/>
    <w:rsid w:val="00FF5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F7531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3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077D04"/>
    <w:rPr>
      <w:rFonts w:ascii=".VnTime" w:eastAsia="Times New Roman" w:hAnsi=".VnTime" w:cs="Times New Roman"/>
      <w:sz w:val="20"/>
      <w:szCs w:val="20"/>
    </w:rPr>
  </w:style>
  <w:style w:type="character" w:styleId="FootnoteReference">
    <w:name w:val="footnote reference"/>
    <w:rsid w:val="00077D04"/>
    <w:rPr>
      <w:vertAlign w:val="superscript"/>
    </w:rPr>
  </w:style>
  <w:style w:type="character" w:customStyle="1" w:styleId="Heading4Char">
    <w:name w:val="Heading 4 Char"/>
    <w:basedOn w:val="DefaultParagraphFont"/>
    <w:link w:val="Heading4"/>
    <w:uiPriority w:val="9"/>
    <w:semiHidden/>
    <w:rsid w:val="00F7531A"/>
    <w:rPr>
      <w:rFonts w:asciiTheme="majorHAnsi" w:eastAsiaTheme="majorEastAsia" w:hAnsiTheme="majorHAnsi" w:cstheme="majorBidi"/>
      <w:i/>
      <w:iCs/>
      <w:color w:val="2F5496" w:themeColor="accent1" w:themeShade="BF"/>
    </w:rPr>
  </w:style>
  <w:style w:type="paragraph" w:customStyle="1" w:styleId="textearticle">
    <w:name w:val="textearticle"/>
    <w:basedOn w:val="Normal"/>
    <w:rsid w:val="009B64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ăn bản nội dung_"/>
    <w:link w:val="Vnbnnidung0"/>
    <w:uiPriority w:val="99"/>
    <w:rsid w:val="009B64C3"/>
    <w:rPr>
      <w:rFonts w:ascii="Times New Roman" w:hAnsi="Times New Roman" w:cs="Times New Roman"/>
      <w:sz w:val="26"/>
      <w:szCs w:val="26"/>
    </w:rPr>
  </w:style>
  <w:style w:type="paragraph" w:customStyle="1" w:styleId="Vnbnnidung0">
    <w:name w:val="Văn bản nội dung"/>
    <w:basedOn w:val="Normal"/>
    <w:link w:val="Vnbnnidung"/>
    <w:uiPriority w:val="99"/>
    <w:rsid w:val="009B64C3"/>
    <w:pPr>
      <w:widowControl w:val="0"/>
      <w:spacing w:after="100" w:line="290" w:lineRule="auto"/>
      <w:ind w:firstLine="400"/>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561212577">
      <w:bodyDiv w:val="1"/>
      <w:marLeft w:val="0"/>
      <w:marRight w:val="0"/>
      <w:marTop w:val="0"/>
      <w:marBottom w:val="0"/>
      <w:divBdr>
        <w:top w:val="none" w:sz="0" w:space="0" w:color="auto"/>
        <w:left w:val="none" w:sz="0" w:space="0" w:color="auto"/>
        <w:bottom w:val="none" w:sz="0" w:space="0" w:color="auto"/>
        <w:right w:val="none" w:sz="0" w:space="0" w:color="auto"/>
      </w:divBdr>
      <w:divsChild>
        <w:div w:id="465775744">
          <w:marLeft w:val="0"/>
          <w:marRight w:val="0"/>
          <w:marTop w:val="0"/>
          <w:marBottom w:val="525"/>
          <w:divBdr>
            <w:top w:val="none" w:sz="0" w:space="0" w:color="auto"/>
            <w:left w:val="none" w:sz="0" w:space="0" w:color="auto"/>
            <w:bottom w:val="none" w:sz="0" w:space="0" w:color="auto"/>
            <w:right w:val="none" w:sz="0" w:space="0" w:color="auto"/>
          </w:divBdr>
          <w:divsChild>
            <w:div w:id="1394355404">
              <w:marLeft w:val="0"/>
              <w:marRight w:val="0"/>
              <w:marTop w:val="0"/>
              <w:marBottom w:val="0"/>
              <w:divBdr>
                <w:top w:val="none" w:sz="0" w:space="0" w:color="auto"/>
                <w:left w:val="none" w:sz="0" w:space="0" w:color="auto"/>
                <w:bottom w:val="none" w:sz="0" w:space="0" w:color="auto"/>
                <w:right w:val="none" w:sz="0" w:space="0" w:color="auto"/>
              </w:divBdr>
            </w:div>
          </w:divsChild>
        </w:div>
        <w:div w:id="232129484">
          <w:marLeft w:val="0"/>
          <w:marRight w:val="0"/>
          <w:marTop w:val="0"/>
          <w:marBottom w:val="525"/>
          <w:divBdr>
            <w:top w:val="none" w:sz="0" w:space="0" w:color="auto"/>
            <w:left w:val="none" w:sz="0" w:space="0" w:color="auto"/>
            <w:bottom w:val="none" w:sz="0" w:space="0" w:color="auto"/>
            <w:right w:val="none" w:sz="0" w:space="0" w:color="auto"/>
          </w:divBdr>
          <w:divsChild>
            <w:div w:id="1227643303">
              <w:marLeft w:val="0"/>
              <w:marRight w:val="0"/>
              <w:marTop w:val="0"/>
              <w:marBottom w:val="0"/>
              <w:divBdr>
                <w:top w:val="none" w:sz="0" w:space="0" w:color="auto"/>
                <w:left w:val="none" w:sz="0" w:space="0" w:color="auto"/>
                <w:bottom w:val="none" w:sz="0" w:space="0" w:color="auto"/>
                <w:right w:val="none" w:sz="0" w:space="0" w:color="auto"/>
              </w:divBdr>
            </w:div>
          </w:divsChild>
        </w:div>
        <w:div w:id="1127313697">
          <w:marLeft w:val="0"/>
          <w:marRight w:val="0"/>
          <w:marTop w:val="0"/>
          <w:marBottom w:val="525"/>
          <w:divBdr>
            <w:top w:val="none" w:sz="0" w:space="0" w:color="auto"/>
            <w:left w:val="none" w:sz="0" w:space="0" w:color="auto"/>
            <w:bottom w:val="none" w:sz="0" w:space="0" w:color="auto"/>
            <w:right w:val="none" w:sz="0" w:space="0" w:color="auto"/>
          </w:divBdr>
          <w:divsChild>
            <w:div w:id="54679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157458043">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how-can-one-file-a-trademark-opposition-in-laos" TargetMode="External"/><Relationship Id="rId13" Type="http://schemas.openxmlformats.org/officeDocument/2006/relationships/hyperlink" Target="https://kenfoxlaw.com/professional_item/ms-hoang-thi-tuyet-ho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enfoxlaw.com/wp-content/uploads/2024/07/Agreement-On-Trademarks-in-Laos-English.pdf" TargetMode="External"/><Relationship Id="rId12" Type="http://schemas.openxmlformats.org/officeDocument/2006/relationships/hyperlink" Target="https://kenfoxlaw.com/professional_item/mrs-do-thi-pha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kenfoxlaw.com/wp-content/uploads/2020/09/Lao-PDR_Law-on-Intellectual-Property-No-38_15-11-2017_Eng.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professional_item/mr-nguyen-vu-quan" TargetMode="External"/><Relationship Id="rId5" Type="http://schemas.openxmlformats.org/officeDocument/2006/relationships/footnotes" Target="footnotes.xml"/><Relationship Id="rId10" Type="http://schemas.openxmlformats.org/officeDocument/2006/relationships/hyperlink" Target="https://kenfoxlaw.com/avoiding-descriptiveness-refusal-in-laos-key-considerations-for-trademark-owner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enfoxlaw.com/how-is-a-trademark-application-refused-registration-in-laos" TargetMode="External"/><Relationship Id="rId14" Type="http://schemas.openxmlformats.org/officeDocument/2006/relationships/hyperlink" Target="https://kenfoxlaw.com/wp-content/uploads/2020/09/Lao-PDR_Law-on-Intellectual-Property-No-38_15-11-2017_Eng.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Trang Ly</cp:lastModifiedBy>
  <cp:revision>3</cp:revision>
  <cp:lastPrinted>2024-04-24T02:54:00Z</cp:lastPrinted>
  <dcterms:created xsi:type="dcterms:W3CDTF">2024-07-26T04:08:00Z</dcterms:created>
  <dcterms:modified xsi:type="dcterms:W3CDTF">2024-07-26T04:53:00Z</dcterms:modified>
</cp:coreProperties>
</file>