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E12" w14:textId="7EF8B7B7" w:rsidR="00567654" w:rsidRPr="009B64C3" w:rsidRDefault="00986E67" w:rsidP="009B64C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4D1B281D">
                <wp:simplePos x="0" y="0"/>
                <wp:positionH relativeFrom="page">
                  <wp:posOffset>7065010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7845D043" w:rsidR="00E93403" w:rsidRPr="00BA68B8" w:rsidRDefault="00092323" w:rsidP="00E93403">
                            <w:pPr>
                              <w:spacing w:after="0" w:line="240" w:lineRule="auto"/>
                              <w:rPr>
                                <w:rFonts w:ascii="Arial" w:hAnsi="Arial" w:cs="Arial"/>
                                <w:b/>
                                <w:color w:val="FFFFFF" w:themeColor="background1"/>
                                <w:sz w:val="20"/>
                                <w:szCs w:val="20"/>
                              </w:rPr>
                            </w:pPr>
                            <w:r w:rsidRPr="00092323">
                              <w:rPr>
                                <w:rFonts w:ascii="Arial" w:hAnsi="Arial" w:cs="Arial"/>
                                <w:b/>
                                <w:bCs/>
                                <w:color w:val="FFFFFF" w:themeColor="background1"/>
                                <w:sz w:val="20"/>
                                <w:szCs w:val="20"/>
                              </w:rPr>
                              <w:t>Bảo hộ quyền Sở hữu trí tuệ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6.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" fillcolor="#00b39c" strokecolor="#00b39c" strokeweight="0">
                <v:textbox style="layout-flow:vertical" inset=",1.3mm,1.3mm">
                  <w:txbxContent>
                    <w:p w14:paraId="53BF0D56" w14:textId="7845D043" w:rsidR="00E93403" w:rsidRPr="00BA68B8" w:rsidRDefault="00092323" w:rsidP="00E93403">
                      <w:pPr>
                        <w:spacing w:after="0" w:line="240" w:lineRule="auto"/>
                        <w:rPr>
                          <w:rFonts w:ascii="Arial" w:hAnsi="Arial" w:cs="Arial"/>
                          <w:b/>
                          <w:color w:val="FFFFFF" w:themeColor="background1"/>
                          <w:sz w:val="20"/>
                          <w:szCs w:val="20"/>
                        </w:rPr>
                      </w:pPr>
                      <w:r w:rsidRPr="00092323">
                        <w:rPr>
                          <w:rFonts w:ascii="Arial" w:hAnsi="Arial" w:cs="Arial"/>
                          <w:b/>
                          <w:bCs/>
                          <w:color w:val="FFFFFF" w:themeColor="background1"/>
                          <w:sz w:val="20"/>
                          <w:szCs w:val="20"/>
                        </w:rPr>
                        <w:t>Bảo hộ quyền Sở hữu trí tuệ tại Việt 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3F463658" w:rsidR="00216422" w:rsidRPr="00CC7576" w:rsidRDefault="00092323"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Bảo hộ quyền </w:t>
                            </w:r>
                            <w:r w:rsidR="009E7926">
                              <w:rPr>
                                <w:rFonts w:ascii="Arial" w:hAnsi="Arial" w:cs="Arial"/>
                                <w:b/>
                                <w:bCs/>
                                <w:color w:val="FFFFFF" w:themeColor="background1"/>
                                <w:sz w:val="20"/>
                                <w:szCs w:val="20"/>
                              </w:rPr>
                              <w:t>Sở hữu trí tuệ</w:t>
                            </w:r>
                            <w:r>
                              <w:rPr>
                                <w:rFonts w:ascii="Arial" w:hAnsi="Arial" w:cs="Arial"/>
                                <w:b/>
                                <w:bCs/>
                                <w:color w:val="FFFFFF" w:themeColor="background1"/>
                                <w:sz w:val="20"/>
                                <w:szCs w:val="20"/>
                              </w:rPr>
                              <w:t xml:space="preserve">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3F463658" w:rsidR="00216422" w:rsidRPr="00CC7576" w:rsidRDefault="00092323"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Bảo hộ quyền </w:t>
                      </w:r>
                      <w:r w:rsidR="009E7926">
                        <w:rPr>
                          <w:rFonts w:ascii="Arial" w:hAnsi="Arial" w:cs="Arial"/>
                          <w:b/>
                          <w:bCs/>
                          <w:color w:val="FFFFFF" w:themeColor="background1"/>
                          <w:sz w:val="20"/>
                          <w:szCs w:val="20"/>
                        </w:rPr>
                        <w:t>Sở hữu trí tuệ</w:t>
                      </w:r>
                      <w:r>
                        <w:rPr>
                          <w:rFonts w:ascii="Arial" w:hAnsi="Arial" w:cs="Arial"/>
                          <w:b/>
                          <w:bCs/>
                          <w:color w:val="FFFFFF" w:themeColor="background1"/>
                          <w:sz w:val="20"/>
                          <w:szCs w:val="20"/>
                        </w:rPr>
                        <w:t xml:space="preserve"> tại Việt Nam</w:t>
                      </w:r>
                    </w:p>
                  </w:txbxContent>
                </v:textbox>
                <w10:wrap anchorx="page"/>
              </v:rect>
            </w:pict>
          </mc:Fallback>
        </mc:AlternateContent>
      </w:r>
      <w:bookmarkStart w:id="0" w:name="_Hlk110501394"/>
      <w:bookmarkStart w:id="1" w:name="_Hlk110501351"/>
    </w:p>
    <w:bookmarkEnd w:id="0"/>
    <w:p w14:paraId="1CF00BD1" w14:textId="77777777" w:rsidR="009E7926" w:rsidRPr="00551825" w:rsidRDefault="009E7926" w:rsidP="009E7926">
      <w:pPr>
        <w:spacing w:after="0" w:line="240" w:lineRule="auto"/>
        <w:jc w:val="center"/>
        <w:rPr>
          <w:rStyle w:val="Strong"/>
          <w:rFonts w:ascii="Arial" w:hAnsi="Arial" w:cs="Arial"/>
          <w:color w:val="C00000"/>
          <w:sz w:val="24"/>
          <w:szCs w:val="24"/>
        </w:rPr>
      </w:pPr>
      <w:r w:rsidRPr="00551825">
        <w:rPr>
          <w:rStyle w:val="Strong"/>
          <w:rFonts w:ascii="Arial" w:hAnsi="Arial" w:cs="Arial"/>
          <w:color w:val="C00000"/>
          <w:sz w:val="24"/>
          <w:szCs w:val="24"/>
        </w:rPr>
        <w:t>Ông Nguyễn Vũ Quân – thành viên của KENFOX IP &amp; Law Office nhận giải thưởng “Lexology Legal Influencer” trong hai năm liên tiếp</w:t>
      </w:r>
    </w:p>
    <w:p w14:paraId="4002030E" w14:textId="77777777" w:rsidR="009E7926" w:rsidRPr="00551825" w:rsidRDefault="009E7926" w:rsidP="009E7926">
      <w:pPr>
        <w:spacing w:after="0" w:line="240" w:lineRule="auto"/>
        <w:rPr>
          <w:rStyle w:val="Strong"/>
          <w:rFonts w:ascii="Arial" w:hAnsi="Arial" w:cs="Arial"/>
          <w:color w:val="333333"/>
          <w:sz w:val="20"/>
          <w:szCs w:val="20"/>
        </w:rPr>
      </w:pPr>
    </w:p>
    <w:p w14:paraId="283BF76B" w14:textId="77777777" w:rsidR="009E7926" w:rsidRDefault="009E7926" w:rsidP="009E7926">
      <w:pPr>
        <w:spacing w:after="0" w:line="240" w:lineRule="auto"/>
        <w:jc w:val="both"/>
        <w:rPr>
          <w:rFonts w:ascii="Arial" w:hAnsi="Arial" w:cs="Arial"/>
          <w:sz w:val="20"/>
          <w:szCs w:val="20"/>
        </w:rPr>
      </w:pPr>
      <w:r w:rsidRPr="0009011F">
        <w:rPr>
          <w:rFonts w:ascii="Arial" w:hAnsi="Arial" w:cs="Arial"/>
          <w:color w:val="000000" w:themeColor="text1"/>
          <w:sz w:val="20"/>
          <w:szCs w:val="20"/>
        </w:rPr>
        <w:t xml:space="preserve">KENFOX IP &amp; Law Office vui mừng thông báo, thành viên xuất sắc của chúng tôi, ông </w:t>
      </w:r>
      <w:hyperlink r:id="rId7" w:history="1">
        <w:r w:rsidRPr="0009011F">
          <w:rPr>
            <w:rStyle w:val="Hyperlink"/>
            <w:rFonts w:ascii="Arial" w:hAnsi="Arial" w:cs="Arial"/>
            <w:sz w:val="20"/>
            <w:szCs w:val="20"/>
          </w:rPr>
          <w:t>Nguyễn Vũ Quân</w:t>
        </w:r>
      </w:hyperlink>
      <w:r w:rsidRPr="00551825">
        <w:rPr>
          <w:rFonts w:ascii="Arial" w:hAnsi="Arial" w:cs="Arial"/>
          <w:sz w:val="20"/>
          <w:szCs w:val="20"/>
        </w:rPr>
        <w:t xml:space="preserve"> </w:t>
      </w:r>
      <w:r w:rsidRPr="0009011F">
        <w:rPr>
          <w:rFonts w:ascii="Arial" w:hAnsi="Arial" w:cs="Arial"/>
          <w:color w:val="000000" w:themeColor="text1"/>
          <w:sz w:val="20"/>
          <w:szCs w:val="20"/>
        </w:rPr>
        <w:t>đã được vinh danh là “</w:t>
      </w:r>
      <w:r w:rsidRPr="0009011F">
        <w:rPr>
          <w:rFonts w:ascii="Arial" w:hAnsi="Arial" w:cs="Arial"/>
          <w:b/>
          <w:bCs/>
          <w:color w:val="000000" w:themeColor="text1"/>
          <w:sz w:val="20"/>
          <w:szCs w:val="20"/>
        </w:rPr>
        <w:t>Lexology Legal Influencer Q2-2024</w:t>
      </w:r>
      <w:r w:rsidRPr="0009011F">
        <w:rPr>
          <w:rFonts w:ascii="Arial" w:hAnsi="Arial" w:cs="Arial"/>
          <w:color w:val="000000" w:themeColor="text1"/>
          <w:sz w:val="20"/>
          <w:szCs w:val="20"/>
        </w:rPr>
        <w:t>”</w:t>
      </w:r>
      <w:r w:rsidRPr="0009011F">
        <w:rPr>
          <w:rStyle w:val="Strong"/>
          <w:rFonts w:ascii="Arial" w:hAnsi="Arial" w:cs="Arial"/>
          <w:color w:val="000000" w:themeColor="text1"/>
          <w:sz w:val="20"/>
          <w:szCs w:val="20"/>
        </w:rPr>
        <w:t xml:space="preserve"> (</w:t>
      </w:r>
      <w:r w:rsidRPr="0009011F">
        <w:rPr>
          <w:rFonts w:ascii="Arial" w:hAnsi="Arial" w:cs="Arial"/>
          <w:color w:val="000000" w:themeColor="text1"/>
          <w:sz w:val="20"/>
          <w:szCs w:val="20"/>
        </w:rPr>
        <w:t>“</w:t>
      </w:r>
      <w:r w:rsidRPr="0009011F">
        <w:rPr>
          <w:rStyle w:val="Emphasis"/>
          <w:rFonts w:ascii="Arial" w:hAnsi="Arial" w:cs="Arial"/>
          <w:b/>
          <w:bCs/>
          <w:color w:val="000000" w:themeColor="text1"/>
          <w:sz w:val="20"/>
          <w:szCs w:val="20"/>
        </w:rPr>
        <w:t>Người có tầm ảnh hưởng trong nghề luật Quý 2-2024</w:t>
      </w:r>
      <w:r w:rsidRPr="0009011F">
        <w:rPr>
          <w:rFonts w:ascii="Arial" w:hAnsi="Arial" w:cs="Arial"/>
          <w:color w:val="000000" w:themeColor="text1"/>
          <w:sz w:val="20"/>
          <w:szCs w:val="20"/>
        </w:rPr>
        <w:t>”) cho lĩnh vực Sở hữu Trí tuệ (“</w:t>
      </w:r>
      <w:r w:rsidRPr="0009011F">
        <w:rPr>
          <w:rFonts w:ascii="Arial" w:hAnsi="Arial" w:cs="Arial"/>
          <w:b/>
          <w:bCs/>
          <w:color w:val="000000" w:themeColor="text1"/>
          <w:sz w:val="20"/>
          <w:szCs w:val="20"/>
        </w:rPr>
        <w:t>SHTT</w:t>
      </w:r>
      <w:r w:rsidRPr="0009011F">
        <w:rPr>
          <w:rFonts w:ascii="Arial" w:hAnsi="Arial" w:cs="Arial"/>
          <w:color w:val="000000" w:themeColor="text1"/>
          <w:sz w:val="20"/>
          <w:szCs w:val="20"/>
        </w:rPr>
        <w:t xml:space="preserve">”). Đây là lần thứ hai ông Quân được Lexology ghi nhận, sau thành công vang dội với giải thưởng “Lexology Legal Influencer Q2-2023” vào cùng kỳ năm ngoái (xem đường link: </w:t>
      </w:r>
      <w:hyperlink r:id="rId8" w:history="1">
        <w:r w:rsidRPr="005B3E56">
          <w:rPr>
            <w:rStyle w:val="Hyperlink"/>
            <w:rFonts w:ascii="Arial" w:hAnsi="Arial" w:cs="Arial"/>
            <w:sz w:val="20"/>
            <w:szCs w:val="20"/>
          </w:rPr>
          <w:t>https://www.lexology.com/firms/kenfox-ip-and-law-office/nguyen_vu_quan</w:t>
        </w:r>
      </w:hyperlink>
      <w:r>
        <w:rPr>
          <w:rFonts w:ascii="Arial" w:hAnsi="Arial" w:cs="Arial"/>
          <w:color w:val="333333"/>
          <w:sz w:val="20"/>
          <w:szCs w:val="20"/>
        </w:rPr>
        <w:t>)</w:t>
      </w:r>
    </w:p>
    <w:p w14:paraId="1F8F9AB7" w14:textId="77777777" w:rsidR="009E7926" w:rsidRDefault="009E7926" w:rsidP="009E7926">
      <w:pPr>
        <w:spacing w:after="0" w:line="240" w:lineRule="auto"/>
        <w:jc w:val="both"/>
        <w:rPr>
          <w:rFonts w:ascii="Arial" w:hAnsi="Arial" w:cs="Arial"/>
          <w:sz w:val="20"/>
          <w:szCs w:val="20"/>
        </w:rPr>
      </w:pPr>
    </w:p>
    <w:p w14:paraId="632F25F6" w14:textId="77777777" w:rsidR="009E7926" w:rsidRPr="0009011F" w:rsidRDefault="009E7926" w:rsidP="009E7926">
      <w:pPr>
        <w:spacing w:after="0" w:line="240" w:lineRule="auto"/>
        <w:jc w:val="both"/>
        <w:rPr>
          <w:rFonts w:ascii="Arial" w:hAnsi="Arial" w:cs="Arial"/>
          <w:color w:val="000000" w:themeColor="text1"/>
          <w:sz w:val="20"/>
          <w:szCs w:val="20"/>
        </w:rPr>
      </w:pPr>
      <w:r w:rsidRPr="0009011F">
        <w:rPr>
          <w:rFonts w:ascii="Arial" w:hAnsi="Arial" w:cs="Arial"/>
          <w:color w:val="000000" w:themeColor="text1"/>
          <w:sz w:val="20"/>
          <w:szCs w:val="20"/>
        </w:rPr>
        <w:t>Giải thưởng “</w:t>
      </w:r>
      <w:r w:rsidRPr="0009011F">
        <w:rPr>
          <w:rFonts w:ascii="Arial" w:hAnsi="Arial" w:cs="Arial"/>
          <w:b/>
          <w:bCs/>
          <w:color w:val="000000" w:themeColor="text1"/>
          <w:sz w:val="20"/>
          <w:szCs w:val="20"/>
        </w:rPr>
        <w:t>Lexology Legal Influencer</w:t>
      </w:r>
      <w:r w:rsidRPr="0009011F">
        <w:rPr>
          <w:rFonts w:ascii="Arial" w:hAnsi="Arial" w:cs="Arial"/>
          <w:color w:val="000000" w:themeColor="text1"/>
          <w:sz w:val="20"/>
          <w:szCs w:val="20"/>
        </w:rPr>
        <w:t>”</w:t>
      </w:r>
      <w:r w:rsidRPr="0009011F">
        <w:rPr>
          <w:rStyle w:val="Strong"/>
          <w:rFonts w:ascii="Arial" w:hAnsi="Arial" w:cs="Arial"/>
          <w:color w:val="000000" w:themeColor="text1"/>
          <w:sz w:val="20"/>
          <w:szCs w:val="20"/>
        </w:rPr>
        <w:t xml:space="preserve"> (</w:t>
      </w:r>
      <w:r w:rsidRPr="0009011F">
        <w:rPr>
          <w:rFonts w:ascii="Arial" w:hAnsi="Arial" w:cs="Arial"/>
          <w:color w:val="000000" w:themeColor="text1"/>
          <w:sz w:val="20"/>
          <w:szCs w:val="20"/>
        </w:rPr>
        <w:t>“</w:t>
      </w:r>
      <w:r w:rsidRPr="0009011F">
        <w:rPr>
          <w:rStyle w:val="Emphasis"/>
          <w:rFonts w:ascii="Arial" w:hAnsi="Arial" w:cs="Arial"/>
          <w:b/>
          <w:bCs/>
          <w:color w:val="000000" w:themeColor="text1"/>
          <w:sz w:val="20"/>
          <w:szCs w:val="20"/>
        </w:rPr>
        <w:t>Người có tầm ảnh hưởng trong nghề luật</w:t>
      </w:r>
      <w:r w:rsidRPr="0009011F">
        <w:rPr>
          <w:rFonts w:ascii="Arial" w:hAnsi="Arial" w:cs="Arial"/>
          <w:color w:val="000000" w:themeColor="text1"/>
          <w:sz w:val="20"/>
          <w:szCs w:val="20"/>
        </w:rPr>
        <w:t>”) trong hai năm liên tục là minh chứng cho sự cống hiến và chuyên môn xuất sắc của ông Quân trong lĩnh vực SHTT. Với kiến thức chuyên sâu, tầm nhìn chiến lược sắc bén, kinh nghiệm thực tế phong phú và tinh thần trách nhiệm cao, ông Quân luôn nỗ lực mang đến cho khách hàng những giải pháp pháp lý tối ưu, góp phần bảo vệ và phát huy tối đa giá trị tài sản trí tuệ của họ.</w:t>
      </w:r>
    </w:p>
    <w:p w14:paraId="22D03326" w14:textId="77777777" w:rsidR="009E7926" w:rsidRPr="00551825" w:rsidRDefault="009E7926" w:rsidP="009E7926">
      <w:pPr>
        <w:spacing w:after="0" w:line="240" w:lineRule="auto"/>
        <w:rPr>
          <w:rFonts w:ascii="Arial" w:hAnsi="Arial" w:cs="Arial"/>
          <w:color w:val="333333"/>
          <w:sz w:val="20"/>
          <w:szCs w:val="20"/>
        </w:rPr>
      </w:pPr>
    </w:p>
    <w:p w14:paraId="2846F80C" w14:textId="77777777" w:rsidR="009E7926" w:rsidRPr="00551825" w:rsidRDefault="009E7926" w:rsidP="009E7926">
      <w:pPr>
        <w:spacing w:after="0" w:line="240" w:lineRule="auto"/>
        <w:rPr>
          <w:rFonts w:ascii="Arial" w:hAnsi="Arial" w:cs="Arial"/>
          <w:color w:val="333333"/>
          <w:sz w:val="20"/>
          <w:szCs w:val="20"/>
        </w:rPr>
      </w:pPr>
      <w:r w:rsidRPr="00551825">
        <w:rPr>
          <w:rFonts w:ascii="Arial" w:hAnsi="Arial" w:cs="Arial"/>
          <w:noProof/>
          <w:sz w:val="20"/>
          <w:szCs w:val="20"/>
        </w:rPr>
        <w:drawing>
          <wp:inline distT="0" distB="0" distL="0" distR="0" wp14:anchorId="61A5D374" wp14:editId="31AE0659">
            <wp:extent cx="5943600" cy="4194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194810"/>
                    </a:xfrm>
                    <a:prstGeom prst="rect">
                      <a:avLst/>
                    </a:prstGeom>
                  </pic:spPr>
                </pic:pic>
              </a:graphicData>
            </a:graphic>
          </wp:inline>
        </w:drawing>
      </w:r>
    </w:p>
    <w:p w14:paraId="45A6A386" w14:textId="77777777" w:rsidR="009E7926" w:rsidRDefault="009E7926" w:rsidP="009E7926">
      <w:pPr>
        <w:spacing w:after="0" w:line="240" w:lineRule="auto"/>
        <w:rPr>
          <w:rStyle w:val="Strong"/>
          <w:rFonts w:ascii="Arial" w:hAnsi="Arial" w:cs="Arial"/>
          <w:color w:val="333333"/>
          <w:sz w:val="20"/>
          <w:szCs w:val="20"/>
        </w:rPr>
      </w:pPr>
    </w:p>
    <w:p w14:paraId="24DC2A3E" w14:textId="77777777" w:rsidR="009E7926" w:rsidRPr="00551825" w:rsidRDefault="009E7926" w:rsidP="009E7926">
      <w:pPr>
        <w:spacing w:after="0" w:line="240" w:lineRule="auto"/>
        <w:rPr>
          <w:rFonts w:ascii="Arial" w:hAnsi="Arial" w:cs="Arial"/>
          <w:b/>
          <w:bCs/>
          <w:color w:val="2F5496" w:themeColor="accent1" w:themeShade="BF"/>
        </w:rPr>
      </w:pPr>
      <w:r w:rsidRPr="00551825">
        <w:rPr>
          <w:rStyle w:val="Strong"/>
          <w:rFonts w:ascii="Arial" w:hAnsi="Arial" w:cs="Arial"/>
          <w:color w:val="2F5496" w:themeColor="accent1" w:themeShade="BF"/>
        </w:rPr>
        <w:t>Legal Influencer</w:t>
      </w:r>
      <w:r w:rsidRPr="00551825">
        <w:rPr>
          <w:rFonts w:ascii="Arial" w:hAnsi="Arial" w:cs="Arial"/>
          <w:b/>
          <w:bCs/>
          <w:color w:val="2F5496" w:themeColor="accent1" w:themeShade="BF"/>
        </w:rPr>
        <w:t xml:space="preserve"> (</w:t>
      </w:r>
      <w:r w:rsidRPr="00551825">
        <w:rPr>
          <w:rStyle w:val="Emphasis"/>
          <w:rFonts w:ascii="Arial" w:hAnsi="Arial" w:cs="Arial"/>
          <w:b/>
          <w:bCs/>
          <w:color w:val="2F5496" w:themeColor="accent1" w:themeShade="BF"/>
        </w:rPr>
        <w:t>Người có tầm ảnh hưởng trong nghề luật</w:t>
      </w:r>
      <w:r w:rsidRPr="00551825">
        <w:rPr>
          <w:rFonts w:ascii="Arial" w:hAnsi="Arial" w:cs="Arial"/>
          <w:b/>
          <w:bCs/>
          <w:color w:val="2F5496" w:themeColor="accent1" w:themeShade="BF"/>
        </w:rPr>
        <w:t>)</w:t>
      </w:r>
    </w:p>
    <w:p w14:paraId="2D4D48D8" w14:textId="77777777" w:rsidR="009E7926" w:rsidRDefault="009E7926" w:rsidP="009E7926">
      <w:pPr>
        <w:spacing w:after="0" w:line="240" w:lineRule="auto"/>
        <w:rPr>
          <w:rStyle w:val="Strong"/>
          <w:rFonts w:ascii="Arial" w:hAnsi="Arial" w:cs="Arial"/>
          <w:color w:val="333333"/>
          <w:sz w:val="20"/>
          <w:szCs w:val="20"/>
        </w:rPr>
      </w:pPr>
    </w:p>
    <w:p w14:paraId="08F0426A" w14:textId="77777777" w:rsidR="009E7926" w:rsidRPr="0009011F" w:rsidRDefault="009E7926" w:rsidP="009E7926">
      <w:pPr>
        <w:spacing w:after="0" w:line="240" w:lineRule="auto"/>
        <w:jc w:val="both"/>
        <w:rPr>
          <w:rFonts w:ascii="Arial" w:hAnsi="Arial" w:cs="Arial"/>
          <w:color w:val="000000" w:themeColor="text1"/>
          <w:sz w:val="20"/>
          <w:szCs w:val="20"/>
        </w:rPr>
      </w:pPr>
      <w:r w:rsidRPr="0009011F">
        <w:rPr>
          <w:rStyle w:val="Strong"/>
          <w:rFonts w:ascii="Arial" w:hAnsi="Arial" w:cs="Arial"/>
          <w:color w:val="000000" w:themeColor="text1"/>
          <w:sz w:val="20"/>
          <w:szCs w:val="20"/>
        </w:rPr>
        <w:t>Legal Influencer</w:t>
      </w:r>
      <w:r w:rsidRPr="0009011F">
        <w:rPr>
          <w:rFonts w:ascii="Arial" w:hAnsi="Arial" w:cs="Arial"/>
          <w:color w:val="000000" w:themeColor="text1"/>
          <w:sz w:val="20"/>
          <w:szCs w:val="20"/>
        </w:rPr>
        <w:t xml:space="preserve"> (</w:t>
      </w:r>
      <w:r w:rsidRPr="0009011F">
        <w:rPr>
          <w:rStyle w:val="Emphasis"/>
          <w:rFonts w:ascii="Arial" w:hAnsi="Arial" w:cs="Arial"/>
          <w:color w:val="000000" w:themeColor="text1"/>
          <w:sz w:val="20"/>
          <w:szCs w:val="20"/>
        </w:rPr>
        <w:t>Người có tầm ảnh hưởng trong nghề luật</w:t>
      </w:r>
      <w:r w:rsidRPr="0009011F">
        <w:rPr>
          <w:rFonts w:ascii="Arial" w:hAnsi="Arial" w:cs="Arial"/>
          <w:color w:val="000000" w:themeColor="text1"/>
          <w:sz w:val="20"/>
          <w:szCs w:val="20"/>
        </w:rPr>
        <w:t xml:space="preserve">) là giải thưởng được trao cho những nhà lãnh đạo, luật sư, chuyên gia mà những bài viết của họ đã được đọc bởi một lượng lớn các chuyên gia luật trên nền tảng Lexology.  Các bài viết đó phải có các phân tích pháp lý thực tế, sâu sắc thuộc các lĩnh vực hành nghề chuyên môn tại một khu vực pháp lý hoặc quốc gia hành nghề cụ thể. Giải thưởng </w:t>
      </w:r>
      <w:r w:rsidRPr="0009011F">
        <w:rPr>
          <w:rStyle w:val="Strong"/>
          <w:rFonts w:ascii="Arial" w:hAnsi="Arial" w:cs="Arial"/>
          <w:color w:val="000000" w:themeColor="text1"/>
          <w:sz w:val="20"/>
          <w:szCs w:val="20"/>
        </w:rPr>
        <w:t>Legal Influencer</w:t>
      </w:r>
      <w:r w:rsidRPr="0009011F">
        <w:rPr>
          <w:rFonts w:ascii="Arial" w:hAnsi="Arial" w:cs="Arial"/>
          <w:color w:val="000000" w:themeColor="text1"/>
          <w:sz w:val="20"/>
          <w:szCs w:val="20"/>
        </w:rPr>
        <w:t xml:space="preserve"> (</w:t>
      </w:r>
      <w:r w:rsidRPr="0009011F">
        <w:rPr>
          <w:rStyle w:val="Emphasis"/>
          <w:rFonts w:ascii="Arial" w:hAnsi="Arial" w:cs="Arial"/>
          <w:color w:val="000000" w:themeColor="text1"/>
          <w:sz w:val="20"/>
          <w:szCs w:val="20"/>
        </w:rPr>
        <w:t>Người có tầm ảnh hưởng trong nghề luật</w:t>
      </w:r>
      <w:r w:rsidRPr="0009011F">
        <w:rPr>
          <w:rFonts w:ascii="Arial" w:hAnsi="Arial" w:cs="Arial"/>
          <w:color w:val="000000" w:themeColor="text1"/>
          <w:sz w:val="20"/>
          <w:szCs w:val="20"/>
        </w:rPr>
        <w:t>) là sự ghi nhận những cống hiến, đóng góp to lớn và có giá trị của họ cho cho cộng đồng pháp lý.</w:t>
      </w:r>
    </w:p>
    <w:p w14:paraId="04309BFA" w14:textId="77777777" w:rsidR="009E7926" w:rsidRPr="0009011F" w:rsidRDefault="009E7926" w:rsidP="009E7926">
      <w:pPr>
        <w:spacing w:after="0" w:line="240" w:lineRule="auto"/>
        <w:jc w:val="both"/>
        <w:rPr>
          <w:rFonts w:ascii="Arial" w:hAnsi="Arial" w:cs="Arial"/>
          <w:color w:val="000000" w:themeColor="text1"/>
          <w:sz w:val="20"/>
          <w:szCs w:val="20"/>
        </w:rPr>
      </w:pPr>
    </w:p>
    <w:p w14:paraId="57DC7387" w14:textId="77777777" w:rsidR="009E7926" w:rsidRPr="0009011F" w:rsidRDefault="009E7926" w:rsidP="009E7926">
      <w:pPr>
        <w:spacing w:after="0" w:line="240" w:lineRule="auto"/>
        <w:jc w:val="both"/>
        <w:rPr>
          <w:rFonts w:ascii="Arial" w:hAnsi="Arial" w:cs="Arial"/>
          <w:color w:val="000000" w:themeColor="text1"/>
          <w:sz w:val="20"/>
          <w:szCs w:val="20"/>
        </w:rPr>
      </w:pPr>
      <w:r w:rsidRPr="0009011F">
        <w:rPr>
          <w:rFonts w:ascii="Arial" w:hAnsi="Arial" w:cs="Arial"/>
          <w:color w:val="000000" w:themeColor="text1"/>
          <w:sz w:val="20"/>
          <w:szCs w:val="20"/>
        </w:rPr>
        <w:t xml:space="preserve">Xin trân trọng cảm ơn các đồng nghiệp tại KENFOX đã luôn hỗ trợ ông Nguyễn Vũ Quân trong việc cung cấp các thông tin pháp lý cập nhật, quan trọng, làm nên những bài viết chất lượng, hữu ích và có giá trị cho cộng đồng trong lĩnh vực xác lập và </w:t>
      </w:r>
      <w:hyperlink r:id="rId10" w:history="1">
        <w:r w:rsidRPr="0009011F">
          <w:rPr>
            <w:rStyle w:val="Hyperlink"/>
            <w:rFonts w:ascii="Arial" w:hAnsi="Arial" w:cs="Arial"/>
            <w:sz w:val="20"/>
            <w:szCs w:val="20"/>
          </w:rPr>
          <w:t>thực thi quyền SHTT</w:t>
        </w:r>
      </w:hyperlink>
      <w:r w:rsidRPr="0009011F">
        <w:rPr>
          <w:rFonts w:ascii="Arial" w:hAnsi="Arial" w:cs="Arial"/>
          <w:color w:val="000000" w:themeColor="text1"/>
          <w:sz w:val="20"/>
          <w:szCs w:val="20"/>
        </w:rPr>
        <w:t xml:space="preserve"> tại Việt Nam và các quốc gia Châu Á khác.</w:t>
      </w:r>
    </w:p>
    <w:p w14:paraId="3F48D43D" w14:textId="77777777" w:rsidR="009E7926" w:rsidRPr="0009011F" w:rsidRDefault="009E7926" w:rsidP="009E7926">
      <w:pPr>
        <w:spacing w:after="0" w:line="240" w:lineRule="auto"/>
        <w:jc w:val="both"/>
        <w:rPr>
          <w:rFonts w:ascii="Arial" w:hAnsi="Arial" w:cs="Arial"/>
          <w:color w:val="000000" w:themeColor="text1"/>
          <w:sz w:val="20"/>
          <w:szCs w:val="20"/>
        </w:rPr>
      </w:pPr>
    </w:p>
    <w:p w14:paraId="68030BF6" w14:textId="0E4AA9CD" w:rsidR="009E7926" w:rsidRPr="0009011F" w:rsidRDefault="00092323" w:rsidP="009E7926">
      <w:pPr>
        <w:spacing w:after="0" w:line="240" w:lineRule="auto"/>
        <w:jc w:val="both"/>
        <w:rPr>
          <w:rFonts w:ascii="Arial" w:hAnsi="Arial" w:cs="Arial"/>
          <w:color w:val="000000" w:themeColor="text1"/>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7459FC65" wp14:editId="275E75F2">
                <wp:simplePos x="0" y="0"/>
                <wp:positionH relativeFrom="page">
                  <wp:posOffset>7065010</wp:posOffset>
                </wp:positionH>
                <wp:positionV relativeFrom="paragraph">
                  <wp:posOffset>-203835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7BFE7" w14:textId="77777777" w:rsidR="00092323" w:rsidRPr="00BA68B8" w:rsidRDefault="00092323" w:rsidP="00092323">
                            <w:pPr>
                              <w:spacing w:after="0" w:line="240" w:lineRule="auto"/>
                              <w:rPr>
                                <w:rFonts w:ascii="Arial" w:hAnsi="Arial" w:cs="Arial"/>
                                <w:b/>
                                <w:color w:val="FFFFFF" w:themeColor="background1"/>
                                <w:sz w:val="20"/>
                                <w:szCs w:val="20"/>
                              </w:rPr>
                            </w:pPr>
                            <w:r w:rsidRPr="00092323">
                              <w:rPr>
                                <w:rFonts w:ascii="Arial" w:hAnsi="Arial" w:cs="Arial"/>
                                <w:b/>
                                <w:bCs/>
                                <w:color w:val="FFFFFF" w:themeColor="background1"/>
                                <w:sz w:val="20"/>
                                <w:szCs w:val="20"/>
                              </w:rPr>
                              <w:t>Bảo hộ quyền Sở hữu trí tuệ tại Việt 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9FC65" id="Rectangle 2" o:spid="_x0000_s1028" style="position:absolute;left:0;text-align:left;margin-left:556.3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" fillcolor="#00b39c" strokecolor="#00b39c" strokeweight="0">
                <v:textbox style="layout-flow:vertical" inset=",1.3mm,1.3mm">
                  <w:txbxContent>
                    <w:p w14:paraId="5EC7BFE7" w14:textId="77777777" w:rsidR="00092323" w:rsidRPr="00BA68B8" w:rsidRDefault="00092323" w:rsidP="00092323">
                      <w:pPr>
                        <w:spacing w:after="0" w:line="240" w:lineRule="auto"/>
                        <w:rPr>
                          <w:rFonts w:ascii="Arial" w:hAnsi="Arial" w:cs="Arial"/>
                          <w:b/>
                          <w:color w:val="FFFFFF" w:themeColor="background1"/>
                          <w:sz w:val="20"/>
                          <w:szCs w:val="20"/>
                        </w:rPr>
                      </w:pPr>
                      <w:r w:rsidRPr="00092323">
                        <w:rPr>
                          <w:rFonts w:ascii="Arial" w:hAnsi="Arial" w:cs="Arial"/>
                          <w:b/>
                          <w:bCs/>
                          <w:color w:val="FFFFFF" w:themeColor="background1"/>
                          <w:sz w:val="20"/>
                          <w:szCs w:val="20"/>
                        </w:rPr>
                        <w:t>Bảo hộ quyền Sở hữu trí tuệ tại Việt Nam</w:t>
                      </w:r>
                    </w:p>
                  </w:txbxContent>
                </v:textbox>
                <w10:wrap anchorx="page"/>
              </v:rect>
            </w:pict>
          </mc:Fallback>
        </mc:AlternateContent>
      </w:r>
      <w:r w:rsidR="009E7926" w:rsidRPr="0009011F">
        <w:rPr>
          <w:rFonts w:ascii="Arial" w:hAnsi="Arial" w:cs="Arial"/>
          <w:color w:val="000000" w:themeColor="text1"/>
          <w:sz w:val="20"/>
          <w:szCs w:val="20"/>
        </w:rPr>
        <w:t xml:space="preserve">Chúng tôi không quên gửi lời cảm ơn tới Lexology - tổ chức uy tín toàn cầu trong lĩnh vực pháp luật - đã trao vinh dự này cho ông Nguyễn Vũ Quân – đại diện xuất sắc cho </w:t>
      </w:r>
      <w:r w:rsidR="009E7926" w:rsidRPr="0009011F">
        <w:rPr>
          <w:rFonts w:ascii="Arial" w:hAnsi="Arial" w:cs="Arial"/>
          <w:b/>
          <w:bCs/>
          <w:color w:val="000000" w:themeColor="text1"/>
          <w:sz w:val="20"/>
          <w:szCs w:val="20"/>
        </w:rPr>
        <w:t xml:space="preserve">năng lực </w:t>
      </w:r>
      <w:r w:rsidR="009E7926" w:rsidRPr="0009011F">
        <w:rPr>
          <w:rFonts w:ascii="Arial" w:hAnsi="Arial" w:cs="Arial"/>
          <w:color w:val="000000" w:themeColor="text1"/>
          <w:sz w:val="20"/>
          <w:szCs w:val="20"/>
        </w:rPr>
        <w:t xml:space="preserve">và </w:t>
      </w:r>
      <w:r w:rsidR="009E7926" w:rsidRPr="0009011F">
        <w:rPr>
          <w:rFonts w:ascii="Arial" w:hAnsi="Arial" w:cs="Arial"/>
          <w:b/>
          <w:bCs/>
          <w:color w:val="000000" w:themeColor="text1"/>
          <w:sz w:val="20"/>
          <w:szCs w:val="20"/>
        </w:rPr>
        <w:t>uy tín</w:t>
      </w:r>
      <w:r w:rsidR="009E7926" w:rsidRPr="0009011F">
        <w:rPr>
          <w:rFonts w:ascii="Arial" w:hAnsi="Arial" w:cs="Arial"/>
          <w:color w:val="000000" w:themeColor="text1"/>
          <w:sz w:val="20"/>
          <w:szCs w:val="20"/>
        </w:rPr>
        <w:t xml:space="preserve"> của KENFOX IP &amp; Law Office trong lĩnh vực SHTT. </w:t>
      </w:r>
    </w:p>
    <w:p w14:paraId="57EEDA78" w14:textId="2D255243" w:rsidR="009E7926" w:rsidRPr="0009011F" w:rsidRDefault="009E7926" w:rsidP="009E7926">
      <w:pPr>
        <w:spacing w:after="0" w:line="240" w:lineRule="auto"/>
        <w:jc w:val="both"/>
        <w:rPr>
          <w:rFonts w:ascii="Arial" w:hAnsi="Arial" w:cs="Arial"/>
          <w:color w:val="000000" w:themeColor="text1"/>
          <w:sz w:val="20"/>
          <w:szCs w:val="20"/>
        </w:rPr>
      </w:pPr>
    </w:p>
    <w:p w14:paraId="01402256" w14:textId="79F8C1E8" w:rsidR="009E7926" w:rsidRPr="0009011F" w:rsidRDefault="009E7926" w:rsidP="009E7926">
      <w:pPr>
        <w:spacing w:after="0" w:line="240" w:lineRule="auto"/>
        <w:jc w:val="both"/>
        <w:rPr>
          <w:rFonts w:ascii="Arial" w:hAnsi="Arial" w:cs="Arial"/>
          <w:color w:val="000000" w:themeColor="text1"/>
          <w:sz w:val="20"/>
          <w:szCs w:val="20"/>
        </w:rPr>
      </w:pPr>
      <w:r w:rsidRPr="0009011F">
        <w:rPr>
          <w:rFonts w:ascii="Arial" w:hAnsi="Arial" w:cs="Arial"/>
          <w:color w:val="000000" w:themeColor="text1"/>
          <w:sz w:val="20"/>
          <w:szCs w:val="20"/>
        </w:rPr>
        <w:t>Trung tâm nghiên cứu toàn cầu của Lexology là nhà cung cấp hàng đầu về thông tin pháp lý trực tuyến với hơn 450 bài viết pháp lý mỗi ngày từ hơn 900 hãng luật hàng đầu thế giới, giúp các chủ thể liên quan nắm bắt các diễn biến về pháp luật và quy định trên toàn thế giới.</w:t>
      </w:r>
    </w:p>
    <w:p w14:paraId="1471F092" w14:textId="17E9E6C3" w:rsidR="009E7926" w:rsidRDefault="009E7926" w:rsidP="009E7926">
      <w:pPr>
        <w:pStyle w:val="NormalWeb"/>
        <w:spacing w:before="0" w:beforeAutospacing="0" w:after="0" w:afterAutospacing="0"/>
        <w:jc w:val="both"/>
        <w:rPr>
          <w:rStyle w:val="Strong"/>
          <w:rFonts w:ascii="Arial" w:hAnsi="Arial" w:cs="Arial"/>
          <w:sz w:val="20"/>
          <w:szCs w:val="20"/>
        </w:rPr>
      </w:pPr>
    </w:p>
    <w:p w14:paraId="7226D4C6" w14:textId="52291D02" w:rsidR="009E7926" w:rsidRPr="002245C1" w:rsidRDefault="009E7926" w:rsidP="009E7926">
      <w:pPr>
        <w:pStyle w:val="NormalWeb"/>
        <w:spacing w:before="0" w:beforeAutospacing="0" w:after="0" w:afterAutospacing="0"/>
        <w:jc w:val="both"/>
        <w:rPr>
          <w:rStyle w:val="Strong"/>
          <w:rFonts w:ascii="Arial" w:hAnsi="Arial" w:cs="Arial"/>
          <w:color w:val="2F5496" w:themeColor="accent1" w:themeShade="BF"/>
          <w:sz w:val="22"/>
          <w:szCs w:val="22"/>
        </w:rPr>
      </w:pPr>
      <w:r w:rsidRPr="002245C1">
        <w:rPr>
          <w:rStyle w:val="Strong"/>
          <w:rFonts w:ascii="Arial" w:hAnsi="Arial" w:cs="Arial"/>
          <w:color w:val="2F5496" w:themeColor="accent1" w:themeShade="BF"/>
          <w:sz w:val="22"/>
          <w:szCs w:val="22"/>
        </w:rPr>
        <w:t xml:space="preserve">Ông Nguyễn Vũ Quân – Đại diện </w:t>
      </w:r>
      <w:r>
        <w:rPr>
          <w:rStyle w:val="Strong"/>
          <w:rFonts w:ascii="Arial" w:hAnsi="Arial" w:cs="Arial"/>
          <w:color w:val="2F5496" w:themeColor="accent1" w:themeShade="BF"/>
          <w:sz w:val="22"/>
          <w:szCs w:val="22"/>
        </w:rPr>
        <w:t>SHTT</w:t>
      </w:r>
      <w:r w:rsidRPr="002245C1">
        <w:rPr>
          <w:rStyle w:val="Strong"/>
          <w:rFonts w:ascii="Arial" w:hAnsi="Arial" w:cs="Arial"/>
          <w:color w:val="2F5496" w:themeColor="accent1" w:themeShade="BF"/>
          <w:sz w:val="22"/>
          <w:szCs w:val="22"/>
        </w:rPr>
        <w:t xml:space="preserve"> được cấp phép hoạt động trong các lĩnh vực Sáng chế, Kiểu dáng công nghiệp, Nhãn hiệu và Bản quyền</w:t>
      </w:r>
    </w:p>
    <w:p w14:paraId="56BD9D10" w14:textId="77777777" w:rsidR="009E7926" w:rsidRPr="00551825" w:rsidRDefault="009E7926" w:rsidP="009E7926">
      <w:pPr>
        <w:pStyle w:val="NormalWeb"/>
        <w:spacing w:before="0" w:beforeAutospacing="0" w:after="0" w:afterAutospacing="0"/>
        <w:jc w:val="both"/>
        <w:rPr>
          <w:rFonts w:ascii="Arial" w:hAnsi="Arial" w:cs="Arial"/>
          <w:sz w:val="20"/>
          <w:szCs w:val="20"/>
        </w:rPr>
      </w:pPr>
    </w:p>
    <w:p w14:paraId="433F4B0D" w14:textId="77777777" w:rsidR="009E7926" w:rsidRPr="0009011F" w:rsidRDefault="009E7926" w:rsidP="009E7926">
      <w:pPr>
        <w:pStyle w:val="NormalWeb"/>
        <w:spacing w:before="0" w:beforeAutospacing="0" w:after="0" w:afterAutospacing="0"/>
        <w:jc w:val="both"/>
        <w:rPr>
          <w:rFonts w:ascii="Arial" w:hAnsi="Arial" w:cs="Arial"/>
          <w:color w:val="000000" w:themeColor="text1"/>
          <w:sz w:val="20"/>
          <w:szCs w:val="20"/>
        </w:rPr>
      </w:pPr>
      <w:r w:rsidRPr="0009011F">
        <w:rPr>
          <w:rFonts w:ascii="Arial" w:hAnsi="Arial" w:cs="Arial"/>
          <w:color w:val="000000" w:themeColor="text1"/>
          <w:sz w:val="20"/>
          <w:szCs w:val="20"/>
        </w:rPr>
        <w:t xml:space="preserve">Ông Nguyễn Vũ Quân có hơn 20 năm kinh nghiệm làm việc trong lĩnh vực SHTT, với chuyên môn sâu rộng về sáng chế, kiểu dáng công nghiệp, nhãn hiệu, bản quyền tác giả, mật kinh doanh, cạnh tranh không lành mạnh và </w:t>
      </w:r>
      <w:r w:rsidRPr="0009011F">
        <w:rPr>
          <w:rFonts w:ascii="Arial" w:hAnsi="Arial" w:cs="Arial"/>
          <w:b/>
          <w:bCs/>
          <w:color w:val="000000" w:themeColor="text1"/>
          <w:sz w:val="20"/>
          <w:szCs w:val="20"/>
        </w:rPr>
        <w:t>thực thi quyền SHTT</w:t>
      </w:r>
      <w:r w:rsidRPr="0009011F">
        <w:rPr>
          <w:rFonts w:ascii="Arial" w:hAnsi="Arial" w:cs="Arial"/>
          <w:color w:val="000000" w:themeColor="text1"/>
          <w:sz w:val="20"/>
          <w:szCs w:val="20"/>
        </w:rPr>
        <w:t xml:space="preserve">. Ông Quân đã tư vấn các chiến lược thực thi quyền SHTT, xử lý thành công các tranh chấp, </w:t>
      </w:r>
      <w:hyperlink r:id="rId11" w:history="1">
        <w:r w:rsidRPr="00880922">
          <w:rPr>
            <w:rStyle w:val="Hyperlink"/>
            <w:rFonts w:ascii="Arial" w:hAnsi="Arial" w:cs="Arial"/>
            <w:sz w:val="20"/>
            <w:szCs w:val="20"/>
          </w:rPr>
          <w:t>xâm phạm</w:t>
        </w:r>
      </w:hyperlink>
      <w:r w:rsidRPr="0009011F">
        <w:rPr>
          <w:rFonts w:ascii="Arial" w:hAnsi="Arial" w:cs="Arial"/>
          <w:color w:val="000000" w:themeColor="text1"/>
          <w:sz w:val="20"/>
          <w:szCs w:val="20"/>
        </w:rPr>
        <w:t xml:space="preserve"> quyền SHTT phức tạp và trên quy mô rộng cho nhiều tập đoàn, công ty đa quốc gia trong nước và quốc tế.</w:t>
      </w:r>
    </w:p>
    <w:p w14:paraId="6E2EFC33" w14:textId="77777777" w:rsidR="009E7926" w:rsidRPr="0009011F" w:rsidRDefault="009E7926" w:rsidP="009E7926">
      <w:pPr>
        <w:pStyle w:val="NormalWeb"/>
        <w:spacing w:before="0" w:beforeAutospacing="0" w:after="0" w:afterAutospacing="0"/>
        <w:jc w:val="both"/>
        <w:rPr>
          <w:rFonts w:ascii="Arial" w:hAnsi="Arial" w:cs="Arial"/>
          <w:color w:val="000000" w:themeColor="text1"/>
          <w:sz w:val="20"/>
          <w:szCs w:val="20"/>
        </w:rPr>
      </w:pPr>
    </w:p>
    <w:p w14:paraId="1B8E1F80" w14:textId="77777777" w:rsidR="009E7926" w:rsidRPr="0009011F" w:rsidRDefault="009E7926" w:rsidP="009E7926">
      <w:pPr>
        <w:pStyle w:val="NormalWeb"/>
        <w:spacing w:before="0" w:beforeAutospacing="0" w:after="0" w:afterAutospacing="0"/>
        <w:jc w:val="both"/>
        <w:rPr>
          <w:rFonts w:ascii="Arial" w:hAnsi="Arial" w:cs="Arial"/>
          <w:color w:val="000000" w:themeColor="text1"/>
          <w:sz w:val="20"/>
          <w:szCs w:val="20"/>
        </w:rPr>
      </w:pPr>
      <w:r w:rsidRPr="0009011F">
        <w:rPr>
          <w:rFonts w:ascii="Arial" w:hAnsi="Arial" w:cs="Arial"/>
          <w:color w:val="000000" w:themeColor="text1"/>
          <w:sz w:val="20"/>
          <w:szCs w:val="20"/>
        </w:rPr>
        <w:t xml:space="preserve">Với kiến thức chuyên môn sâu rộng, tư duy sáng tạo và khả năng truyền đạt hiệu quả, ông Quân luôn được khách hàng tin tưởng và đánh giá cao. Ông Quân là một </w:t>
      </w:r>
      <w:r w:rsidRPr="0009011F">
        <w:rPr>
          <w:rFonts w:ascii="Arial" w:hAnsi="Arial" w:cs="Arial"/>
          <w:b/>
          <w:bCs/>
          <w:color w:val="000000" w:themeColor="text1"/>
          <w:sz w:val="20"/>
          <w:szCs w:val="20"/>
        </w:rPr>
        <w:t>diễn giả thường xuyên</w:t>
      </w:r>
      <w:r w:rsidRPr="0009011F">
        <w:rPr>
          <w:rFonts w:ascii="Arial" w:hAnsi="Arial" w:cs="Arial"/>
          <w:color w:val="000000" w:themeColor="text1"/>
          <w:sz w:val="20"/>
          <w:szCs w:val="20"/>
        </w:rPr>
        <w:t xml:space="preserve"> tại các hội thảo trong nước và quốc tế về SHTT và là </w:t>
      </w:r>
      <w:r w:rsidRPr="0009011F">
        <w:rPr>
          <w:rFonts w:ascii="Arial" w:hAnsi="Arial" w:cs="Arial"/>
          <w:b/>
          <w:bCs/>
          <w:color w:val="000000" w:themeColor="text1"/>
          <w:sz w:val="20"/>
          <w:szCs w:val="20"/>
        </w:rPr>
        <w:t>tác giả của nhiều bài báo chuyên ngành uy tín</w:t>
      </w:r>
      <w:r w:rsidRPr="0009011F">
        <w:rPr>
          <w:rFonts w:ascii="Arial" w:hAnsi="Arial" w:cs="Arial"/>
          <w:color w:val="000000" w:themeColor="text1"/>
          <w:sz w:val="20"/>
          <w:szCs w:val="20"/>
        </w:rPr>
        <w:t xml:space="preserve"> như Tạp chí Luật sư Việt Nam, Báo đầu tư, Báo Công Thương, Ông Quân đã tham gia các hội thảo và có </w:t>
      </w:r>
      <w:r w:rsidRPr="0009011F">
        <w:rPr>
          <w:rFonts w:ascii="Arial" w:hAnsi="Arial" w:cs="Arial"/>
          <w:b/>
          <w:bCs/>
          <w:color w:val="000000" w:themeColor="text1"/>
          <w:sz w:val="20"/>
          <w:szCs w:val="20"/>
        </w:rPr>
        <w:t>nhiều bài phát biểu</w:t>
      </w:r>
      <w:r w:rsidRPr="0009011F">
        <w:rPr>
          <w:rFonts w:ascii="Arial" w:hAnsi="Arial" w:cs="Arial"/>
          <w:color w:val="000000" w:themeColor="text1"/>
          <w:sz w:val="20"/>
          <w:szCs w:val="20"/>
        </w:rPr>
        <w:t xml:space="preserve"> tại các hội thảo thay mặt cho Hội SHTT Việt Nam tuệ Viện Nghiên cứu Chiến lược Thương hiệu và Năng lực cạnh tranh (the Institute for Brand and Competitiveness Strategy – IPTA), cơ quan thuộc Bộ Khoa học &amp; Công nghệ. Ông cũng tham gia trình bày về </w:t>
      </w:r>
      <w:hyperlink r:id="rId12" w:history="1">
        <w:r w:rsidRPr="00880922">
          <w:rPr>
            <w:rStyle w:val="Hyperlink"/>
            <w:rFonts w:ascii="Arial" w:hAnsi="Arial" w:cs="Arial"/>
            <w:sz w:val="20"/>
            <w:szCs w:val="20"/>
          </w:rPr>
          <w:t>chiến lược</w:t>
        </w:r>
      </w:hyperlink>
      <w:r w:rsidRPr="0009011F">
        <w:rPr>
          <w:rFonts w:ascii="Arial" w:hAnsi="Arial" w:cs="Arial"/>
          <w:color w:val="000000" w:themeColor="text1"/>
          <w:sz w:val="20"/>
          <w:szCs w:val="20"/>
        </w:rPr>
        <w:t xml:space="preserve"> thực thi quyền SHTT cho các tập đoàn lớn của Việt Nam như Vinataba, Petrolimex FPT và Vingroup.</w:t>
      </w:r>
    </w:p>
    <w:p w14:paraId="365B256D" w14:textId="77777777" w:rsidR="009E7926" w:rsidRPr="0009011F" w:rsidRDefault="009E7926" w:rsidP="009E7926">
      <w:pPr>
        <w:pStyle w:val="NormalWeb"/>
        <w:spacing w:before="0" w:beforeAutospacing="0" w:after="0" w:afterAutospacing="0"/>
        <w:jc w:val="both"/>
        <w:rPr>
          <w:rFonts w:ascii="Arial" w:hAnsi="Arial" w:cs="Arial"/>
          <w:color w:val="000000" w:themeColor="text1"/>
          <w:sz w:val="20"/>
          <w:szCs w:val="20"/>
        </w:rPr>
      </w:pPr>
    </w:p>
    <w:p w14:paraId="61B79BB7" w14:textId="77777777" w:rsidR="009E7926" w:rsidRPr="0009011F" w:rsidRDefault="009E7926" w:rsidP="009E7926">
      <w:pPr>
        <w:pStyle w:val="NormalWeb"/>
        <w:spacing w:before="0" w:beforeAutospacing="0" w:after="0" w:afterAutospacing="0"/>
        <w:jc w:val="both"/>
        <w:rPr>
          <w:rFonts w:ascii="Arial" w:hAnsi="Arial" w:cs="Arial"/>
          <w:color w:val="000000" w:themeColor="text1"/>
          <w:sz w:val="20"/>
          <w:szCs w:val="20"/>
        </w:rPr>
      </w:pPr>
      <w:r w:rsidRPr="0009011F">
        <w:rPr>
          <w:rFonts w:ascii="Arial" w:hAnsi="Arial" w:cs="Arial"/>
          <w:color w:val="000000" w:themeColor="text1"/>
          <w:sz w:val="20"/>
          <w:szCs w:val="20"/>
        </w:rPr>
        <w:t xml:space="preserve">Tháng 3/2023, ông Quân là </w:t>
      </w:r>
      <w:r w:rsidRPr="0009011F">
        <w:rPr>
          <w:rFonts w:ascii="Arial" w:hAnsi="Arial" w:cs="Arial"/>
          <w:b/>
          <w:bCs/>
          <w:color w:val="000000" w:themeColor="text1"/>
          <w:sz w:val="20"/>
          <w:szCs w:val="20"/>
        </w:rPr>
        <w:t>đại diện duy nhất của Việt Nam</w:t>
      </w:r>
      <w:r w:rsidRPr="0009011F">
        <w:rPr>
          <w:rFonts w:ascii="Arial" w:hAnsi="Arial" w:cs="Arial"/>
          <w:color w:val="000000" w:themeColor="text1"/>
          <w:sz w:val="20"/>
          <w:szCs w:val="20"/>
        </w:rPr>
        <w:t xml:space="preserve"> được </w:t>
      </w:r>
      <w:hyperlink r:id="rId13" w:history="1">
        <w:r w:rsidRPr="00D001E0">
          <w:rPr>
            <w:rStyle w:val="Hyperlink"/>
            <w:rFonts w:ascii="Arial" w:hAnsi="Arial" w:cs="Arial"/>
            <w:sz w:val="20"/>
            <w:szCs w:val="20"/>
          </w:rPr>
          <w:t>KITA và KMDIA</w:t>
        </w:r>
      </w:hyperlink>
      <w:r w:rsidRPr="0009011F">
        <w:rPr>
          <w:rFonts w:ascii="Arial" w:hAnsi="Arial" w:cs="Arial"/>
          <w:color w:val="000000" w:themeColor="text1"/>
          <w:sz w:val="20"/>
          <w:szCs w:val="20"/>
        </w:rPr>
        <w:t xml:space="preserve"> mời </w:t>
      </w:r>
      <w:r w:rsidRPr="0009011F">
        <w:rPr>
          <w:rFonts w:ascii="Arial" w:hAnsi="Arial" w:cs="Arial"/>
          <w:b/>
          <w:bCs/>
          <w:color w:val="000000" w:themeColor="text1"/>
          <w:sz w:val="20"/>
          <w:szCs w:val="20"/>
        </w:rPr>
        <w:t>tham gia thuyết trình</w:t>
      </w:r>
      <w:r w:rsidRPr="0009011F">
        <w:rPr>
          <w:rFonts w:ascii="Arial" w:hAnsi="Arial" w:cs="Arial"/>
          <w:color w:val="000000" w:themeColor="text1"/>
          <w:sz w:val="20"/>
          <w:szCs w:val="20"/>
        </w:rPr>
        <w:t xml:space="preserve"> trước hơn 100 doanh nghiệp của Hàn Quốc chuyên sản xuất và kinh doanh dược phẩm, thiết bị y tế, thực phẩm chức năng, mỹ phẩm và hàng gia dụng. Tháng 10/2023, ông Quân</w:t>
      </w:r>
      <w:r w:rsidRPr="0009011F">
        <w:rPr>
          <w:rFonts w:ascii="Arial" w:hAnsi="Arial" w:cs="Arial"/>
          <w:b/>
          <w:bCs/>
          <w:color w:val="000000" w:themeColor="text1"/>
          <w:sz w:val="20"/>
          <w:szCs w:val="20"/>
        </w:rPr>
        <w:t xml:space="preserve"> được KOTRA mời tham gia thuyết trình </w:t>
      </w:r>
      <w:r w:rsidRPr="0009011F">
        <w:rPr>
          <w:rFonts w:ascii="Arial" w:hAnsi="Arial" w:cs="Arial"/>
          <w:color w:val="000000" w:themeColor="text1"/>
          <w:sz w:val="20"/>
          <w:szCs w:val="20"/>
        </w:rPr>
        <w:t xml:space="preserve">bảo vệ cho một </w:t>
      </w:r>
      <w:r w:rsidRPr="0009011F">
        <w:rPr>
          <w:rFonts w:ascii="Arial" w:hAnsi="Arial" w:cs="Arial"/>
          <w:b/>
          <w:bCs/>
          <w:color w:val="000000" w:themeColor="text1"/>
          <w:sz w:val="20"/>
          <w:szCs w:val="20"/>
        </w:rPr>
        <w:t>thương hiệu nổi tiếng</w:t>
      </w:r>
      <w:r w:rsidRPr="0009011F">
        <w:rPr>
          <w:rFonts w:ascii="Arial" w:hAnsi="Arial" w:cs="Arial"/>
          <w:color w:val="000000" w:themeColor="text1"/>
          <w:sz w:val="20"/>
          <w:szCs w:val="20"/>
        </w:rPr>
        <w:t xml:space="preserve"> của Hàn Quốc trước Cục SHTT, Tổng Cục quản lý thị trường, các Cục quản lý thị trường và các cơ quan Hải quan, cũng như các cơ quan truyền thông, truyền hình của Việt Nam. Ông Quân là thành viên năng động và đóng góp tích cực cho các tổ chức sở hữu trí tuệ quốc tế như INTA, APAA và AIPPI.</w:t>
      </w:r>
    </w:p>
    <w:p w14:paraId="5BDDA281" w14:textId="77777777" w:rsidR="009E7926" w:rsidRPr="0009011F" w:rsidRDefault="009E7926" w:rsidP="009E7926">
      <w:pPr>
        <w:pStyle w:val="NormalWeb"/>
        <w:spacing w:before="0" w:beforeAutospacing="0" w:after="0" w:afterAutospacing="0"/>
        <w:jc w:val="both"/>
        <w:rPr>
          <w:rFonts w:ascii="Arial" w:hAnsi="Arial" w:cs="Arial"/>
          <w:color w:val="000000" w:themeColor="text1"/>
          <w:sz w:val="20"/>
          <w:szCs w:val="20"/>
        </w:rPr>
      </w:pPr>
    </w:p>
    <w:p w14:paraId="60B025B3" w14:textId="77777777" w:rsidR="009E7926" w:rsidRPr="0009011F" w:rsidRDefault="009E7926" w:rsidP="009E7926">
      <w:pPr>
        <w:spacing w:after="0" w:line="240" w:lineRule="auto"/>
        <w:jc w:val="both"/>
        <w:rPr>
          <w:rFonts w:ascii="Arial" w:hAnsi="Arial" w:cs="Arial"/>
          <w:color w:val="000000" w:themeColor="text1"/>
          <w:sz w:val="20"/>
          <w:szCs w:val="20"/>
        </w:rPr>
      </w:pPr>
      <w:r w:rsidRPr="0009011F">
        <w:rPr>
          <w:rFonts w:ascii="Arial" w:hAnsi="Arial" w:cs="Arial"/>
          <w:color w:val="000000" w:themeColor="text1"/>
          <w:sz w:val="20"/>
          <w:szCs w:val="20"/>
        </w:rPr>
        <w:t xml:space="preserve">Với giải thưởng "Lexology Legal Influencer Q2-2024", ông Nguyễn Vũ Quân đã khẳng định vị thế là một trong những đại diện SHTT xuất sắc tại Việt Nam và các nước Châu Á khác. </w:t>
      </w:r>
    </w:p>
    <w:p w14:paraId="60A32103" w14:textId="77777777" w:rsidR="009E7926" w:rsidRPr="0009011F" w:rsidRDefault="009E7926" w:rsidP="009E7926">
      <w:pPr>
        <w:spacing w:after="0" w:line="240" w:lineRule="auto"/>
        <w:jc w:val="both"/>
        <w:rPr>
          <w:rFonts w:ascii="Arial" w:hAnsi="Arial" w:cs="Arial"/>
          <w:color w:val="000000" w:themeColor="text1"/>
          <w:sz w:val="20"/>
          <w:szCs w:val="20"/>
        </w:rPr>
      </w:pPr>
    </w:p>
    <w:p w14:paraId="6D3659E3" w14:textId="77777777" w:rsidR="009E7926" w:rsidRPr="002245C1" w:rsidRDefault="009E7926" w:rsidP="009E7926">
      <w:pPr>
        <w:pStyle w:val="NormalWeb"/>
        <w:spacing w:before="0" w:beforeAutospacing="0" w:after="0" w:afterAutospacing="0"/>
        <w:jc w:val="both"/>
        <w:rPr>
          <w:rStyle w:val="Strong"/>
          <w:color w:val="2F5496" w:themeColor="accent1" w:themeShade="BF"/>
          <w:sz w:val="22"/>
          <w:szCs w:val="22"/>
        </w:rPr>
      </w:pPr>
      <w:r w:rsidRPr="002245C1">
        <w:rPr>
          <w:rStyle w:val="Strong"/>
          <w:rFonts w:ascii="Arial" w:hAnsi="Arial" w:cs="Arial"/>
          <w:color w:val="2F5496" w:themeColor="accent1" w:themeShade="BF"/>
          <w:sz w:val="22"/>
          <w:szCs w:val="22"/>
        </w:rPr>
        <w:t>Về KENFOX IP &amp; Law Office</w:t>
      </w:r>
    </w:p>
    <w:p w14:paraId="59234596" w14:textId="77777777" w:rsidR="009E7926" w:rsidRDefault="009E7926" w:rsidP="009E7926">
      <w:pPr>
        <w:pStyle w:val="NormalWeb"/>
        <w:spacing w:before="0" w:beforeAutospacing="0" w:after="0" w:afterAutospacing="0"/>
        <w:jc w:val="both"/>
        <w:rPr>
          <w:rFonts w:ascii="Arial" w:hAnsi="Arial" w:cs="Arial"/>
          <w:sz w:val="20"/>
          <w:szCs w:val="20"/>
        </w:rPr>
      </w:pPr>
    </w:p>
    <w:p w14:paraId="39316987" w14:textId="77777777" w:rsidR="009E7926" w:rsidRPr="0009011F" w:rsidRDefault="009E7926" w:rsidP="009E7926">
      <w:pPr>
        <w:pStyle w:val="NormalWeb"/>
        <w:spacing w:before="0" w:beforeAutospacing="0" w:after="0" w:afterAutospacing="0"/>
        <w:jc w:val="both"/>
        <w:rPr>
          <w:rFonts w:ascii="Arial" w:hAnsi="Arial" w:cs="Arial"/>
          <w:color w:val="000000" w:themeColor="text1"/>
          <w:sz w:val="20"/>
          <w:szCs w:val="20"/>
        </w:rPr>
      </w:pPr>
      <w:r w:rsidRPr="0009011F">
        <w:rPr>
          <w:rFonts w:ascii="Arial" w:hAnsi="Arial" w:cs="Arial"/>
          <w:color w:val="000000" w:themeColor="text1"/>
          <w:sz w:val="20"/>
          <w:szCs w:val="20"/>
        </w:rPr>
        <w:t>Trải qua 15 năm hình thành và phát triển, KENFOX IP &amp; Law Office đã khẳng định vị thế là một trong những công ty hàng đầu chuyên cung cấp dịch vụ pháp lý trong lĩnh vực SHTT tại Việt Nam, Lào, Cambodia, Myanmar và các quốc gia khác trên thế giới. Với đội ngũ luật sư, chuyên gia cao cấp, có chuyên môn sâu rộng, dày dặn kinh nghiệm thực tiễn, chúng tôi đã và đang mang đến cho khách hàng những giải pháp tối ưu, giúp bảo vệ thành công hàng nghìn vụ việc tranh chấp, xâm phạm SHTT, góp phần gìn giữ tài sản trí tuệ cho các doanh nghiệp từ khởi nghiệp đến tập đoàn lớn (Fortune 500).</w:t>
      </w:r>
    </w:p>
    <w:p w14:paraId="37AA384F" w14:textId="77777777" w:rsidR="009E7926" w:rsidRPr="0009011F" w:rsidRDefault="009E7926" w:rsidP="009E7926">
      <w:pPr>
        <w:pStyle w:val="NormalWeb"/>
        <w:spacing w:before="0" w:beforeAutospacing="0" w:after="0" w:afterAutospacing="0"/>
        <w:jc w:val="both"/>
        <w:rPr>
          <w:rFonts w:ascii="Arial" w:hAnsi="Arial" w:cs="Arial"/>
          <w:color w:val="000000" w:themeColor="text1"/>
          <w:sz w:val="20"/>
          <w:szCs w:val="20"/>
        </w:rPr>
      </w:pPr>
    </w:p>
    <w:p w14:paraId="183F077E" w14:textId="77777777" w:rsidR="009E7926" w:rsidRPr="0009011F" w:rsidRDefault="009E7926" w:rsidP="009E7926">
      <w:pPr>
        <w:pStyle w:val="NormalWeb"/>
        <w:spacing w:before="0" w:beforeAutospacing="0" w:after="0" w:afterAutospacing="0"/>
        <w:jc w:val="both"/>
        <w:rPr>
          <w:rFonts w:ascii="Arial" w:hAnsi="Arial" w:cs="Arial"/>
          <w:color w:val="000000" w:themeColor="text1"/>
          <w:sz w:val="20"/>
          <w:szCs w:val="20"/>
        </w:rPr>
      </w:pPr>
      <w:r w:rsidRPr="0009011F">
        <w:rPr>
          <w:rFonts w:ascii="Arial" w:hAnsi="Arial" w:cs="Arial"/>
          <w:color w:val="000000" w:themeColor="text1"/>
          <w:sz w:val="20"/>
          <w:szCs w:val="20"/>
        </w:rPr>
        <w:t>Hãy liên hệ với KENFOX IP &amp; Law Office ngay hôm nay để được tư vấn về các giải pháp tối ưu và bảo hộ hiệu quả tài sản trí tuệ của bạn!</w:t>
      </w:r>
    </w:p>
    <w:p w14:paraId="450F299D" w14:textId="77777777" w:rsidR="009E7926" w:rsidRPr="00F7490D" w:rsidRDefault="009E7926" w:rsidP="009E7926">
      <w:pPr>
        <w:pStyle w:val="NormalWeb"/>
        <w:spacing w:before="0" w:beforeAutospacing="0" w:after="0" w:afterAutospacing="0"/>
        <w:jc w:val="both"/>
        <w:rPr>
          <w:rFonts w:ascii="Arial" w:hAnsi="Arial" w:cs="Arial"/>
          <w:sz w:val="20"/>
          <w:szCs w:val="20"/>
        </w:rPr>
      </w:pPr>
    </w:p>
    <w:p w14:paraId="71BC58C1" w14:textId="77777777" w:rsidR="009E7926" w:rsidRDefault="009E7926" w:rsidP="009E7926">
      <w:pPr>
        <w:pStyle w:val="NormalWeb"/>
        <w:spacing w:before="0" w:beforeAutospacing="0" w:after="0" w:afterAutospacing="0"/>
        <w:jc w:val="both"/>
        <w:rPr>
          <w:rFonts w:ascii="Arial" w:hAnsi="Arial" w:cs="Arial"/>
          <w:sz w:val="20"/>
          <w:szCs w:val="20"/>
        </w:rPr>
      </w:pPr>
    </w:p>
    <w:p w14:paraId="32601084" w14:textId="77777777" w:rsidR="00F27C56" w:rsidRDefault="00F27C56" w:rsidP="005750FC">
      <w:pPr>
        <w:pStyle w:val="NormalWeb"/>
        <w:shd w:val="clear" w:color="auto" w:fill="FFFFFF"/>
        <w:spacing w:before="0" w:beforeAutospacing="0" w:after="0" w:afterAutospacing="0" w:line="360" w:lineRule="atLeast"/>
        <w:jc w:val="right"/>
        <w:textAlignment w:val="baseline"/>
        <w:rPr>
          <w:color w:val="6A6A6A"/>
          <w:sz w:val="23"/>
          <w:szCs w:val="23"/>
        </w:rPr>
      </w:pP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76244568">
                <wp:simplePos x="0" y="0"/>
                <wp:positionH relativeFrom="margin">
                  <wp:align>left</wp:align>
                </wp:positionH>
                <wp:positionV relativeFrom="paragraph">
                  <wp:posOffset>106680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3E44C6" w:rsidP="0091740F">
                            <w:pPr>
                              <w:spacing w:before="20" w:afterLines="20" w:after="48" w:line="240" w:lineRule="auto"/>
                              <w:ind w:left="142"/>
                              <w:rPr>
                                <w:rFonts w:ascii="Arial" w:hAnsi="Arial" w:cs="Arial"/>
                                <w:b/>
                                <w:color w:val="000000" w:themeColor="text1"/>
                                <w:sz w:val="20"/>
                                <w:szCs w:val="20"/>
                              </w:rPr>
                            </w:pPr>
                            <w:hyperlink r:id="rId14"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w:t>
                            </w:r>
                            <w:bookmarkStart w:id="2" w:name="_GoBack"/>
                            <w:r w:rsidRPr="00933532">
                              <w:rPr>
                                <w:rFonts w:ascii="Arial" w:hAnsi="Arial" w:cs="Arial"/>
                                <w:color w:val="0000FF"/>
                                <w:sz w:val="20"/>
                                <w:szCs w:val="20"/>
                                <w:u w:val="single"/>
                              </w:rPr>
                              <w:t>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0;margin-top:8.4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3E44C6" w:rsidP="0091740F">
                      <w:pPr>
                        <w:spacing w:before="20" w:afterLines="20" w:after="48" w:line="240" w:lineRule="auto"/>
                        <w:ind w:left="142"/>
                        <w:rPr>
                          <w:rFonts w:ascii="Arial" w:hAnsi="Arial" w:cs="Arial"/>
                          <w:b/>
                          <w:color w:val="000000" w:themeColor="text1"/>
                          <w:sz w:val="20"/>
                          <w:szCs w:val="20"/>
                        </w:rPr>
                      </w:pPr>
                      <w:hyperlink r:id="rId15"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w:t>
                      </w:r>
                      <w:bookmarkStart w:id="3" w:name="_GoBack"/>
                      <w:r w:rsidRPr="00933532">
                        <w:rPr>
                          <w:rFonts w:ascii="Arial" w:hAnsi="Arial" w:cs="Arial"/>
                          <w:color w:val="0000FF"/>
                          <w:sz w:val="20"/>
                          <w:szCs w:val="20"/>
                          <w:u w:val="single"/>
                        </w:rPr>
                        <w:t>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3"/>
                    </w:p>
                  </w:txbxContent>
                </v:textbox>
                <w10:wrap anchorx="margin"/>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0F58DC03"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457D40A9" w14:textId="007CBE1B"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5330F03B"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6"/>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8A39" w14:textId="77777777" w:rsidR="003E44C6" w:rsidRDefault="003E44C6" w:rsidP="00E57781">
      <w:pPr>
        <w:spacing w:after="0" w:line="240" w:lineRule="auto"/>
      </w:pPr>
      <w:r>
        <w:separator/>
      </w:r>
    </w:p>
  </w:endnote>
  <w:endnote w:type="continuationSeparator" w:id="0">
    <w:p w14:paraId="038806A4" w14:textId="77777777" w:rsidR="003E44C6" w:rsidRDefault="003E44C6"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3E44C6"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FE91" w14:textId="77777777" w:rsidR="003E44C6" w:rsidRDefault="003E44C6" w:rsidP="00E57781">
      <w:pPr>
        <w:spacing w:after="0" w:line="240" w:lineRule="auto"/>
      </w:pPr>
      <w:r>
        <w:separator/>
      </w:r>
    </w:p>
  </w:footnote>
  <w:footnote w:type="continuationSeparator" w:id="0">
    <w:p w14:paraId="061D183F" w14:textId="77777777" w:rsidR="003E44C6" w:rsidRDefault="003E44C6"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24"/>
  </w:num>
  <w:num w:numId="11">
    <w:abstractNumId w:val="10"/>
  </w:num>
  <w:num w:numId="12">
    <w:abstractNumId w:val="0"/>
  </w:num>
  <w:num w:numId="13">
    <w:abstractNumId w:val="8"/>
  </w:num>
  <w:num w:numId="14">
    <w:abstractNumId w:val="23"/>
  </w:num>
  <w:num w:numId="15">
    <w:abstractNumId w:val="6"/>
  </w:num>
  <w:num w:numId="16">
    <w:abstractNumId w:val="7"/>
  </w:num>
  <w:num w:numId="17">
    <w:abstractNumId w:val="3"/>
  </w:num>
  <w:num w:numId="18">
    <w:abstractNumId w:val="12"/>
  </w:num>
  <w:num w:numId="19">
    <w:abstractNumId w:val="20"/>
  </w:num>
  <w:num w:numId="20">
    <w:abstractNumId w:val="25"/>
  </w:num>
  <w:num w:numId="21">
    <w:abstractNumId w:val="19"/>
  </w:num>
  <w:num w:numId="22">
    <w:abstractNumId w:val="14"/>
  </w:num>
  <w:num w:numId="23">
    <w:abstractNumId w:val="16"/>
  </w:num>
  <w:num w:numId="24">
    <w:abstractNumId w:val="15"/>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323"/>
    <w:rsid w:val="000927EF"/>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6422"/>
    <w:rsid w:val="00234134"/>
    <w:rsid w:val="00240AEB"/>
    <w:rsid w:val="00242098"/>
    <w:rsid w:val="00253743"/>
    <w:rsid w:val="00272804"/>
    <w:rsid w:val="00276D02"/>
    <w:rsid w:val="00282B38"/>
    <w:rsid w:val="00285F5C"/>
    <w:rsid w:val="00295720"/>
    <w:rsid w:val="002B05A0"/>
    <w:rsid w:val="002E575F"/>
    <w:rsid w:val="00313195"/>
    <w:rsid w:val="00321A9E"/>
    <w:rsid w:val="0033521E"/>
    <w:rsid w:val="00357E95"/>
    <w:rsid w:val="00396A1B"/>
    <w:rsid w:val="003A5F95"/>
    <w:rsid w:val="003B2B83"/>
    <w:rsid w:val="003C1D82"/>
    <w:rsid w:val="003C7045"/>
    <w:rsid w:val="003E44C6"/>
    <w:rsid w:val="003E509C"/>
    <w:rsid w:val="003E5AFB"/>
    <w:rsid w:val="003F65EB"/>
    <w:rsid w:val="00405F9C"/>
    <w:rsid w:val="004144A5"/>
    <w:rsid w:val="004731D4"/>
    <w:rsid w:val="00487067"/>
    <w:rsid w:val="004D7BC6"/>
    <w:rsid w:val="00502998"/>
    <w:rsid w:val="005040D5"/>
    <w:rsid w:val="0051768B"/>
    <w:rsid w:val="0052015C"/>
    <w:rsid w:val="00531F0D"/>
    <w:rsid w:val="005479E4"/>
    <w:rsid w:val="005529BC"/>
    <w:rsid w:val="00567654"/>
    <w:rsid w:val="0057237B"/>
    <w:rsid w:val="005750FC"/>
    <w:rsid w:val="00576BF8"/>
    <w:rsid w:val="005A0E45"/>
    <w:rsid w:val="005F32CB"/>
    <w:rsid w:val="006005C9"/>
    <w:rsid w:val="0061522B"/>
    <w:rsid w:val="006558CB"/>
    <w:rsid w:val="00683FB4"/>
    <w:rsid w:val="006A0298"/>
    <w:rsid w:val="0072710A"/>
    <w:rsid w:val="0073186B"/>
    <w:rsid w:val="00742A2F"/>
    <w:rsid w:val="007507FC"/>
    <w:rsid w:val="00751DFF"/>
    <w:rsid w:val="00772784"/>
    <w:rsid w:val="00775D8A"/>
    <w:rsid w:val="00776ABB"/>
    <w:rsid w:val="007B682C"/>
    <w:rsid w:val="007F1AA2"/>
    <w:rsid w:val="00834613"/>
    <w:rsid w:val="00841D28"/>
    <w:rsid w:val="00872C22"/>
    <w:rsid w:val="0088143C"/>
    <w:rsid w:val="008A20CE"/>
    <w:rsid w:val="008A5359"/>
    <w:rsid w:val="00914650"/>
    <w:rsid w:val="0091740F"/>
    <w:rsid w:val="00950BD0"/>
    <w:rsid w:val="0098031A"/>
    <w:rsid w:val="00986E67"/>
    <w:rsid w:val="00996FAC"/>
    <w:rsid w:val="009A357F"/>
    <w:rsid w:val="009B64C3"/>
    <w:rsid w:val="009B7FBF"/>
    <w:rsid w:val="009C0EB6"/>
    <w:rsid w:val="009D368A"/>
    <w:rsid w:val="009E7926"/>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E7DF9"/>
    <w:rsid w:val="00BF60AC"/>
    <w:rsid w:val="00C02E1E"/>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92F03"/>
    <w:rsid w:val="00DB06F3"/>
    <w:rsid w:val="00DE1B4A"/>
    <w:rsid w:val="00DF069F"/>
    <w:rsid w:val="00E20E31"/>
    <w:rsid w:val="00E304DC"/>
    <w:rsid w:val="00E321E0"/>
    <w:rsid w:val="00E51CB7"/>
    <w:rsid w:val="00E57781"/>
    <w:rsid w:val="00E6401E"/>
    <w:rsid w:val="00E93403"/>
    <w:rsid w:val="00EB2C62"/>
    <w:rsid w:val="00EF2CB1"/>
    <w:rsid w:val="00EF6B7E"/>
    <w:rsid w:val="00F12983"/>
    <w:rsid w:val="00F212E1"/>
    <w:rsid w:val="00F2178D"/>
    <w:rsid w:val="00F27C56"/>
    <w:rsid w:val="00F45668"/>
    <w:rsid w:val="00F7531A"/>
    <w:rsid w:val="00F80AC8"/>
    <w:rsid w:val="00FF4F63"/>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ology.com/firms/kenfox-ip-and-law-office/nguyen_vu_quan" TargetMode="External"/><Relationship Id="rId13" Type="http://schemas.openxmlformats.org/officeDocument/2006/relationships/hyperlink" Target="https://kenfoxlaw.com/vi/hoach-dinh-so-huu-tri-tue-shtt-chien-luoc-tot-nhat-de-cac-nha-xuat-khau-han-quoc-bao-ve-quyen-shtt-tai-viet-nam-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professional_item/nguyen-vu-quan" TargetMode="External"/><Relationship Id="rId12" Type="http://schemas.openxmlformats.org/officeDocument/2006/relationships/hyperlink" Target="https://kenfoxlaw.com/vi/chien-luoc-su-dung-chung-cu-trong-cac-vu-xam-pham-quyen-so-huu-tri-tue-o-viet-n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chong-xam-pham-shtt-hieu-qua-tai-sao-can-bao-ho-duoi-nhieu-hinh-thuc-tai-viet-nam" TargetMode="External"/><Relationship Id="rId5" Type="http://schemas.openxmlformats.org/officeDocument/2006/relationships/footnotes" Target="footnotes.xml"/><Relationship Id="rId15" Type="http://schemas.openxmlformats.org/officeDocument/2006/relationships/hyperlink" Target="https://kenfoxlaw.com/wp-content/uploads/2020/09/Lao-PDR_Law-on-Intellectual-Property-No-38_15-11-2017_Eng.pdf" TargetMode="External"/><Relationship Id="rId10" Type="http://schemas.openxmlformats.org/officeDocument/2006/relationships/hyperlink" Target="https://kenfoxlaw.com/vi/dich-vu/viet-nam/so-huu-tri-tue/thuc-thi-quyen-shtt-tai-viet-na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2</cp:revision>
  <cp:lastPrinted>2024-04-24T02:54:00Z</cp:lastPrinted>
  <dcterms:created xsi:type="dcterms:W3CDTF">2024-07-12T09:48:00Z</dcterms:created>
  <dcterms:modified xsi:type="dcterms:W3CDTF">2024-07-12T09:48:00Z</dcterms:modified>
</cp:coreProperties>
</file>