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C3F6F" w14:textId="5EA12402" w:rsidR="00367E21" w:rsidRPr="00367E21" w:rsidRDefault="004D64BC" w:rsidP="00367E21">
      <w:pPr>
        <w:jc w:val="center"/>
        <w:outlineLvl w:val="0"/>
        <w:rPr>
          <w:rFonts w:ascii="Arial" w:hAnsi="Arial" w:cs="Arial"/>
          <w:b/>
          <w:iCs/>
          <w:color w:val="C00000"/>
          <w:sz w:val="24"/>
          <w:szCs w:val="24"/>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B8B1EA7" w:rsidR="00FA2CEE" w:rsidRPr="00BA68B8" w:rsidRDefault="0053264A" w:rsidP="00FA2CEE">
                            <w:pPr>
                              <w:spacing w:after="0" w:line="240" w:lineRule="auto"/>
                              <w:rPr>
                                <w:rFonts w:ascii="Arial" w:hAnsi="Arial" w:cs="Arial"/>
                                <w:b/>
                                <w:color w:val="FFFFFF" w:themeColor="background1"/>
                                <w:sz w:val="20"/>
                                <w:szCs w:val="20"/>
                              </w:rPr>
                            </w:pPr>
                            <w:r w:rsidRPr="0053264A">
                              <w:rPr>
                                <w:rFonts w:ascii="Arial" w:hAnsi="Arial" w:cs="Arial"/>
                                <w:b/>
                                <w:bCs/>
                                <w:color w:val="FFFFFF" w:themeColor="background1"/>
                                <w:sz w:val="20"/>
                                <w:szCs w:val="20"/>
                              </w:rPr>
                              <w:t>Combating IP Infringement Effectively</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B8B1EA7" w:rsidR="00FA2CEE" w:rsidRPr="00BA68B8" w:rsidRDefault="0053264A" w:rsidP="00FA2CEE">
                      <w:pPr>
                        <w:spacing w:after="0" w:line="240" w:lineRule="auto"/>
                        <w:rPr>
                          <w:rFonts w:ascii="Arial" w:hAnsi="Arial" w:cs="Arial"/>
                          <w:b/>
                          <w:color w:val="FFFFFF" w:themeColor="background1"/>
                          <w:sz w:val="20"/>
                          <w:szCs w:val="20"/>
                        </w:rPr>
                      </w:pPr>
                      <w:r w:rsidRPr="0053264A">
                        <w:rPr>
                          <w:rFonts w:ascii="Arial" w:hAnsi="Arial" w:cs="Arial"/>
                          <w:b/>
                          <w:bCs/>
                          <w:color w:val="FFFFFF" w:themeColor="background1"/>
                          <w:sz w:val="20"/>
                          <w:szCs w:val="20"/>
                        </w:rPr>
                        <w:t>Combating IP Infringement Effectively</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A9D1336" w:rsidR="00FA2CEE" w:rsidRPr="00CC7576" w:rsidRDefault="0053264A" w:rsidP="00FA2CEE">
                            <w:pPr>
                              <w:spacing w:after="0"/>
                              <w:jc w:val="center"/>
                              <w:rPr>
                                <w:rFonts w:ascii="Arial" w:hAnsi="Arial" w:cs="Arial"/>
                                <w:b/>
                                <w:color w:val="FFFFFF" w:themeColor="background1"/>
                                <w:sz w:val="20"/>
                                <w:szCs w:val="20"/>
                              </w:rPr>
                            </w:pPr>
                            <w:r w:rsidRPr="0053264A">
                              <w:rPr>
                                <w:rFonts w:ascii="Arial" w:hAnsi="Arial" w:cs="Arial"/>
                                <w:b/>
                                <w:bCs/>
                                <w:color w:val="FFFFFF" w:themeColor="background1"/>
                                <w:sz w:val="20"/>
                                <w:szCs w:val="20"/>
                              </w:rPr>
                              <w:t>Combating IP Infringement Effectively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A9D1336" w:rsidR="00FA2CEE" w:rsidRPr="00CC7576" w:rsidRDefault="0053264A" w:rsidP="00FA2CEE">
                      <w:pPr>
                        <w:spacing w:after="0"/>
                        <w:jc w:val="center"/>
                        <w:rPr>
                          <w:rFonts w:ascii="Arial" w:hAnsi="Arial" w:cs="Arial"/>
                          <w:b/>
                          <w:color w:val="FFFFFF" w:themeColor="background1"/>
                          <w:sz w:val="20"/>
                          <w:szCs w:val="20"/>
                        </w:rPr>
                      </w:pPr>
                      <w:r w:rsidRPr="0053264A">
                        <w:rPr>
                          <w:rFonts w:ascii="Arial" w:hAnsi="Arial" w:cs="Arial"/>
                          <w:b/>
                          <w:bCs/>
                          <w:color w:val="FFFFFF" w:themeColor="background1"/>
                          <w:sz w:val="20"/>
                          <w:szCs w:val="20"/>
                        </w:rPr>
                        <w:t>Combating IP Infringement Effectively</w:t>
                      </w:r>
                    </w:p>
                  </w:txbxContent>
                </v:textbox>
                <w10:wrap anchorx="page"/>
              </v:rect>
            </w:pict>
          </mc:Fallback>
        </mc:AlternateContent>
      </w:r>
      <w:r w:rsidR="00745E08" w:rsidRPr="00745E08">
        <w:rPr>
          <w:rFonts w:ascii="Arial" w:hAnsi="Arial" w:cs="Arial"/>
          <w:b/>
          <w:iCs/>
          <w:color w:val="C00000"/>
        </w:rPr>
        <w:t xml:space="preserve"> </w:t>
      </w:r>
      <w:r w:rsidR="00367E21" w:rsidRPr="00367E21">
        <w:rPr>
          <w:rFonts w:ascii="Arial" w:hAnsi="Arial" w:cs="Arial"/>
          <w:b/>
          <w:iCs/>
          <w:color w:val="C00000"/>
          <w:sz w:val="24"/>
          <w:szCs w:val="24"/>
        </w:rPr>
        <w:t>Combating IP Infringement Effectively: Why Multi-Form Protection is Essential in Vietnam</w:t>
      </w:r>
    </w:p>
    <w:p w14:paraId="5A3A5FB0" w14:textId="77777777" w:rsidR="00367E21" w:rsidRDefault="00367E21" w:rsidP="00367E21">
      <w:pPr>
        <w:spacing w:after="0" w:line="240" w:lineRule="auto"/>
        <w:jc w:val="both"/>
        <w:rPr>
          <w:rFonts w:ascii="Arial" w:hAnsi="Arial" w:cs="Arial"/>
          <w:sz w:val="20"/>
          <w:szCs w:val="20"/>
        </w:rPr>
      </w:pPr>
    </w:p>
    <w:p w14:paraId="0C75BF07" w14:textId="77777777" w:rsidR="00367E21" w:rsidRDefault="00367E21" w:rsidP="00367E21">
      <w:pPr>
        <w:spacing w:after="0" w:line="240" w:lineRule="auto"/>
        <w:jc w:val="both"/>
        <w:rPr>
          <w:rFonts w:ascii="Arial" w:hAnsi="Arial" w:cs="Arial"/>
          <w:sz w:val="20"/>
          <w:szCs w:val="20"/>
        </w:rPr>
      </w:pPr>
      <w:r w:rsidRPr="00A27489">
        <w:rPr>
          <w:rFonts w:ascii="Arial" w:hAnsi="Arial" w:cs="Arial"/>
          <w:sz w:val="20"/>
          <w:szCs w:val="20"/>
        </w:rPr>
        <w:t xml:space="preserve">A product may meet the conditions for protection under multiple forms of Intellectual Property (IP) rights, such as </w:t>
      </w:r>
      <w:hyperlink r:id="rId7" w:history="1">
        <w:r w:rsidRPr="00766BB0">
          <w:rPr>
            <w:rStyle w:val="Hyperlink"/>
            <w:rFonts w:ascii="Arial" w:hAnsi="Arial" w:cs="Arial"/>
            <w:sz w:val="20"/>
            <w:szCs w:val="20"/>
          </w:rPr>
          <w:t>Patents</w:t>
        </w:r>
      </w:hyperlink>
      <w:r w:rsidRPr="00A27489">
        <w:rPr>
          <w:rFonts w:ascii="Arial" w:hAnsi="Arial" w:cs="Arial"/>
          <w:sz w:val="20"/>
          <w:szCs w:val="20"/>
        </w:rPr>
        <w:t>, Industrial Designs, Trademarks, and Copyrights in Vietnam. Each form of IP protection has its own advantages and scope of protection.</w:t>
      </w:r>
    </w:p>
    <w:p w14:paraId="1C2E2C16" w14:textId="77777777" w:rsidR="00367E21" w:rsidRPr="00A27489" w:rsidRDefault="00367E21" w:rsidP="00367E21">
      <w:pPr>
        <w:spacing w:after="0" w:line="240" w:lineRule="auto"/>
        <w:jc w:val="both"/>
        <w:rPr>
          <w:rFonts w:ascii="Arial" w:hAnsi="Arial" w:cs="Arial"/>
          <w:sz w:val="20"/>
          <w:szCs w:val="20"/>
        </w:rPr>
      </w:pPr>
    </w:p>
    <w:p w14:paraId="325E18D7" w14:textId="77777777" w:rsidR="00367E21" w:rsidRPr="00A27489" w:rsidRDefault="00367E21" w:rsidP="00367E21">
      <w:pPr>
        <w:pStyle w:val="NormalWeb"/>
        <w:numPr>
          <w:ilvl w:val="0"/>
          <w:numId w:val="19"/>
        </w:numPr>
        <w:spacing w:before="0" w:beforeAutospacing="0" w:after="0" w:afterAutospacing="0"/>
        <w:ind w:left="360"/>
        <w:jc w:val="both"/>
        <w:rPr>
          <w:rFonts w:ascii="Arial" w:hAnsi="Arial" w:cs="Arial"/>
          <w:sz w:val="20"/>
          <w:szCs w:val="20"/>
        </w:rPr>
      </w:pPr>
      <w:r w:rsidRPr="00A27489">
        <w:rPr>
          <w:rStyle w:val="Strong"/>
          <w:rFonts w:ascii="Arial" w:hAnsi="Arial" w:cs="Arial"/>
          <w:sz w:val="20"/>
          <w:szCs w:val="20"/>
        </w:rPr>
        <w:t>Patents:</w:t>
      </w:r>
      <w:r w:rsidRPr="00A27489">
        <w:rPr>
          <w:rFonts w:ascii="Arial" w:hAnsi="Arial" w:cs="Arial"/>
          <w:sz w:val="20"/>
          <w:szCs w:val="20"/>
        </w:rPr>
        <w:t xml:space="preserve"> Protect the novel and inventive features and functionalities of a product.</w:t>
      </w:r>
    </w:p>
    <w:p w14:paraId="5EEBC991" w14:textId="77777777" w:rsidR="00367E21" w:rsidRPr="00A27489" w:rsidRDefault="00367E21" w:rsidP="00367E21">
      <w:pPr>
        <w:pStyle w:val="NormalWeb"/>
        <w:numPr>
          <w:ilvl w:val="0"/>
          <w:numId w:val="19"/>
        </w:numPr>
        <w:spacing w:before="0" w:beforeAutospacing="0" w:after="0" w:afterAutospacing="0"/>
        <w:ind w:left="360"/>
        <w:jc w:val="both"/>
        <w:rPr>
          <w:rFonts w:ascii="Arial" w:hAnsi="Arial" w:cs="Arial"/>
          <w:sz w:val="20"/>
          <w:szCs w:val="20"/>
        </w:rPr>
      </w:pPr>
      <w:r w:rsidRPr="00A27489">
        <w:rPr>
          <w:rStyle w:val="Strong"/>
          <w:rFonts w:ascii="Arial" w:hAnsi="Arial" w:cs="Arial"/>
          <w:sz w:val="20"/>
          <w:szCs w:val="20"/>
        </w:rPr>
        <w:t>Industrial Designs:</w:t>
      </w:r>
      <w:r w:rsidRPr="00A27489">
        <w:rPr>
          <w:rFonts w:ascii="Arial" w:hAnsi="Arial" w:cs="Arial"/>
          <w:sz w:val="20"/>
          <w:szCs w:val="20"/>
        </w:rPr>
        <w:t xml:space="preserve"> Protect the external appearance and aesthetic aspects of a product.</w:t>
      </w:r>
    </w:p>
    <w:p w14:paraId="16A0BB3C" w14:textId="77777777" w:rsidR="00367E21" w:rsidRPr="00A27489" w:rsidRDefault="00367E21" w:rsidP="00367E21">
      <w:pPr>
        <w:pStyle w:val="NormalWeb"/>
        <w:numPr>
          <w:ilvl w:val="0"/>
          <w:numId w:val="19"/>
        </w:numPr>
        <w:spacing w:before="0" w:beforeAutospacing="0" w:after="0" w:afterAutospacing="0"/>
        <w:ind w:left="360"/>
        <w:jc w:val="both"/>
        <w:rPr>
          <w:rFonts w:ascii="Arial" w:hAnsi="Arial" w:cs="Arial"/>
          <w:sz w:val="20"/>
          <w:szCs w:val="20"/>
        </w:rPr>
      </w:pPr>
      <w:r w:rsidRPr="00A27489">
        <w:rPr>
          <w:rStyle w:val="Strong"/>
          <w:rFonts w:ascii="Arial" w:hAnsi="Arial" w:cs="Arial"/>
          <w:sz w:val="20"/>
          <w:szCs w:val="20"/>
        </w:rPr>
        <w:t>Trademarks:</w:t>
      </w:r>
      <w:r w:rsidRPr="00A27489">
        <w:rPr>
          <w:rFonts w:ascii="Arial" w:hAnsi="Arial" w:cs="Arial"/>
          <w:sz w:val="20"/>
          <w:szCs w:val="20"/>
        </w:rPr>
        <w:t xml:space="preserve"> Protect logos, brands, and product names.</w:t>
      </w:r>
    </w:p>
    <w:p w14:paraId="2F3BB46E" w14:textId="77777777" w:rsidR="00367E21" w:rsidRPr="00A27489" w:rsidRDefault="00367E21" w:rsidP="00367E21">
      <w:pPr>
        <w:pStyle w:val="NormalWeb"/>
        <w:numPr>
          <w:ilvl w:val="0"/>
          <w:numId w:val="19"/>
        </w:numPr>
        <w:spacing w:before="0" w:beforeAutospacing="0" w:after="0" w:afterAutospacing="0"/>
        <w:ind w:left="360"/>
        <w:jc w:val="both"/>
        <w:rPr>
          <w:rFonts w:ascii="Arial" w:hAnsi="Arial" w:cs="Arial"/>
          <w:sz w:val="20"/>
          <w:szCs w:val="20"/>
        </w:rPr>
      </w:pPr>
      <w:r w:rsidRPr="00A27489">
        <w:rPr>
          <w:rStyle w:val="Strong"/>
          <w:rFonts w:ascii="Arial" w:hAnsi="Arial" w:cs="Arial"/>
          <w:sz w:val="20"/>
          <w:szCs w:val="20"/>
        </w:rPr>
        <w:t>Copyrights:</w:t>
      </w:r>
      <w:r w:rsidRPr="00A27489">
        <w:rPr>
          <w:rFonts w:ascii="Arial" w:hAnsi="Arial" w:cs="Arial"/>
          <w:sz w:val="20"/>
          <w:szCs w:val="20"/>
        </w:rPr>
        <w:t xml:space="preserve"> Protect creative, literary, and artistic elements embodied in a product (such as user manuals, software, and graphic designs).</w:t>
      </w:r>
      <w:bookmarkStart w:id="0" w:name="_GoBack"/>
      <w:bookmarkEnd w:id="0"/>
    </w:p>
    <w:p w14:paraId="2085AC51" w14:textId="77777777" w:rsidR="00367E21" w:rsidRDefault="00367E21" w:rsidP="00367E21">
      <w:pPr>
        <w:spacing w:after="0" w:line="240" w:lineRule="auto"/>
        <w:jc w:val="both"/>
        <w:rPr>
          <w:rFonts w:ascii="Arial" w:hAnsi="Arial" w:cs="Arial"/>
          <w:sz w:val="20"/>
          <w:szCs w:val="20"/>
        </w:rPr>
      </w:pPr>
    </w:p>
    <w:p w14:paraId="4330566C" w14:textId="77777777" w:rsidR="00367E21" w:rsidRPr="00A27489" w:rsidRDefault="00367E21" w:rsidP="00367E21">
      <w:pPr>
        <w:spacing w:after="0" w:line="240" w:lineRule="auto"/>
        <w:jc w:val="both"/>
        <w:rPr>
          <w:rFonts w:ascii="Arial" w:hAnsi="Arial" w:cs="Arial"/>
          <w:sz w:val="20"/>
          <w:szCs w:val="20"/>
        </w:rPr>
      </w:pPr>
      <w:r w:rsidRPr="00A27489">
        <w:rPr>
          <w:rFonts w:ascii="Arial" w:hAnsi="Arial" w:cs="Arial"/>
          <w:sz w:val="20"/>
          <w:szCs w:val="20"/>
        </w:rPr>
        <w:t xml:space="preserve">Utilizing a combination of intellectual property (IP) protection strategies can provide comprehensive safeguards for various aspects of a product. Therefore, in addition to filing for </w:t>
      </w:r>
      <w:r w:rsidRPr="00A27489">
        <w:rPr>
          <w:rFonts w:ascii="Arial" w:hAnsi="Arial" w:cs="Arial"/>
          <w:sz w:val="20"/>
          <w:szCs w:val="20"/>
          <w:u w:val="single"/>
        </w:rPr>
        <w:t>industrial design</w:t>
      </w:r>
      <w:r w:rsidRPr="00A27489">
        <w:rPr>
          <w:rFonts w:ascii="Arial" w:hAnsi="Arial" w:cs="Arial"/>
          <w:sz w:val="20"/>
          <w:szCs w:val="20"/>
        </w:rPr>
        <w:t xml:space="preserve"> protection for </w:t>
      </w:r>
      <w:r w:rsidRPr="00A27489">
        <w:rPr>
          <w:rFonts w:ascii="Arial" w:hAnsi="Arial" w:cs="Arial"/>
          <w:sz w:val="20"/>
          <w:szCs w:val="20"/>
          <w:u w:val="single"/>
        </w:rPr>
        <w:t>product packaging</w:t>
      </w:r>
      <w:r w:rsidRPr="00A27489">
        <w:rPr>
          <w:rFonts w:ascii="Arial" w:hAnsi="Arial" w:cs="Arial"/>
          <w:sz w:val="20"/>
          <w:szCs w:val="20"/>
        </w:rPr>
        <w:t xml:space="preserve">, businesses should also consider seeking additional protection for their products under other forms of IP, such as </w:t>
      </w:r>
      <w:r w:rsidRPr="00A27489">
        <w:rPr>
          <w:rFonts w:ascii="Arial" w:hAnsi="Arial" w:cs="Arial"/>
          <w:sz w:val="20"/>
          <w:szCs w:val="20"/>
          <w:u w:val="single"/>
        </w:rPr>
        <w:t>trademarks</w:t>
      </w:r>
      <w:r w:rsidRPr="00A27489">
        <w:rPr>
          <w:rFonts w:ascii="Arial" w:hAnsi="Arial" w:cs="Arial"/>
          <w:sz w:val="20"/>
          <w:szCs w:val="20"/>
        </w:rPr>
        <w:t xml:space="preserve">, </w:t>
      </w:r>
      <w:r w:rsidRPr="00A27489">
        <w:rPr>
          <w:rFonts w:ascii="Arial" w:hAnsi="Arial" w:cs="Arial"/>
          <w:sz w:val="20"/>
          <w:szCs w:val="20"/>
          <w:u w:val="single"/>
        </w:rPr>
        <w:t>patents</w:t>
      </w:r>
      <w:r w:rsidRPr="00A27489">
        <w:rPr>
          <w:rFonts w:ascii="Arial" w:hAnsi="Arial" w:cs="Arial"/>
          <w:sz w:val="20"/>
          <w:szCs w:val="20"/>
        </w:rPr>
        <w:t xml:space="preserve">, or </w:t>
      </w:r>
      <w:hyperlink r:id="rId8" w:history="1">
        <w:r w:rsidRPr="00B6583C">
          <w:rPr>
            <w:rStyle w:val="Hyperlink"/>
            <w:rFonts w:ascii="Arial" w:hAnsi="Arial" w:cs="Arial"/>
            <w:sz w:val="20"/>
            <w:szCs w:val="20"/>
          </w:rPr>
          <w:t>copyrights</w:t>
        </w:r>
      </w:hyperlink>
      <w:r w:rsidRPr="00A27489">
        <w:rPr>
          <w:rFonts w:ascii="Arial" w:hAnsi="Arial" w:cs="Arial"/>
          <w:sz w:val="20"/>
          <w:szCs w:val="20"/>
        </w:rPr>
        <w:t>. This approach establishes a robust legal framework to effectively combat IP infringement.</w:t>
      </w:r>
    </w:p>
    <w:p w14:paraId="30705383" w14:textId="77777777" w:rsidR="00367E21" w:rsidRPr="00A27489" w:rsidRDefault="00367E21" w:rsidP="00367E21">
      <w:pPr>
        <w:spacing w:after="0" w:line="240" w:lineRule="auto"/>
        <w:jc w:val="both"/>
        <w:rPr>
          <w:rFonts w:ascii="Arial" w:hAnsi="Arial" w:cs="Arial"/>
          <w:sz w:val="20"/>
          <w:szCs w:val="20"/>
        </w:rPr>
      </w:pPr>
    </w:p>
    <w:p w14:paraId="6040A01B" w14:textId="77777777" w:rsidR="00367E21" w:rsidRPr="00A27489" w:rsidRDefault="00367E21" w:rsidP="00367E21">
      <w:pPr>
        <w:spacing w:after="0" w:line="240" w:lineRule="auto"/>
        <w:jc w:val="both"/>
        <w:rPr>
          <w:rFonts w:ascii="Arial" w:hAnsi="Arial" w:cs="Arial"/>
          <w:sz w:val="20"/>
          <w:szCs w:val="20"/>
        </w:rPr>
      </w:pPr>
      <w:r w:rsidRPr="00A27489">
        <w:rPr>
          <w:rFonts w:ascii="Arial" w:hAnsi="Arial" w:cs="Arial"/>
          <w:sz w:val="20"/>
          <w:szCs w:val="20"/>
        </w:rPr>
        <w:t xml:space="preserve">Simultaneously registering trademarks, </w:t>
      </w:r>
      <w:hyperlink r:id="rId9" w:history="1">
        <w:r w:rsidRPr="00B6583C">
          <w:rPr>
            <w:rStyle w:val="Hyperlink"/>
            <w:rFonts w:ascii="Arial" w:hAnsi="Arial" w:cs="Arial"/>
            <w:sz w:val="20"/>
            <w:szCs w:val="20"/>
          </w:rPr>
          <w:t>industrial designs</w:t>
        </w:r>
      </w:hyperlink>
      <w:r w:rsidRPr="00A27489">
        <w:rPr>
          <w:rFonts w:ascii="Arial" w:hAnsi="Arial" w:cs="Arial"/>
          <w:sz w:val="20"/>
          <w:szCs w:val="20"/>
        </w:rPr>
        <w:t>, and even copyrights for "product packaging" not only protectes the product's visual and design elements but also empowers businesses to establish a robust legal arsenal against IP infringement. Combining the registration of these three IP types creates a broader legal basis to combat IP infringement and deter rivals from easily replicating products. In instances of product imitation or counterfeiting, businesses can leverage any or all of these three IP rights to seek remedies through Vietnamese enforcement agencies, including administrative measures (</w:t>
      </w:r>
      <w:r w:rsidRPr="00A27489">
        <w:rPr>
          <w:rFonts w:ascii="Arial" w:hAnsi="Arial" w:cs="Arial"/>
          <w:i/>
          <w:iCs/>
          <w:sz w:val="20"/>
          <w:szCs w:val="20"/>
        </w:rPr>
        <w:t>seizure of infringing products, destruction, administrative fines</w:t>
      </w:r>
      <w:r w:rsidRPr="00A27489">
        <w:rPr>
          <w:rFonts w:ascii="Arial" w:hAnsi="Arial" w:cs="Arial"/>
          <w:sz w:val="20"/>
          <w:szCs w:val="20"/>
        </w:rPr>
        <w:t>), civil actions (</w:t>
      </w:r>
      <w:r w:rsidRPr="00A27489">
        <w:rPr>
          <w:rFonts w:ascii="Arial" w:hAnsi="Arial" w:cs="Arial"/>
          <w:i/>
          <w:iCs/>
          <w:sz w:val="20"/>
          <w:szCs w:val="20"/>
        </w:rPr>
        <w:t>demanding infringers to cease infringement, issue apologies, make public rectifications, and pay damages</w:t>
      </w:r>
      <w:r w:rsidRPr="00A27489">
        <w:rPr>
          <w:rFonts w:ascii="Arial" w:hAnsi="Arial" w:cs="Arial"/>
          <w:sz w:val="20"/>
          <w:szCs w:val="20"/>
        </w:rPr>
        <w:t>), or even criminal prosecution.</w:t>
      </w:r>
    </w:p>
    <w:p w14:paraId="2A4B0BA5" w14:textId="77777777" w:rsidR="00367E21" w:rsidRPr="00A27489" w:rsidRDefault="00367E21" w:rsidP="00367E21">
      <w:pPr>
        <w:spacing w:after="0" w:line="240" w:lineRule="auto"/>
        <w:jc w:val="both"/>
        <w:rPr>
          <w:rFonts w:ascii="Arial" w:hAnsi="Arial" w:cs="Arial"/>
          <w:sz w:val="20"/>
          <w:szCs w:val="20"/>
        </w:rPr>
      </w:pPr>
    </w:p>
    <w:p w14:paraId="1C0A78A2" w14:textId="77777777" w:rsidR="00367E21" w:rsidRPr="00A27489" w:rsidRDefault="00367E21" w:rsidP="00367E21">
      <w:pPr>
        <w:spacing w:after="0" w:line="240" w:lineRule="auto"/>
        <w:jc w:val="both"/>
        <w:rPr>
          <w:rFonts w:ascii="Arial" w:hAnsi="Arial" w:cs="Arial"/>
          <w:sz w:val="20"/>
          <w:szCs w:val="20"/>
        </w:rPr>
      </w:pPr>
      <w:r w:rsidRPr="00A27489">
        <w:rPr>
          <w:rFonts w:ascii="Arial" w:hAnsi="Arial" w:cs="Arial"/>
          <w:sz w:val="20"/>
          <w:szCs w:val="20"/>
        </w:rPr>
        <w:t xml:space="preserve">Relying solely on a single protection form can expose businesses to risks, as certain product aspects may not be adequately protected. Additionally, the evaluation process for certain IP rights, such as </w:t>
      </w:r>
      <w:hyperlink r:id="rId10" w:history="1">
        <w:r w:rsidRPr="00B6583C">
          <w:rPr>
            <w:rStyle w:val="Hyperlink"/>
            <w:rFonts w:ascii="Arial" w:hAnsi="Arial" w:cs="Arial"/>
            <w:sz w:val="20"/>
            <w:szCs w:val="20"/>
          </w:rPr>
          <w:t>trademarks in Vietna</w:t>
        </w:r>
      </w:hyperlink>
      <w:r w:rsidRPr="00A27489">
        <w:rPr>
          <w:rFonts w:ascii="Arial" w:hAnsi="Arial" w:cs="Arial"/>
          <w:sz w:val="20"/>
          <w:szCs w:val="20"/>
        </w:rPr>
        <w:t>m, can be lengthy, taking 15 to 20 months. Employing a combination of protection strategies mitigates these risks and shields businesses from legal disputes. Combining various IP protection forms constitutes an effective strategy for comprehensive product protection, enhancing market competitiveness, attracting investments, and expanding business opportunities.</w:t>
      </w:r>
    </w:p>
    <w:p w14:paraId="58C2A176" w14:textId="77777777" w:rsidR="00367E21" w:rsidRPr="00A27489" w:rsidRDefault="00367E21" w:rsidP="00367E21">
      <w:pPr>
        <w:spacing w:after="0" w:line="240" w:lineRule="auto"/>
        <w:jc w:val="both"/>
        <w:rPr>
          <w:rFonts w:ascii="Arial" w:hAnsi="Arial" w:cs="Arial"/>
          <w:sz w:val="20"/>
          <w:szCs w:val="20"/>
        </w:rPr>
      </w:pPr>
    </w:p>
    <w:p w14:paraId="3DB91810" w14:textId="77777777" w:rsidR="00367E21" w:rsidRPr="00A27489" w:rsidRDefault="00367E21" w:rsidP="00367E21">
      <w:pPr>
        <w:spacing w:after="0" w:line="240" w:lineRule="auto"/>
        <w:jc w:val="both"/>
        <w:rPr>
          <w:rFonts w:ascii="Arial" w:eastAsia="Times New Roman" w:hAnsi="Arial" w:cs="Arial"/>
          <w:sz w:val="20"/>
          <w:szCs w:val="20"/>
        </w:rPr>
      </w:pPr>
      <w:r w:rsidRPr="00A27489">
        <w:rPr>
          <w:rFonts w:ascii="Arial" w:hAnsi="Arial" w:cs="Arial"/>
          <w:sz w:val="20"/>
          <w:szCs w:val="20"/>
        </w:rPr>
        <w:t>While registering for trademark protection under multiple IP forms may incur higher costs compared to a single registration, considering the numerous benefits, particularly in the face of rampant counterfeiting, seeking protection for products under multiple IP forms in Vietnam constitutes an effective intellectual property (IP) protection strategy.</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3A2E5BF0" w14:textId="268A8D70" w:rsidR="00367E21" w:rsidRPr="00367E21" w:rsidRDefault="00367E21" w:rsidP="00367E21">
      <w:pPr>
        <w:spacing w:after="0" w:line="240" w:lineRule="auto"/>
        <w:jc w:val="right"/>
        <w:rPr>
          <w:rFonts w:ascii="Arial" w:hAnsi="Arial" w:cs="Arial"/>
          <w:b/>
          <w:sz w:val="20"/>
          <w:szCs w:val="20"/>
        </w:rPr>
      </w:pPr>
      <w:hyperlink r:id="rId11" w:tgtFrame="_blank" w:history="1">
        <w:r w:rsidRPr="00367E21">
          <w:rPr>
            <w:rFonts w:ascii="Arial" w:hAnsi="Arial" w:cs="Arial"/>
            <w:b/>
            <w:sz w:val="20"/>
            <w:szCs w:val="20"/>
          </w:rPr>
          <w:t>QUAN, Nguyen Vu</w:t>
        </w:r>
      </w:hyperlink>
      <w:r w:rsidRPr="00367E21">
        <w:rPr>
          <w:rFonts w:ascii="Arial" w:hAnsi="Arial" w:cs="Arial"/>
          <w:b/>
          <w:sz w:val="20"/>
          <w:szCs w:val="20"/>
        </w:rPr>
        <w:t> | Partner, IP Attorney</w:t>
      </w:r>
    </w:p>
    <w:p w14:paraId="1F89E234" w14:textId="015222EA" w:rsidR="00367E21" w:rsidRPr="00367E21" w:rsidRDefault="00866FDF" w:rsidP="00367E21">
      <w:pPr>
        <w:spacing w:after="0" w:line="240" w:lineRule="auto"/>
        <w:jc w:val="right"/>
        <w:rPr>
          <w:rFonts w:ascii="Arial" w:hAnsi="Arial" w:cs="Arial"/>
          <w:b/>
          <w:sz w:val="20"/>
          <w:szCs w:val="20"/>
        </w:rPr>
      </w:pPr>
      <w:hyperlink r:id="rId12" w:history="1">
        <w:r w:rsidR="00367E21" w:rsidRPr="00866FDF">
          <w:rPr>
            <w:rStyle w:val="Hyperlink"/>
            <w:rFonts w:ascii="Arial" w:hAnsi="Arial" w:cs="Arial"/>
            <w:b/>
            <w:color w:val="000000" w:themeColor="text1"/>
            <w:sz w:val="20"/>
            <w:szCs w:val="20"/>
            <w:u w:val="none"/>
          </w:rPr>
          <w:t>Uyen</w:t>
        </w:r>
        <w:r w:rsidRPr="00866FDF">
          <w:rPr>
            <w:rStyle w:val="Hyperlink"/>
            <w:rFonts w:ascii="Arial" w:hAnsi="Arial" w:cs="Arial"/>
            <w:b/>
            <w:color w:val="000000" w:themeColor="text1"/>
            <w:sz w:val="20"/>
            <w:szCs w:val="20"/>
            <w:u w:val="none"/>
          </w:rPr>
          <w:t>, Vu Thi Thu</w:t>
        </w:r>
      </w:hyperlink>
      <w:r w:rsidR="00367E21" w:rsidRPr="00367E21">
        <w:rPr>
          <w:rFonts w:ascii="Arial" w:hAnsi="Arial" w:cs="Arial"/>
          <w:b/>
          <w:sz w:val="20"/>
          <w:szCs w:val="20"/>
        </w:rPr>
        <w:t xml:space="preserve">| </w:t>
      </w:r>
      <w:r w:rsidRPr="00866FDF">
        <w:rPr>
          <w:rFonts w:ascii="Arial" w:hAnsi="Arial" w:cs="Arial"/>
          <w:b/>
          <w:sz w:val="20"/>
          <w:szCs w:val="20"/>
        </w:rPr>
        <w:t>Associate</w:t>
      </w:r>
    </w:p>
    <w:p w14:paraId="32A43426" w14:textId="77777777" w:rsidR="00367E21" w:rsidRPr="00D03044" w:rsidRDefault="00367E21" w:rsidP="0002156E">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8"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E/hg9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9636C" w14:textId="77777777" w:rsidR="00625826" w:rsidRDefault="00625826">
      <w:pPr>
        <w:spacing w:after="0" w:line="240" w:lineRule="auto"/>
      </w:pPr>
      <w:r>
        <w:separator/>
      </w:r>
    </w:p>
  </w:endnote>
  <w:endnote w:type="continuationSeparator" w:id="0">
    <w:p w14:paraId="78A75574" w14:textId="77777777" w:rsidR="00625826" w:rsidRDefault="0062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2582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25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46F36" w14:textId="77777777" w:rsidR="00625826" w:rsidRDefault="00625826">
      <w:pPr>
        <w:spacing w:after="0" w:line="240" w:lineRule="auto"/>
      </w:pPr>
      <w:r>
        <w:separator/>
      </w:r>
    </w:p>
  </w:footnote>
  <w:footnote w:type="continuationSeparator" w:id="0">
    <w:p w14:paraId="7A1942F0" w14:textId="77777777" w:rsidR="00625826" w:rsidRDefault="00625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A2D75"/>
    <w:multiLevelType w:val="hybridMultilevel"/>
    <w:tmpl w:val="4A96D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0"/>
  </w:num>
  <w:num w:numId="4">
    <w:abstractNumId w:val="15"/>
  </w:num>
  <w:num w:numId="5">
    <w:abstractNumId w:val="12"/>
  </w:num>
  <w:num w:numId="6">
    <w:abstractNumId w:val="0"/>
  </w:num>
  <w:num w:numId="7">
    <w:abstractNumId w:val="4"/>
  </w:num>
  <w:num w:numId="8">
    <w:abstractNumId w:val="16"/>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7"/>
  </w:num>
  <w:num w:numId="16">
    <w:abstractNumId w:val="17"/>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67E21"/>
    <w:rsid w:val="003756D4"/>
    <w:rsid w:val="003D7C8C"/>
    <w:rsid w:val="003E03BE"/>
    <w:rsid w:val="004A1761"/>
    <w:rsid w:val="004D64BC"/>
    <w:rsid w:val="00531173"/>
    <w:rsid w:val="0053264A"/>
    <w:rsid w:val="00576438"/>
    <w:rsid w:val="005D32F9"/>
    <w:rsid w:val="00625826"/>
    <w:rsid w:val="00631122"/>
    <w:rsid w:val="00675D62"/>
    <w:rsid w:val="006C0389"/>
    <w:rsid w:val="006F1BC0"/>
    <w:rsid w:val="007375E8"/>
    <w:rsid w:val="00745E08"/>
    <w:rsid w:val="007730A1"/>
    <w:rsid w:val="007C392A"/>
    <w:rsid w:val="00813493"/>
    <w:rsid w:val="00820E66"/>
    <w:rsid w:val="008366D4"/>
    <w:rsid w:val="008416E5"/>
    <w:rsid w:val="00866FDF"/>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97457">
      <w:bodyDiv w:val="1"/>
      <w:marLeft w:val="0"/>
      <w:marRight w:val="0"/>
      <w:marTop w:val="0"/>
      <w:marBottom w:val="0"/>
      <w:divBdr>
        <w:top w:val="none" w:sz="0" w:space="0" w:color="auto"/>
        <w:left w:val="none" w:sz="0" w:space="0" w:color="auto"/>
        <w:bottom w:val="none" w:sz="0" w:space="0" w:color="auto"/>
        <w:right w:val="none" w:sz="0" w:space="0" w:color="auto"/>
      </w:divBdr>
      <w:divsChild>
        <w:div w:id="1338191988">
          <w:marLeft w:val="0"/>
          <w:marRight w:val="0"/>
          <w:marTop w:val="0"/>
          <w:marBottom w:val="525"/>
          <w:divBdr>
            <w:top w:val="none" w:sz="0" w:space="0" w:color="auto"/>
            <w:left w:val="none" w:sz="0" w:space="0" w:color="auto"/>
            <w:bottom w:val="none" w:sz="0" w:space="0" w:color="auto"/>
            <w:right w:val="none" w:sz="0" w:space="0" w:color="auto"/>
          </w:divBdr>
          <w:divsChild>
            <w:div w:id="2092113877">
              <w:marLeft w:val="0"/>
              <w:marRight w:val="0"/>
              <w:marTop w:val="0"/>
              <w:marBottom w:val="0"/>
              <w:divBdr>
                <w:top w:val="none" w:sz="0" w:space="0" w:color="auto"/>
                <w:left w:val="none" w:sz="0" w:space="0" w:color="auto"/>
                <w:bottom w:val="none" w:sz="0" w:space="0" w:color="auto"/>
                <w:right w:val="none" w:sz="0" w:space="0" w:color="auto"/>
              </w:divBdr>
            </w:div>
          </w:divsChild>
        </w:div>
        <w:div w:id="356540774">
          <w:marLeft w:val="0"/>
          <w:marRight w:val="0"/>
          <w:marTop w:val="0"/>
          <w:marBottom w:val="525"/>
          <w:divBdr>
            <w:top w:val="none" w:sz="0" w:space="0" w:color="auto"/>
            <w:left w:val="none" w:sz="0" w:space="0" w:color="auto"/>
            <w:bottom w:val="none" w:sz="0" w:space="0" w:color="auto"/>
            <w:right w:val="none" w:sz="0" w:space="0" w:color="auto"/>
          </w:divBdr>
          <w:divsChild>
            <w:div w:id="1770396227">
              <w:marLeft w:val="0"/>
              <w:marRight w:val="0"/>
              <w:marTop w:val="0"/>
              <w:marBottom w:val="0"/>
              <w:divBdr>
                <w:top w:val="none" w:sz="0" w:space="0" w:color="auto"/>
                <w:left w:val="none" w:sz="0" w:space="0" w:color="auto"/>
                <w:bottom w:val="none" w:sz="0" w:space="0" w:color="auto"/>
                <w:right w:val="none" w:sz="0" w:space="0" w:color="auto"/>
              </w:divBdr>
            </w:div>
          </w:divsChild>
        </w:div>
        <w:div w:id="1581981739">
          <w:marLeft w:val="0"/>
          <w:marRight w:val="0"/>
          <w:marTop w:val="0"/>
          <w:marBottom w:val="525"/>
          <w:divBdr>
            <w:top w:val="none" w:sz="0" w:space="0" w:color="auto"/>
            <w:left w:val="none" w:sz="0" w:space="0" w:color="auto"/>
            <w:bottom w:val="none" w:sz="0" w:space="0" w:color="auto"/>
            <w:right w:val="none" w:sz="0" w:space="0" w:color="auto"/>
          </w:divBdr>
          <w:divsChild>
            <w:div w:id="7639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3433">
      <w:bodyDiv w:val="1"/>
      <w:marLeft w:val="0"/>
      <w:marRight w:val="0"/>
      <w:marTop w:val="0"/>
      <w:marBottom w:val="0"/>
      <w:divBdr>
        <w:top w:val="none" w:sz="0" w:space="0" w:color="auto"/>
        <w:left w:val="none" w:sz="0" w:space="0" w:color="auto"/>
        <w:bottom w:val="none" w:sz="0" w:space="0" w:color="auto"/>
        <w:right w:val="none" w:sz="0" w:space="0" w:color="auto"/>
      </w:divBdr>
      <w:divsChild>
        <w:div w:id="888541460">
          <w:marLeft w:val="0"/>
          <w:marRight w:val="0"/>
          <w:marTop w:val="0"/>
          <w:marBottom w:val="525"/>
          <w:divBdr>
            <w:top w:val="none" w:sz="0" w:space="0" w:color="auto"/>
            <w:left w:val="none" w:sz="0" w:space="0" w:color="auto"/>
            <w:bottom w:val="none" w:sz="0" w:space="0" w:color="auto"/>
            <w:right w:val="none" w:sz="0" w:space="0" w:color="auto"/>
          </w:divBdr>
          <w:divsChild>
            <w:div w:id="532964901">
              <w:marLeft w:val="0"/>
              <w:marRight w:val="0"/>
              <w:marTop w:val="0"/>
              <w:marBottom w:val="0"/>
              <w:divBdr>
                <w:top w:val="none" w:sz="0" w:space="0" w:color="auto"/>
                <w:left w:val="none" w:sz="0" w:space="0" w:color="auto"/>
                <w:bottom w:val="none" w:sz="0" w:space="0" w:color="auto"/>
                <w:right w:val="none" w:sz="0" w:space="0" w:color="auto"/>
              </w:divBdr>
            </w:div>
          </w:divsChild>
        </w:div>
        <w:div w:id="1894079620">
          <w:marLeft w:val="0"/>
          <w:marRight w:val="0"/>
          <w:marTop w:val="0"/>
          <w:marBottom w:val="525"/>
          <w:divBdr>
            <w:top w:val="none" w:sz="0" w:space="0" w:color="auto"/>
            <w:left w:val="none" w:sz="0" w:space="0" w:color="auto"/>
            <w:bottom w:val="none" w:sz="0" w:space="0" w:color="auto"/>
            <w:right w:val="none" w:sz="0" w:space="0" w:color="auto"/>
          </w:divBdr>
          <w:divsChild>
            <w:div w:id="713313271">
              <w:marLeft w:val="0"/>
              <w:marRight w:val="0"/>
              <w:marTop w:val="0"/>
              <w:marBottom w:val="0"/>
              <w:divBdr>
                <w:top w:val="none" w:sz="0" w:space="0" w:color="auto"/>
                <w:left w:val="none" w:sz="0" w:space="0" w:color="auto"/>
                <w:bottom w:val="none" w:sz="0" w:space="0" w:color="auto"/>
                <w:right w:val="none" w:sz="0" w:space="0" w:color="auto"/>
              </w:divBdr>
            </w:div>
          </w:divsChild>
        </w:div>
        <w:div w:id="85855242">
          <w:marLeft w:val="0"/>
          <w:marRight w:val="0"/>
          <w:marTop w:val="0"/>
          <w:marBottom w:val="525"/>
          <w:divBdr>
            <w:top w:val="none" w:sz="0" w:space="0" w:color="auto"/>
            <w:left w:val="none" w:sz="0" w:space="0" w:color="auto"/>
            <w:bottom w:val="none" w:sz="0" w:space="0" w:color="auto"/>
            <w:right w:val="none" w:sz="0" w:space="0" w:color="auto"/>
          </w:divBdr>
          <w:divsChild>
            <w:div w:id="13583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6-benefits-of-registering-a-work-for-copyright-protection-in-vietnam-why-should-a-work-be-registered-with-copyright-office-of-vietn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faq-about-ip-rights/faq-about-ip-rights-in-vietnam/vietnam-patent-faq" TargetMode="External"/><Relationship Id="rId12" Type="http://schemas.openxmlformats.org/officeDocument/2006/relationships/hyperlink" Target="https://kenfoxlaw.com/professional_item/ms-vu-thi-thu-uy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professional_item/mr-nguyen-vu-qu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trademark-registration-in-vietnam-what-you-need-to-know" TargetMode="External"/><Relationship Id="rId4" Type="http://schemas.openxmlformats.org/officeDocument/2006/relationships/webSettings" Target="webSettings.xml"/><Relationship Id="rId9" Type="http://schemas.openxmlformats.org/officeDocument/2006/relationships/hyperlink" Target="https://kenfoxlaw.com/registering-industrial-designs-in-vietnam-6-mistakes-to-avoid-and-secrets-to-successful-registra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2024-07-08T02:46:00Z</dcterms:modified>
</cp:coreProperties>
</file>