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4553A" w14:textId="267885CC" w:rsidR="00E72B74" w:rsidRPr="00E72B74" w:rsidRDefault="004D64BC" w:rsidP="00E72B74">
      <w:pPr>
        <w:jc w:val="center"/>
        <w:outlineLvl w:val="0"/>
        <w:rPr>
          <w:rFonts w:ascii="Arial" w:hAnsi="Arial" w:cs="Arial"/>
          <w:b/>
          <w:iCs/>
          <w:color w:val="C00000"/>
          <w:sz w:val="24"/>
          <w:szCs w:val="24"/>
        </w:rPr>
      </w:pPr>
      <w:bookmarkStart w:id="0" w:name="_GoBack"/>
      <w:r w:rsidRPr="00E72B74">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4DFF59E9" w:rsidR="00FA2CEE" w:rsidRPr="00BA68B8" w:rsidRDefault="009647E8" w:rsidP="00FA2CEE">
                            <w:pPr>
                              <w:spacing w:after="0" w:line="240" w:lineRule="auto"/>
                              <w:rPr>
                                <w:rFonts w:ascii="Arial" w:hAnsi="Arial" w:cs="Arial"/>
                                <w:b/>
                                <w:color w:val="FFFFFF" w:themeColor="background1"/>
                                <w:sz w:val="20"/>
                                <w:szCs w:val="20"/>
                              </w:rPr>
                            </w:pPr>
                            <w:r>
                              <w:rPr>
                                <w:rFonts w:ascii="Arial" w:hAnsi="Arial" w:cs="Arial"/>
                                <w:b/>
                                <w:bCs/>
                                <w:color w:val="FFFFFF" w:themeColor="background1"/>
                                <w:sz w:val="20"/>
                                <w:szCs w:val="20"/>
                              </w:rPr>
                              <w:t>C</w:t>
                            </w:r>
                            <w:r w:rsidRPr="009647E8">
                              <w:rPr>
                                <w:rFonts w:ascii="Arial" w:hAnsi="Arial" w:cs="Arial"/>
                                <w:b/>
                                <w:bCs/>
                                <w:color w:val="FFFFFF" w:themeColor="background1"/>
                                <w:sz w:val="20"/>
                                <w:szCs w:val="20"/>
                              </w:rPr>
                              <w:t>hứng minh người nộp đơn đã "biết hoặc có cơ sở để biết" về nhãn hiệu</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4DFF59E9" w:rsidR="00FA2CEE" w:rsidRPr="00BA68B8" w:rsidRDefault="009647E8" w:rsidP="00FA2CEE">
                      <w:pPr>
                        <w:spacing w:after="0" w:line="240" w:lineRule="auto"/>
                        <w:rPr>
                          <w:rFonts w:ascii="Arial" w:hAnsi="Arial" w:cs="Arial"/>
                          <w:b/>
                          <w:color w:val="FFFFFF" w:themeColor="background1"/>
                          <w:sz w:val="20"/>
                          <w:szCs w:val="20"/>
                        </w:rPr>
                      </w:pPr>
                      <w:r>
                        <w:rPr>
                          <w:rFonts w:ascii="Arial" w:hAnsi="Arial" w:cs="Arial"/>
                          <w:b/>
                          <w:bCs/>
                          <w:color w:val="FFFFFF" w:themeColor="background1"/>
                          <w:sz w:val="20"/>
                          <w:szCs w:val="20"/>
                        </w:rPr>
                        <w:t>C</w:t>
                      </w:r>
                      <w:r w:rsidRPr="009647E8">
                        <w:rPr>
                          <w:rFonts w:ascii="Arial" w:hAnsi="Arial" w:cs="Arial"/>
                          <w:b/>
                          <w:bCs/>
                          <w:color w:val="FFFFFF" w:themeColor="background1"/>
                          <w:sz w:val="20"/>
                          <w:szCs w:val="20"/>
                        </w:rPr>
                        <w:t>hứng minh người nộp đơn đã "biết hoặc có cơ sở để biết" về nhãn hiệu</w:t>
                      </w:r>
                    </w:p>
                  </w:txbxContent>
                </v:textbox>
              </v:rect>
            </w:pict>
          </mc:Fallback>
        </mc:AlternateContent>
      </w:r>
      <w:r w:rsidR="00745E08" w:rsidRPr="00E72B74">
        <w:rPr>
          <w:rFonts w:ascii="Arial" w:hAnsi="Arial" w:cs="Arial"/>
          <w:b/>
          <w:bCs/>
          <w:noProof/>
          <w:color w:val="C00000"/>
          <w:sz w:val="24"/>
          <w:szCs w:val="24"/>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059B15A2" w:rsidR="00FA2CEE" w:rsidRPr="00CC7576" w:rsidRDefault="009647E8" w:rsidP="00FA2CEE">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C</w:t>
                            </w:r>
                            <w:r w:rsidRPr="009647E8">
                              <w:rPr>
                                <w:rFonts w:ascii="Arial" w:hAnsi="Arial" w:cs="Arial"/>
                                <w:b/>
                                <w:bCs/>
                                <w:color w:val="FFFFFF" w:themeColor="background1"/>
                                <w:sz w:val="20"/>
                                <w:szCs w:val="20"/>
                              </w:rPr>
                              <w:t>hứng minh người nộp đơn đã "biết hoặc có cơ sở để biết" về nhãn hiệu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059B15A2" w:rsidR="00FA2CEE" w:rsidRPr="00CC7576" w:rsidRDefault="009647E8" w:rsidP="00FA2CEE">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C</w:t>
                      </w:r>
                      <w:r w:rsidRPr="009647E8">
                        <w:rPr>
                          <w:rFonts w:ascii="Arial" w:hAnsi="Arial" w:cs="Arial"/>
                          <w:b/>
                          <w:bCs/>
                          <w:color w:val="FFFFFF" w:themeColor="background1"/>
                          <w:sz w:val="20"/>
                          <w:szCs w:val="20"/>
                        </w:rPr>
                        <w:t>hứng minh người nộp đơn đã "biết hoặc có cơ sở để biết" về nhãn hiệu</w:t>
                      </w:r>
                    </w:p>
                  </w:txbxContent>
                </v:textbox>
                <w10:wrap anchorx="page"/>
              </v:rect>
            </w:pict>
          </mc:Fallback>
        </mc:AlternateContent>
      </w:r>
      <w:r w:rsidR="00E72B74" w:rsidRPr="00E72B74">
        <w:rPr>
          <w:rFonts w:ascii="Arial" w:hAnsi="Arial" w:cs="Arial"/>
          <w:b/>
          <w:iCs/>
          <w:color w:val="C00000"/>
          <w:sz w:val="24"/>
          <w:szCs w:val="24"/>
        </w:rPr>
        <w:t>Chứng minh người nộp đơn “biết” hoặc “có cơ sở để biết” trong các vụ việc đăng ký nhãn hiệu với dụng ý xấu như thế nào</w:t>
      </w:r>
      <w:bookmarkEnd w:id="0"/>
      <w:r w:rsidR="00E72B74" w:rsidRPr="00E72B74">
        <w:rPr>
          <w:rFonts w:ascii="Arial" w:hAnsi="Arial" w:cs="Arial"/>
          <w:b/>
          <w:iCs/>
          <w:color w:val="C00000"/>
          <w:sz w:val="24"/>
          <w:szCs w:val="24"/>
        </w:rPr>
        <w:t>?</w:t>
      </w:r>
    </w:p>
    <w:p w14:paraId="6B164C4A" w14:textId="77777777" w:rsidR="00E72B74" w:rsidRPr="00D45021" w:rsidRDefault="00E72B74" w:rsidP="00E72B74">
      <w:pPr>
        <w:spacing w:after="0" w:line="240" w:lineRule="auto"/>
        <w:jc w:val="both"/>
        <w:rPr>
          <w:rFonts w:ascii="Arial" w:hAnsi="Arial" w:cs="Arial"/>
          <w:sz w:val="20"/>
          <w:szCs w:val="20"/>
        </w:rPr>
      </w:pPr>
    </w:p>
    <w:p w14:paraId="517991E4" w14:textId="77777777" w:rsidR="00E72B74" w:rsidRPr="00D45021" w:rsidRDefault="00E72B74" w:rsidP="00E72B74">
      <w:pPr>
        <w:spacing w:after="0" w:line="240" w:lineRule="auto"/>
        <w:jc w:val="both"/>
        <w:rPr>
          <w:rFonts w:ascii="Arial" w:hAnsi="Arial" w:cs="Arial"/>
          <w:i/>
          <w:iCs/>
          <w:sz w:val="20"/>
          <w:szCs w:val="20"/>
        </w:rPr>
      </w:pPr>
      <w:r w:rsidRPr="00D45021">
        <w:rPr>
          <w:rFonts w:ascii="Arial" w:hAnsi="Arial" w:cs="Arial"/>
          <w:i/>
          <w:iCs/>
          <w:sz w:val="20"/>
          <w:szCs w:val="20"/>
        </w:rPr>
        <w:t xml:space="preserve">Việc chứng minh người nộp đơn đăng ký nhãn hiệu đã "biết” hoặc “có cơ sở để biết" đến nhãn hiệu của chủ sở hữu nhãn hiệu đích thực theo quy định tại Điều 34.2 Thông tư 23/2023/TT-BKHCN trong trường hợp nộp đơn có dụng ý xấu là không đơn giản. Pháp luật về Sở hữu Trí tuệ của Việt Nam </w:t>
      </w:r>
      <w:r>
        <w:rPr>
          <w:rFonts w:ascii="Arial" w:hAnsi="Arial" w:cs="Arial"/>
          <w:i/>
          <w:iCs/>
          <w:sz w:val="20"/>
          <w:szCs w:val="20"/>
        </w:rPr>
        <w:t>không</w:t>
      </w:r>
      <w:r w:rsidRPr="00D45021">
        <w:rPr>
          <w:rFonts w:ascii="Arial" w:hAnsi="Arial" w:cs="Arial"/>
          <w:i/>
          <w:iCs/>
          <w:sz w:val="20"/>
          <w:szCs w:val="20"/>
        </w:rPr>
        <w:t xml:space="preserve"> thiết lập các quy định cụ thể về các tài liệu cần cung cấp cho mục đích chứng minh. Tuy nhiên, trên cơ sở các vụ tranh chấp nhãn hiệu được đăng ký với “dụng ý xấu” đã được xử lý, KENFOX IP &amp; Law Office, cung cấp một cách tổng quan về các tài liệu, bằng chứng cần thiết giúp chủ nhãn hiệu đích thực chứng minh người nộp đơn đã "biết hoặc có cơ sở để biết" </w:t>
      </w:r>
      <w:r>
        <w:rPr>
          <w:rFonts w:ascii="Arial" w:hAnsi="Arial" w:cs="Arial"/>
          <w:i/>
          <w:iCs/>
          <w:sz w:val="20"/>
          <w:szCs w:val="20"/>
        </w:rPr>
        <w:t>về</w:t>
      </w:r>
      <w:r w:rsidRPr="00D45021">
        <w:rPr>
          <w:rFonts w:ascii="Arial" w:hAnsi="Arial" w:cs="Arial"/>
          <w:i/>
          <w:iCs/>
          <w:sz w:val="20"/>
          <w:szCs w:val="20"/>
        </w:rPr>
        <w:t xml:space="preserve"> nhãn hiệu </w:t>
      </w:r>
      <w:r>
        <w:rPr>
          <w:rFonts w:ascii="Arial" w:hAnsi="Arial" w:cs="Arial"/>
          <w:i/>
          <w:iCs/>
          <w:sz w:val="20"/>
          <w:szCs w:val="20"/>
        </w:rPr>
        <w:t xml:space="preserve">đó </w:t>
      </w:r>
      <w:r w:rsidRPr="00D45021">
        <w:rPr>
          <w:rFonts w:ascii="Arial" w:hAnsi="Arial" w:cs="Arial"/>
          <w:i/>
          <w:iCs/>
          <w:sz w:val="20"/>
          <w:szCs w:val="20"/>
        </w:rPr>
        <w:t>trước khi nộp đơn đăng ký tại Việt Nam.</w:t>
      </w:r>
    </w:p>
    <w:p w14:paraId="3FDEBDF5" w14:textId="77777777" w:rsidR="00E72B74" w:rsidRPr="00D45021" w:rsidRDefault="00E72B74" w:rsidP="00E72B74">
      <w:pPr>
        <w:spacing w:after="0" w:line="240" w:lineRule="auto"/>
        <w:jc w:val="both"/>
        <w:rPr>
          <w:rFonts w:ascii="Arial" w:hAnsi="Arial" w:cs="Arial"/>
          <w:sz w:val="20"/>
          <w:szCs w:val="20"/>
        </w:rPr>
      </w:pPr>
    </w:p>
    <w:p w14:paraId="5F2A2995" w14:textId="77777777" w:rsidR="00E72B74" w:rsidRPr="002A6D8A" w:rsidRDefault="00E72B74" w:rsidP="00E72B74">
      <w:pPr>
        <w:spacing w:after="0" w:line="240" w:lineRule="auto"/>
        <w:jc w:val="both"/>
        <w:rPr>
          <w:rFonts w:ascii="Arial" w:hAnsi="Arial" w:cs="Arial"/>
          <w:b/>
          <w:bCs/>
          <w:color w:val="2F5496" w:themeColor="accent1" w:themeShade="BF"/>
        </w:rPr>
      </w:pPr>
      <w:r w:rsidRPr="002A6D8A">
        <w:rPr>
          <w:rFonts w:ascii="Arial" w:hAnsi="Arial" w:cs="Arial"/>
          <w:b/>
          <w:bCs/>
          <w:color w:val="2F5496" w:themeColor="accent1" w:themeShade="BF"/>
        </w:rPr>
        <w:t>1. Danh tiếng hoặc sử dụng rộng rãi nhãn hiệu</w:t>
      </w:r>
    </w:p>
    <w:p w14:paraId="6F8A2134" w14:textId="77777777" w:rsidR="00E72B74" w:rsidRPr="00D45021" w:rsidRDefault="00E72B74" w:rsidP="00E72B74">
      <w:pPr>
        <w:spacing w:after="0" w:line="240" w:lineRule="auto"/>
        <w:jc w:val="both"/>
        <w:rPr>
          <w:rFonts w:ascii="Arial" w:hAnsi="Arial" w:cs="Arial"/>
          <w:sz w:val="20"/>
          <w:szCs w:val="20"/>
        </w:rPr>
      </w:pPr>
    </w:p>
    <w:p w14:paraId="2128AD32" w14:textId="77777777" w:rsidR="00E72B74" w:rsidRPr="00D45021" w:rsidRDefault="00E72B74" w:rsidP="00E72B74">
      <w:pPr>
        <w:spacing w:after="0" w:line="240" w:lineRule="auto"/>
        <w:jc w:val="both"/>
        <w:rPr>
          <w:rFonts w:ascii="Arial" w:hAnsi="Arial" w:cs="Arial"/>
          <w:sz w:val="20"/>
          <w:szCs w:val="20"/>
        </w:rPr>
      </w:pPr>
      <w:r w:rsidRPr="00D45021">
        <w:rPr>
          <w:rFonts w:ascii="Arial" w:hAnsi="Arial" w:cs="Arial"/>
          <w:sz w:val="20"/>
          <w:szCs w:val="20"/>
        </w:rPr>
        <w:t>Những tài liệu này nhằm minh rằng nhãn hiệu đã được công chúng nhận diện, được tiếp thị tích cực và được công nhận rộng rãi, giúp cho việc giả định rằng bất kỳ ai trong lĩnh vực liên quan hoặc thậm chí là công chúng nói chung</w:t>
      </w:r>
      <w:r>
        <w:rPr>
          <w:rFonts w:ascii="Arial" w:hAnsi="Arial" w:cs="Arial"/>
          <w:sz w:val="20"/>
          <w:szCs w:val="20"/>
        </w:rPr>
        <w:t xml:space="preserve"> - </w:t>
      </w:r>
      <w:r w:rsidRPr="00D45021">
        <w:rPr>
          <w:rFonts w:ascii="Arial" w:hAnsi="Arial" w:cs="Arial"/>
          <w:sz w:val="20"/>
          <w:szCs w:val="20"/>
        </w:rPr>
        <w:t>có thể đã biết đến nhãn hiệu là hợp lý. Do đó, người nộp đơn không thể không biết về sự tồn tại của nhãn hiệu trước khi nộp đơn tại Việt Nam. Các tài liệu cần cung cấp như sau:</w:t>
      </w:r>
    </w:p>
    <w:p w14:paraId="308920D2" w14:textId="77777777" w:rsidR="00E72B74" w:rsidRPr="00D45021" w:rsidRDefault="00E72B74" w:rsidP="00E72B74">
      <w:pPr>
        <w:spacing w:after="0" w:line="240" w:lineRule="auto"/>
        <w:jc w:val="both"/>
        <w:rPr>
          <w:rFonts w:ascii="Arial" w:hAnsi="Arial" w:cs="Arial"/>
          <w:sz w:val="20"/>
          <w:szCs w:val="20"/>
        </w:rPr>
      </w:pPr>
    </w:p>
    <w:p w14:paraId="17BCE0F9" w14:textId="77777777" w:rsidR="00E72B74" w:rsidRPr="00D45021" w:rsidRDefault="00E72B74" w:rsidP="00E72B74">
      <w:pPr>
        <w:pStyle w:val="ListParagraph"/>
        <w:numPr>
          <w:ilvl w:val="0"/>
          <w:numId w:val="19"/>
        </w:numPr>
        <w:spacing w:after="0" w:line="240" w:lineRule="auto"/>
        <w:ind w:left="270" w:hanging="270"/>
        <w:jc w:val="both"/>
        <w:rPr>
          <w:rFonts w:ascii="Arial" w:hAnsi="Arial" w:cs="Arial"/>
          <w:sz w:val="20"/>
          <w:szCs w:val="20"/>
        </w:rPr>
      </w:pPr>
      <w:r w:rsidRPr="00D45021">
        <w:rPr>
          <w:rFonts w:ascii="Arial" w:hAnsi="Arial" w:cs="Arial"/>
          <w:i/>
          <w:iCs/>
          <w:sz w:val="20"/>
          <w:szCs w:val="20"/>
        </w:rPr>
        <w:t>Các Giấy chứng nhận Đăng ký nhãn hiệu</w:t>
      </w:r>
      <w:r w:rsidRPr="00D45021">
        <w:rPr>
          <w:rFonts w:ascii="Arial" w:hAnsi="Arial" w:cs="Arial"/>
          <w:sz w:val="20"/>
          <w:szCs w:val="20"/>
        </w:rPr>
        <w:t>: Cung cấp bản sao đăng ký nhãn hiệu trước ngày nộp đơn nhãn hiệu, cho thấy nhãn hiệu của chủ nhãn hiệu đích thực đã được chính thức công nhận và bảo hộ.</w:t>
      </w:r>
    </w:p>
    <w:p w14:paraId="440F6B47" w14:textId="77777777" w:rsidR="00E72B74" w:rsidRPr="00D45021" w:rsidRDefault="00E72B74" w:rsidP="00E72B74">
      <w:pPr>
        <w:pStyle w:val="ListParagraph"/>
        <w:spacing w:after="0" w:line="240" w:lineRule="auto"/>
        <w:ind w:left="270"/>
        <w:jc w:val="both"/>
        <w:rPr>
          <w:rFonts w:ascii="Arial" w:hAnsi="Arial" w:cs="Arial"/>
          <w:sz w:val="20"/>
          <w:szCs w:val="20"/>
        </w:rPr>
      </w:pPr>
    </w:p>
    <w:p w14:paraId="1E934CD3" w14:textId="77777777" w:rsidR="00E72B74" w:rsidRPr="00D45021" w:rsidRDefault="00E72B74" w:rsidP="00E72B74">
      <w:pPr>
        <w:pStyle w:val="ListParagraph"/>
        <w:numPr>
          <w:ilvl w:val="0"/>
          <w:numId w:val="19"/>
        </w:numPr>
        <w:spacing w:after="0" w:line="240" w:lineRule="auto"/>
        <w:ind w:left="270" w:hanging="270"/>
        <w:jc w:val="both"/>
        <w:rPr>
          <w:rFonts w:ascii="Arial" w:hAnsi="Arial" w:cs="Arial"/>
          <w:sz w:val="20"/>
          <w:szCs w:val="20"/>
        </w:rPr>
      </w:pPr>
      <w:r w:rsidRPr="00D45021">
        <w:rPr>
          <w:rFonts w:ascii="Arial" w:hAnsi="Arial" w:cs="Arial"/>
          <w:i/>
          <w:iCs/>
          <w:sz w:val="20"/>
          <w:szCs w:val="20"/>
        </w:rPr>
        <w:t>Tài liệu bán hàng và tiếp thị</w:t>
      </w:r>
      <w:r w:rsidRPr="00D45021">
        <w:rPr>
          <w:rFonts w:ascii="Arial" w:hAnsi="Arial" w:cs="Arial"/>
          <w:sz w:val="20"/>
          <w:szCs w:val="20"/>
        </w:rPr>
        <w:t xml:space="preserve">: Thể hiện việc sử dụng rộng rãi nhãn hiệu trong thương mại, bao gồm tài liệu quảng cáo, dữ liệu bán hàng, chiến dịch quảng cáo và thông tin phân phối, đặc biệt ở các khu vực nơi người </w:t>
      </w:r>
      <w:r>
        <w:rPr>
          <w:rFonts w:ascii="Arial" w:hAnsi="Arial" w:cs="Arial"/>
          <w:sz w:val="20"/>
          <w:szCs w:val="20"/>
        </w:rPr>
        <w:t>chủ nhãn hiệu đích thực</w:t>
      </w:r>
      <w:r w:rsidRPr="00D45021">
        <w:rPr>
          <w:rFonts w:ascii="Arial" w:hAnsi="Arial" w:cs="Arial"/>
          <w:sz w:val="20"/>
          <w:szCs w:val="20"/>
        </w:rPr>
        <w:t xml:space="preserve"> hoạt động.</w:t>
      </w:r>
    </w:p>
    <w:p w14:paraId="13F6FFD0" w14:textId="77777777" w:rsidR="00E72B74" w:rsidRPr="002A6D8A" w:rsidRDefault="00E72B74" w:rsidP="00E72B74">
      <w:pPr>
        <w:spacing w:after="0" w:line="240" w:lineRule="auto"/>
        <w:jc w:val="both"/>
        <w:rPr>
          <w:rFonts w:ascii="Arial" w:hAnsi="Arial" w:cs="Arial"/>
          <w:b/>
          <w:bCs/>
          <w:color w:val="2F5496" w:themeColor="accent1" w:themeShade="BF"/>
        </w:rPr>
      </w:pPr>
    </w:p>
    <w:p w14:paraId="05C09B25" w14:textId="77777777" w:rsidR="00E72B74" w:rsidRPr="002A6D8A" w:rsidRDefault="00E72B74" w:rsidP="00E72B74">
      <w:pPr>
        <w:spacing w:after="0" w:line="240" w:lineRule="auto"/>
        <w:jc w:val="both"/>
        <w:rPr>
          <w:rFonts w:ascii="Arial" w:hAnsi="Arial" w:cs="Arial"/>
          <w:b/>
          <w:bCs/>
          <w:color w:val="2F5496" w:themeColor="accent1" w:themeShade="BF"/>
        </w:rPr>
      </w:pPr>
      <w:r w:rsidRPr="002A6D8A">
        <w:rPr>
          <w:rFonts w:ascii="Arial" w:hAnsi="Arial" w:cs="Arial"/>
          <w:b/>
          <w:bCs/>
          <w:color w:val="2F5496" w:themeColor="accent1" w:themeShade="BF"/>
        </w:rPr>
        <w:t>2. Tài liệu về việc tiếp cận với công chúng</w:t>
      </w:r>
    </w:p>
    <w:p w14:paraId="490C7FFB" w14:textId="77777777" w:rsidR="00E72B74" w:rsidRPr="00D45021" w:rsidRDefault="00E72B74" w:rsidP="00E72B74">
      <w:pPr>
        <w:spacing w:after="0" w:line="240" w:lineRule="auto"/>
        <w:jc w:val="both"/>
        <w:rPr>
          <w:rFonts w:ascii="Arial" w:hAnsi="Arial" w:cs="Arial"/>
          <w:sz w:val="20"/>
          <w:szCs w:val="20"/>
        </w:rPr>
      </w:pPr>
    </w:p>
    <w:p w14:paraId="7F969A18" w14:textId="77777777" w:rsidR="00E72B74" w:rsidRPr="00D45021" w:rsidRDefault="00E72B74" w:rsidP="00E72B74">
      <w:pPr>
        <w:pStyle w:val="ListParagraph"/>
        <w:numPr>
          <w:ilvl w:val="0"/>
          <w:numId w:val="20"/>
        </w:numPr>
        <w:spacing w:after="0" w:line="240" w:lineRule="auto"/>
        <w:ind w:left="270" w:hanging="270"/>
        <w:jc w:val="both"/>
        <w:rPr>
          <w:rFonts w:ascii="Arial" w:hAnsi="Arial" w:cs="Arial"/>
          <w:sz w:val="20"/>
          <w:szCs w:val="20"/>
        </w:rPr>
      </w:pPr>
      <w:r w:rsidRPr="00D45021">
        <w:rPr>
          <w:rFonts w:ascii="Arial" w:hAnsi="Arial" w:cs="Arial"/>
          <w:i/>
          <w:iCs/>
          <w:sz w:val="20"/>
          <w:szCs w:val="20"/>
        </w:rPr>
        <w:t>Sự hiện diện công cộng</w:t>
      </w:r>
      <w:r w:rsidRPr="00D45021">
        <w:rPr>
          <w:rFonts w:ascii="Arial" w:hAnsi="Arial" w:cs="Arial"/>
          <w:sz w:val="20"/>
          <w:szCs w:val="20"/>
        </w:rPr>
        <w:t>: Tài liệu về việc tham gia trưng bày hàng hóa gắn nhãn hiệu các hội chợ thương mại, triển lãm hoặc các sự kiện trong ngành nơi nhãn hiệu của chủ nhãn hiệu đích thực đã được trưng bày và người nộp đơn có thể đã tham dự.</w:t>
      </w:r>
    </w:p>
    <w:p w14:paraId="4FA289B9" w14:textId="77777777" w:rsidR="00E72B74" w:rsidRPr="00D45021" w:rsidRDefault="00E72B74" w:rsidP="00E72B74">
      <w:pPr>
        <w:spacing w:after="0" w:line="240" w:lineRule="auto"/>
        <w:ind w:left="270" w:hanging="270"/>
        <w:jc w:val="both"/>
        <w:rPr>
          <w:rFonts w:ascii="Arial" w:hAnsi="Arial" w:cs="Arial"/>
          <w:sz w:val="20"/>
          <w:szCs w:val="20"/>
        </w:rPr>
      </w:pPr>
    </w:p>
    <w:p w14:paraId="298A538D" w14:textId="77777777" w:rsidR="00E72B74" w:rsidRPr="00D45021" w:rsidRDefault="00E72B74" w:rsidP="00E72B74">
      <w:pPr>
        <w:pStyle w:val="ListParagraph"/>
        <w:numPr>
          <w:ilvl w:val="0"/>
          <w:numId w:val="20"/>
        </w:numPr>
        <w:spacing w:after="0" w:line="240" w:lineRule="auto"/>
        <w:ind w:left="270" w:hanging="270"/>
        <w:jc w:val="both"/>
        <w:rPr>
          <w:rFonts w:ascii="Arial" w:hAnsi="Arial" w:cs="Arial"/>
          <w:sz w:val="20"/>
          <w:szCs w:val="20"/>
        </w:rPr>
      </w:pPr>
      <w:r w:rsidRPr="00D45021">
        <w:rPr>
          <w:rFonts w:ascii="Arial" w:hAnsi="Arial" w:cs="Arial"/>
          <w:i/>
          <w:iCs/>
          <w:sz w:val="20"/>
          <w:szCs w:val="20"/>
        </w:rPr>
        <w:t>Ấn phẩm và truyền thông</w:t>
      </w:r>
      <w:r w:rsidRPr="00D45021">
        <w:rPr>
          <w:rFonts w:ascii="Arial" w:hAnsi="Arial" w:cs="Arial"/>
          <w:sz w:val="20"/>
          <w:szCs w:val="20"/>
        </w:rPr>
        <w:t>: Các bài báo, báo cáo tin tức và ấn phẩm giới thiệu hàng hóa gắn nhãn hiệu và chứng minh khả năng hiển thị cũng như sự công nhận của nhãn hiệu đó trong ngành.</w:t>
      </w:r>
    </w:p>
    <w:p w14:paraId="3AB41DCB" w14:textId="77777777" w:rsidR="00E72B74" w:rsidRPr="00D45021" w:rsidRDefault="00E72B74" w:rsidP="00E72B74">
      <w:pPr>
        <w:spacing w:after="0" w:line="240" w:lineRule="auto"/>
        <w:jc w:val="both"/>
        <w:rPr>
          <w:rFonts w:ascii="Arial" w:hAnsi="Arial" w:cs="Arial"/>
          <w:sz w:val="20"/>
          <w:szCs w:val="20"/>
        </w:rPr>
      </w:pPr>
    </w:p>
    <w:p w14:paraId="2AE7B8DC" w14:textId="77777777" w:rsidR="00E72B74" w:rsidRPr="002A6D8A" w:rsidRDefault="00E72B74" w:rsidP="00E72B74">
      <w:pPr>
        <w:spacing w:after="0" w:line="240" w:lineRule="auto"/>
        <w:jc w:val="both"/>
        <w:rPr>
          <w:rFonts w:ascii="Arial" w:hAnsi="Arial" w:cs="Arial"/>
          <w:b/>
          <w:bCs/>
          <w:color w:val="2F5496" w:themeColor="accent1" w:themeShade="BF"/>
        </w:rPr>
      </w:pPr>
      <w:r w:rsidRPr="002A6D8A">
        <w:rPr>
          <w:rFonts w:ascii="Arial" w:hAnsi="Arial" w:cs="Arial"/>
          <w:b/>
          <w:bCs/>
          <w:color w:val="2F5496" w:themeColor="accent1" w:themeShade="BF"/>
        </w:rPr>
        <w:t>3. Sự hiện diện trên môi trường số</w:t>
      </w:r>
    </w:p>
    <w:p w14:paraId="16AB87AC" w14:textId="77777777" w:rsidR="00E72B74" w:rsidRPr="00D45021" w:rsidRDefault="00E72B74" w:rsidP="00E72B74">
      <w:pPr>
        <w:spacing w:after="0" w:line="240" w:lineRule="auto"/>
        <w:jc w:val="both"/>
        <w:rPr>
          <w:rFonts w:ascii="Arial" w:hAnsi="Arial" w:cs="Arial"/>
          <w:sz w:val="20"/>
          <w:szCs w:val="20"/>
        </w:rPr>
      </w:pPr>
    </w:p>
    <w:p w14:paraId="4D808A5B" w14:textId="77777777" w:rsidR="00E72B74" w:rsidRPr="00D45021" w:rsidRDefault="00E72B74" w:rsidP="00E72B74">
      <w:pPr>
        <w:pStyle w:val="ListParagraph"/>
        <w:numPr>
          <w:ilvl w:val="0"/>
          <w:numId w:val="21"/>
        </w:numPr>
        <w:spacing w:after="0" w:line="240" w:lineRule="auto"/>
        <w:ind w:left="270" w:hanging="270"/>
        <w:jc w:val="both"/>
        <w:rPr>
          <w:rFonts w:ascii="Arial" w:hAnsi="Arial" w:cs="Arial"/>
          <w:sz w:val="20"/>
          <w:szCs w:val="20"/>
        </w:rPr>
      </w:pPr>
      <w:r w:rsidRPr="00D45021">
        <w:rPr>
          <w:rFonts w:ascii="Arial" w:hAnsi="Arial" w:cs="Arial"/>
          <w:i/>
          <w:iCs/>
          <w:sz w:val="20"/>
          <w:szCs w:val="20"/>
        </w:rPr>
        <w:t>Hiện diện trực tuyến</w:t>
      </w:r>
      <w:r w:rsidRPr="00D45021">
        <w:rPr>
          <w:rFonts w:ascii="Arial" w:hAnsi="Arial" w:cs="Arial"/>
          <w:sz w:val="20"/>
          <w:szCs w:val="20"/>
        </w:rPr>
        <w:t>: Tài liệu, dữ liệu về khả năng hiển thị trực tuyến của nhãn hiệu của chủ nhãn hiệu đích thực, như kết quả của công cụ tìm kiếm, thống kê lưu lượng truy cập trang web và sự hiện diện trên mạng xã hội.</w:t>
      </w:r>
    </w:p>
    <w:p w14:paraId="574899BA" w14:textId="77777777" w:rsidR="00E72B74" w:rsidRPr="00D45021" w:rsidRDefault="00E72B74" w:rsidP="00E72B74">
      <w:pPr>
        <w:spacing w:after="0" w:line="240" w:lineRule="auto"/>
        <w:ind w:left="270" w:hanging="270"/>
        <w:jc w:val="both"/>
        <w:rPr>
          <w:rFonts w:ascii="Arial" w:hAnsi="Arial" w:cs="Arial"/>
          <w:sz w:val="20"/>
          <w:szCs w:val="20"/>
        </w:rPr>
      </w:pPr>
    </w:p>
    <w:p w14:paraId="173E5827" w14:textId="77777777" w:rsidR="00E72B74" w:rsidRPr="00D45021" w:rsidRDefault="00E72B74" w:rsidP="00E72B74">
      <w:pPr>
        <w:pStyle w:val="ListParagraph"/>
        <w:numPr>
          <w:ilvl w:val="0"/>
          <w:numId w:val="21"/>
        </w:numPr>
        <w:spacing w:after="0" w:line="240" w:lineRule="auto"/>
        <w:ind w:left="270" w:hanging="270"/>
        <w:jc w:val="both"/>
        <w:rPr>
          <w:rFonts w:ascii="Arial" w:hAnsi="Arial" w:cs="Arial"/>
          <w:sz w:val="20"/>
          <w:szCs w:val="20"/>
        </w:rPr>
      </w:pPr>
      <w:r w:rsidRPr="00D45021">
        <w:rPr>
          <w:rFonts w:ascii="Arial" w:hAnsi="Arial" w:cs="Arial"/>
          <w:i/>
          <w:iCs/>
          <w:sz w:val="20"/>
          <w:szCs w:val="20"/>
        </w:rPr>
        <w:t>Tên miền</w:t>
      </w:r>
      <w:r w:rsidRPr="00D45021">
        <w:rPr>
          <w:rFonts w:ascii="Arial" w:hAnsi="Arial" w:cs="Arial"/>
          <w:sz w:val="20"/>
          <w:szCs w:val="20"/>
        </w:rPr>
        <w:t>: Tài liệu về việc đăng ký tên miền trùng khớp hoặc có liên quan chặt chẽ với nhãn hiệu của chủ nhãn hiệu đích thực, cho thấy nhãn hiệu đã được sử dụng trên môi trường số trước ngày nộp đơn của người nộp đơn.</w:t>
      </w:r>
    </w:p>
    <w:p w14:paraId="4DC89301" w14:textId="77777777" w:rsidR="00E72B74" w:rsidRPr="00D45021" w:rsidRDefault="00E72B74" w:rsidP="00E72B74">
      <w:pPr>
        <w:spacing w:after="0" w:line="240" w:lineRule="auto"/>
        <w:jc w:val="both"/>
        <w:rPr>
          <w:rFonts w:ascii="Arial" w:hAnsi="Arial" w:cs="Arial"/>
          <w:sz w:val="20"/>
          <w:szCs w:val="20"/>
        </w:rPr>
      </w:pPr>
    </w:p>
    <w:p w14:paraId="22BC681B" w14:textId="77777777" w:rsidR="00E72B74" w:rsidRPr="002A6D8A" w:rsidRDefault="00E72B74" w:rsidP="00E72B74">
      <w:pPr>
        <w:spacing w:after="0" w:line="240" w:lineRule="auto"/>
        <w:jc w:val="both"/>
        <w:rPr>
          <w:rFonts w:ascii="Arial" w:hAnsi="Arial" w:cs="Arial"/>
          <w:b/>
          <w:bCs/>
          <w:color w:val="2F5496" w:themeColor="accent1" w:themeShade="BF"/>
        </w:rPr>
      </w:pPr>
      <w:r w:rsidRPr="002A6D8A">
        <w:rPr>
          <w:rFonts w:ascii="Arial" w:hAnsi="Arial" w:cs="Arial"/>
          <w:b/>
          <w:bCs/>
          <w:color w:val="2F5496" w:themeColor="accent1" w:themeShade="BF"/>
        </w:rPr>
        <w:t>4. Khảo sát thị trường và đánh giá, chứng nhận của người tiêu dùng</w:t>
      </w:r>
    </w:p>
    <w:p w14:paraId="30F28603" w14:textId="77777777" w:rsidR="00E72B74" w:rsidRPr="00D45021" w:rsidRDefault="00E72B74" w:rsidP="00E72B74">
      <w:pPr>
        <w:spacing w:after="0" w:line="240" w:lineRule="auto"/>
        <w:jc w:val="both"/>
        <w:rPr>
          <w:rFonts w:ascii="Arial" w:hAnsi="Arial" w:cs="Arial"/>
          <w:sz w:val="20"/>
          <w:szCs w:val="20"/>
        </w:rPr>
      </w:pPr>
    </w:p>
    <w:p w14:paraId="630BEF63" w14:textId="77777777" w:rsidR="00E72B74" w:rsidRPr="00D45021" w:rsidRDefault="00E72B74" w:rsidP="00E72B74">
      <w:pPr>
        <w:pStyle w:val="ListParagraph"/>
        <w:numPr>
          <w:ilvl w:val="0"/>
          <w:numId w:val="22"/>
        </w:numPr>
        <w:spacing w:after="0" w:line="240" w:lineRule="auto"/>
        <w:ind w:left="270" w:hanging="270"/>
        <w:jc w:val="both"/>
        <w:rPr>
          <w:rFonts w:ascii="Arial" w:hAnsi="Arial" w:cs="Arial"/>
          <w:sz w:val="20"/>
          <w:szCs w:val="20"/>
        </w:rPr>
      </w:pPr>
      <w:r w:rsidRPr="00D45021">
        <w:rPr>
          <w:rFonts w:ascii="Arial" w:hAnsi="Arial" w:cs="Arial"/>
          <w:i/>
          <w:iCs/>
          <w:sz w:val="20"/>
          <w:szCs w:val="20"/>
        </w:rPr>
        <w:t>Khảo sát</w:t>
      </w:r>
      <w:r w:rsidRPr="00D45021">
        <w:rPr>
          <w:rFonts w:ascii="Arial" w:hAnsi="Arial" w:cs="Arial"/>
          <w:sz w:val="20"/>
          <w:szCs w:val="20"/>
        </w:rPr>
        <w:t>: Các tài liệu khảo sát người tiêu dùng cho thấy sự nhận biết của người tiêu dùng về nhãn hiệu gắn liền với sản phẩm</w:t>
      </w:r>
      <w:r>
        <w:rPr>
          <w:rFonts w:ascii="Arial" w:hAnsi="Arial" w:cs="Arial"/>
          <w:sz w:val="20"/>
          <w:szCs w:val="20"/>
        </w:rPr>
        <w:t>/</w:t>
      </w:r>
      <w:r w:rsidRPr="00D45021">
        <w:rPr>
          <w:rFonts w:ascii="Arial" w:hAnsi="Arial" w:cs="Arial"/>
          <w:sz w:val="20"/>
          <w:szCs w:val="20"/>
        </w:rPr>
        <w:t>dịch vụ của chủ nhãn hiệu đích thực.</w:t>
      </w:r>
    </w:p>
    <w:p w14:paraId="5BEBA20C" w14:textId="77777777" w:rsidR="00E72B74" w:rsidRPr="00D45021" w:rsidRDefault="00E72B74" w:rsidP="00E72B74">
      <w:pPr>
        <w:pStyle w:val="ListParagraph"/>
        <w:spacing w:after="0" w:line="240" w:lineRule="auto"/>
        <w:ind w:left="270"/>
        <w:jc w:val="both"/>
        <w:rPr>
          <w:rFonts w:ascii="Arial" w:hAnsi="Arial" w:cs="Arial"/>
          <w:sz w:val="20"/>
          <w:szCs w:val="20"/>
        </w:rPr>
      </w:pPr>
    </w:p>
    <w:p w14:paraId="79B49493" w14:textId="77777777" w:rsidR="00E72B74" w:rsidRPr="00D45021" w:rsidRDefault="00E72B74" w:rsidP="00E72B74">
      <w:pPr>
        <w:pStyle w:val="ListParagraph"/>
        <w:numPr>
          <w:ilvl w:val="0"/>
          <w:numId w:val="22"/>
        </w:numPr>
        <w:spacing w:after="0" w:line="240" w:lineRule="auto"/>
        <w:ind w:left="270" w:hanging="270"/>
        <w:jc w:val="both"/>
        <w:rPr>
          <w:rFonts w:ascii="Arial" w:hAnsi="Arial" w:cs="Arial"/>
          <w:sz w:val="20"/>
          <w:szCs w:val="20"/>
        </w:rPr>
      </w:pPr>
      <w:r w:rsidRPr="00D45021">
        <w:rPr>
          <w:rFonts w:ascii="Arial" w:hAnsi="Arial" w:cs="Arial"/>
          <w:i/>
          <w:iCs/>
          <w:sz w:val="20"/>
          <w:szCs w:val="20"/>
        </w:rPr>
        <w:t>Đánh giá, chứng nhận</w:t>
      </w:r>
      <w:r w:rsidRPr="00D45021">
        <w:rPr>
          <w:rFonts w:ascii="Arial" w:hAnsi="Arial" w:cs="Arial"/>
          <w:sz w:val="20"/>
          <w:szCs w:val="20"/>
        </w:rPr>
        <w:t xml:space="preserve">: Tài liệu về những đánh giá, chứng nhận từ khách hàng hoặc đối tác </w:t>
      </w:r>
      <w:r>
        <w:rPr>
          <w:rFonts w:ascii="Arial" w:hAnsi="Arial" w:cs="Arial"/>
          <w:sz w:val="20"/>
          <w:szCs w:val="20"/>
        </w:rPr>
        <w:t>về</w:t>
      </w:r>
      <w:r w:rsidRPr="00D45021">
        <w:rPr>
          <w:rFonts w:ascii="Arial" w:hAnsi="Arial" w:cs="Arial"/>
          <w:sz w:val="20"/>
          <w:szCs w:val="20"/>
        </w:rPr>
        <w:t xml:space="preserve"> nhãn hiệu và liên kết nhãn hiệu đó với doanh nghiệp của chủ nhãn hiệu đích thực.</w:t>
      </w:r>
    </w:p>
    <w:p w14:paraId="1FB4D306" w14:textId="77777777" w:rsidR="00E72B74" w:rsidRPr="00D45021" w:rsidRDefault="00E72B74" w:rsidP="00E72B74">
      <w:pPr>
        <w:spacing w:after="0" w:line="240" w:lineRule="auto"/>
        <w:jc w:val="both"/>
        <w:rPr>
          <w:rFonts w:ascii="Arial" w:hAnsi="Arial" w:cs="Arial"/>
          <w:b/>
          <w:bCs/>
          <w:sz w:val="20"/>
          <w:szCs w:val="20"/>
        </w:rPr>
      </w:pPr>
    </w:p>
    <w:p w14:paraId="77105E53" w14:textId="77777777" w:rsidR="00E72B74" w:rsidRPr="002A6D8A" w:rsidRDefault="00E72B74" w:rsidP="00E72B74">
      <w:pPr>
        <w:spacing w:after="0" w:line="240" w:lineRule="auto"/>
        <w:jc w:val="both"/>
        <w:rPr>
          <w:rFonts w:ascii="Arial" w:hAnsi="Arial" w:cs="Arial"/>
          <w:b/>
          <w:bCs/>
          <w:color w:val="2F5496" w:themeColor="accent1" w:themeShade="BF"/>
        </w:rPr>
      </w:pPr>
      <w:r w:rsidRPr="002A6D8A">
        <w:rPr>
          <w:rFonts w:ascii="Arial" w:hAnsi="Arial" w:cs="Arial"/>
          <w:b/>
          <w:bCs/>
          <w:color w:val="2F5496" w:themeColor="accent1" w:themeShade="BF"/>
        </w:rPr>
        <w:t>5. Mối quan hệ trước đây</w:t>
      </w:r>
    </w:p>
    <w:p w14:paraId="49FF8B7D" w14:textId="77777777" w:rsidR="00E72B74" w:rsidRPr="00D45021" w:rsidRDefault="00E72B74" w:rsidP="00E72B74">
      <w:pPr>
        <w:spacing w:after="0" w:line="240" w:lineRule="auto"/>
        <w:jc w:val="both"/>
        <w:rPr>
          <w:rFonts w:ascii="Arial" w:hAnsi="Arial" w:cs="Arial"/>
          <w:sz w:val="20"/>
          <w:szCs w:val="20"/>
        </w:rPr>
      </w:pPr>
    </w:p>
    <w:p w14:paraId="6B9725A1" w14:textId="77777777" w:rsidR="00E72B74" w:rsidRPr="00D45021" w:rsidRDefault="00E72B74" w:rsidP="00E72B74">
      <w:pPr>
        <w:spacing w:after="0" w:line="240" w:lineRule="auto"/>
        <w:jc w:val="both"/>
        <w:rPr>
          <w:rFonts w:ascii="Arial" w:hAnsi="Arial" w:cs="Arial"/>
          <w:sz w:val="20"/>
          <w:szCs w:val="20"/>
        </w:rPr>
      </w:pPr>
      <w:r w:rsidRPr="00D45021">
        <w:rPr>
          <w:rFonts w:ascii="Arial" w:hAnsi="Arial" w:cs="Arial"/>
          <w:sz w:val="20"/>
          <w:szCs w:val="20"/>
        </w:rPr>
        <w:t xml:space="preserve">Tài liệu về </w:t>
      </w:r>
      <w:hyperlink r:id="rId7" w:history="1">
        <w:r w:rsidRPr="00E90F74">
          <w:rPr>
            <w:rStyle w:val="Hyperlink"/>
            <w:rFonts w:ascii="Arial" w:hAnsi="Arial" w:cs="Arial"/>
            <w:sz w:val="20"/>
            <w:szCs w:val="20"/>
          </w:rPr>
          <w:t>mối quan hệ trước đây</w:t>
        </w:r>
      </w:hyperlink>
      <w:r w:rsidRPr="00D45021">
        <w:rPr>
          <w:rFonts w:ascii="Arial" w:hAnsi="Arial" w:cs="Arial"/>
          <w:sz w:val="20"/>
          <w:szCs w:val="20"/>
        </w:rPr>
        <w:t xml:space="preserve"> giữa chủ sở hữu nhãn hiệu đích thực và người nộp đơn có dụng ý xấu là bằng chứng mạnh mẽ, thuyết phục và trực tiếp nhất chứng minh rằng người nộp đơn đã biết đến về sự tồn tại trước đó của nhãn hiệu, bao gồm nhưng không giới hạn ở các tài liệu sau:</w:t>
      </w:r>
    </w:p>
    <w:p w14:paraId="208B8EEC" w14:textId="77777777" w:rsidR="00E72B74" w:rsidRPr="00D45021" w:rsidRDefault="00E72B74" w:rsidP="00E72B74">
      <w:pPr>
        <w:spacing w:after="0" w:line="240" w:lineRule="auto"/>
        <w:jc w:val="both"/>
        <w:rPr>
          <w:rFonts w:ascii="Arial" w:hAnsi="Arial" w:cs="Arial"/>
          <w:sz w:val="20"/>
          <w:szCs w:val="20"/>
        </w:rPr>
      </w:pPr>
    </w:p>
    <w:p w14:paraId="24F6A9E9" w14:textId="011DEFC4" w:rsidR="00E72B74" w:rsidRPr="00D45021" w:rsidRDefault="00E72B74" w:rsidP="00E72B74">
      <w:pPr>
        <w:pStyle w:val="ListParagraph"/>
        <w:numPr>
          <w:ilvl w:val="0"/>
          <w:numId w:val="23"/>
        </w:numPr>
        <w:spacing w:after="0" w:line="240" w:lineRule="auto"/>
        <w:ind w:left="450" w:hanging="450"/>
        <w:jc w:val="both"/>
        <w:rPr>
          <w:rFonts w:ascii="Arial" w:hAnsi="Arial" w:cs="Arial"/>
          <w:sz w:val="20"/>
          <w:szCs w:val="20"/>
        </w:rPr>
      </w:pPr>
      <w:r w:rsidRPr="00D45021">
        <w:rPr>
          <w:rFonts w:ascii="Arial" w:hAnsi="Arial" w:cs="Arial"/>
          <w:i/>
          <w:iCs/>
          <w:sz w:val="20"/>
          <w:szCs w:val="20"/>
        </w:rPr>
        <w:t>Email, thư từ và biên bản ghi nhớ giữa hai bên</w:t>
      </w:r>
      <w:r w:rsidRPr="00D45021">
        <w:rPr>
          <w:rFonts w:ascii="Arial" w:hAnsi="Arial" w:cs="Arial"/>
          <w:sz w:val="20"/>
          <w:szCs w:val="20"/>
        </w:rPr>
        <w:t xml:space="preserve">: Mọi thư từ bằng văn bản giữa chủ sở hữu nhãn hiệu đích thực và người nộp đơn thảo luận về nhãn hiệu hoặc các hoạt động kinh doanh có liên quan. Tài liệu liên </w:t>
      </w:r>
      <w:r w:rsidR="009647E8" w:rsidRPr="00E72B74">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541C4F26" wp14:editId="1C9FB998">
                <wp:simplePos x="0" y="0"/>
                <wp:positionH relativeFrom="column">
                  <wp:posOffset>6381750</wp:posOffset>
                </wp:positionH>
                <wp:positionV relativeFrom="paragraph">
                  <wp:posOffset>-305435</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2F4F38" w14:textId="77777777" w:rsidR="009647E8" w:rsidRPr="00BA68B8" w:rsidRDefault="009647E8" w:rsidP="009647E8">
                            <w:pPr>
                              <w:spacing w:after="0" w:line="240" w:lineRule="auto"/>
                              <w:rPr>
                                <w:rFonts w:ascii="Arial" w:hAnsi="Arial" w:cs="Arial"/>
                                <w:b/>
                                <w:color w:val="FFFFFF" w:themeColor="background1"/>
                                <w:sz w:val="20"/>
                                <w:szCs w:val="20"/>
                              </w:rPr>
                            </w:pPr>
                            <w:r>
                              <w:rPr>
                                <w:rFonts w:ascii="Arial" w:hAnsi="Arial" w:cs="Arial"/>
                                <w:b/>
                                <w:bCs/>
                                <w:color w:val="FFFFFF" w:themeColor="background1"/>
                                <w:sz w:val="20"/>
                                <w:szCs w:val="20"/>
                              </w:rPr>
                              <w:t>C</w:t>
                            </w:r>
                            <w:r w:rsidRPr="009647E8">
                              <w:rPr>
                                <w:rFonts w:ascii="Arial" w:hAnsi="Arial" w:cs="Arial"/>
                                <w:b/>
                                <w:bCs/>
                                <w:color w:val="FFFFFF" w:themeColor="background1"/>
                                <w:sz w:val="20"/>
                                <w:szCs w:val="20"/>
                              </w:rPr>
                              <w:t>hứng minh người nộp đơn đã "biết hoặc có cơ sở để biết" về nhãn hiệu</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C4F26" id="Rectangle 1" o:spid="_x0000_s1028" style="position:absolute;left:0;text-align:left;margin-left:502.5pt;margin-top:-24.0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" fillcolor="#00b39c" strokecolor="#00b39c" strokeweight="0">
                <v:textbox style="layout-flow:vertical">
                  <w:txbxContent>
                    <w:p w14:paraId="002F4F38" w14:textId="77777777" w:rsidR="009647E8" w:rsidRPr="00BA68B8" w:rsidRDefault="009647E8" w:rsidP="009647E8">
                      <w:pPr>
                        <w:spacing w:after="0" w:line="240" w:lineRule="auto"/>
                        <w:rPr>
                          <w:rFonts w:ascii="Arial" w:hAnsi="Arial" w:cs="Arial"/>
                          <w:b/>
                          <w:color w:val="FFFFFF" w:themeColor="background1"/>
                          <w:sz w:val="20"/>
                          <w:szCs w:val="20"/>
                        </w:rPr>
                      </w:pPr>
                      <w:r>
                        <w:rPr>
                          <w:rFonts w:ascii="Arial" w:hAnsi="Arial" w:cs="Arial"/>
                          <w:b/>
                          <w:bCs/>
                          <w:color w:val="FFFFFF" w:themeColor="background1"/>
                          <w:sz w:val="20"/>
                          <w:szCs w:val="20"/>
                        </w:rPr>
                        <w:t>C</w:t>
                      </w:r>
                      <w:r w:rsidRPr="009647E8">
                        <w:rPr>
                          <w:rFonts w:ascii="Arial" w:hAnsi="Arial" w:cs="Arial"/>
                          <w:b/>
                          <w:bCs/>
                          <w:color w:val="FFFFFF" w:themeColor="background1"/>
                          <w:sz w:val="20"/>
                          <w:szCs w:val="20"/>
                        </w:rPr>
                        <w:t>hứng minh người nộp đơn đã "biết hoặc có cơ sở để biết" về nhãn hiệu</w:t>
                      </w:r>
                    </w:p>
                  </w:txbxContent>
                </v:textbox>
              </v:rect>
            </w:pict>
          </mc:Fallback>
        </mc:AlternateContent>
      </w:r>
      <w:r w:rsidRPr="00D45021">
        <w:rPr>
          <w:rFonts w:ascii="Arial" w:hAnsi="Arial" w:cs="Arial"/>
          <w:sz w:val="20"/>
          <w:szCs w:val="20"/>
        </w:rPr>
        <w:t>quan đến bất kỳ liên doanh, hợp tác hoặc quan hệ đối tác nào mà nhãn hiệu có liên quan hoặc được thảo luận.</w:t>
      </w:r>
    </w:p>
    <w:p w14:paraId="25E10FA3" w14:textId="1AC2F704" w:rsidR="00E72B74" w:rsidRPr="00D45021" w:rsidRDefault="00E72B74" w:rsidP="00E72B74">
      <w:pPr>
        <w:spacing w:after="0" w:line="240" w:lineRule="auto"/>
        <w:ind w:left="450" w:hanging="450"/>
        <w:jc w:val="both"/>
        <w:rPr>
          <w:rFonts w:ascii="Arial" w:hAnsi="Arial" w:cs="Arial"/>
          <w:sz w:val="20"/>
          <w:szCs w:val="20"/>
        </w:rPr>
      </w:pPr>
    </w:p>
    <w:p w14:paraId="46219856" w14:textId="19BB6A0B" w:rsidR="00E72B74" w:rsidRPr="00D45021" w:rsidRDefault="00E72B74" w:rsidP="00E72B74">
      <w:pPr>
        <w:pStyle w:val="ListParagraph"/>
        <w:numPr>
          <w:ilvl w:val="0"/>
          <w:numId w:val="23"/>
        </w:numPr>
        <w:spacing w:after="0" w:line="240" w:lineRule="auto"/>
        <w:ind w:left="450" w:hanging="450"/>
        <w:jc w:val="both"/>
        <w:rPr>
          <w:rFonts w:ascii="Arial" w:hAnsi="Arial" w:cs="Arial"/>
          <w:sz w:val="20"/>
          <w:szCs w:val="20"/>
        </w:rPr>
      </w:pPr>
      <w:r w:rsidRPr="00D45021">
        <w:rPr>
          <w:rFonts w:ascii="Arial" w:hAnsi="Arial" w:cs="Arial"/>
          <w:i/>
          <w:iCs/>
          <w:sz w:val="20"/>
          <w:szCs w:val="20"/>
        </w:rPr>
        <w:t>Biên bản họp</w:t>
      </w:r>
      <w:r w:rsidRPr="00D45021">
        <w:rPr>
          <w:rFonts w:ascii="Arial" w:hAnsi="Arial" w:cs="Arial"/>
          <w:sz w:val="20"/>
          <w:szCs w:val="20"/>
        </w:rPr>
        <w:t>: Tài liệu về các cuộc họp nơi nhãn hiệu được thảo luận. Nếu người nộp đơn có mặt tại các cuộc họp này hoặc được đại diện, những tài liệu này có thể dùng làm bằng chứng về nhận thức của họ.</w:t>
      </w:r>
    </w:p>
    <w:p w14:paraId="11DDF6F5" w14:textId="6231D55C" w:rsidR="00E72B74" w:rsidRPr="00D45021" w:rsidRDefault="00E72B74" w:rsidP="00E72B74">
      <w:pPr>
        <w:spacing w:after="0" w:line="240" w:lineRule="auto"/>
        <w:ind w:left="450" w:hanging="450"/>
        <w:jc w:val="both"/>
        <w:rPr>
          <w:rFonts w:ascii="Arial" w:hAnsi="Arial" w:cs="Arial"/>
          <w:sz w:val="20"/>
          <w:szCs w:val="20"/>
        </w:rPr>
      </w:pPr>
    </w:p>
    <w:p w14:paraId="0B57D512" w14:textId="3B329DF4" w:rsidR="00E72B74" w:rsidRPr="00D45021" w:rsidRDefault="00E72B74" w:rsidP="00E72B74">
      <w:pPr>
        <w:pStyle w:val="ListParagraph"/>
        <w:numPr>
          <w:ilvl w:val="0"/>
          <w:numId w:val="23"/>
        </w:numPr>
        <w:spacing w:after="0" w:line="240" w:lineRule="auto"/>
        <w:ind w:left="450" w:hanging="450"/>
        <w:jc w:val="both"/>
        <w:rPr>
          <w:rFonts w:ascii="Arial" w:hAnsi="Arial" w:cs="Arial"/>
          <w:sz w:val="20"/>
          <w:szCs w:val="20"/>
        </w:rPr>
      </w:pPr>
      <w:r w:rsidRPr="00D45021">
        <w:rPr>
          <w:rFonts w:ascii="Arial" w:hAnsi="Arial" w:cs="Arial"/>
          <w:i/>
          <w:iCs/>
          <w:sz w:val="20"/>
          <w:szCs w:val="20"/>
        </w:rPr>
        <w:t xml:space="preserve">Hợp đồng </w:t>
      </w:r>
      <w:r>
        <w:rPr>
          <w:rFonts w:ascii="Arial" w:hAnsi="Arial" w:cs="Arial"/>
          <w:i/>
          <w:iCs/>
          <w:sz w:val="20"/>
          <w:szCs w:val="20"/>
        </w:rPr>
        <w:t>hay thỏa thuận giữa hai bên</w:t>
      </w:r>
      <w:r w:rsidRPr="00D45021">
        <w:rPr>
          <w:rFonts w:ascii="Arial" w:hAnsi="Arial" w:cs="Arial"/>
          <w:sz w:val="20"/>
          <w:szCs w:val="20"/>
        </w:rPr>
        <w:t>: Bất kỳ hợp đồng hoặc thỏa thuận kinh doanh nào (ngay cả khi chưa được hoàn thiện) có đề cập đến nhãn hiệu. Điều này bao gồm các thỏa thuận cấp phép, thỏa thuận không tiết lộ (NDA) hoặc bất kỳ hợp đồng thương mại nào khác mà nhãn hiệu được đề cập.</w:t>
      </w:r>
    </w:p>
    <w:p w14:paraId="4395D2A1" w14:textId="77777777" w:rsidR="00E72B74" w:rsidRPr="00D45021" w:rsidRDefault="00E72B74" w:rsidP="00E72B74">
      <w:pPr>
        <w:spacing w:after="0" w:line="240" w:lineRule="auto"/>
        <w:ind w:left="450" w:hanging="450"/>
        <w:jc w:val="both"/>
        <w:rPr>
          <w:rFonts w:ascii="Arial" w:hAnsi="Arial" w:cs="Arial"/>
          <w:sz w:val="20"/>
          <w:szCs w:val="20"/>
        </w:rPr>
      </w:pPr>
    </w:p>
    <w:p w14:paraId="65BE4214" w14:textId="2A3092C3" w:rsidR="00E72B74" w:rsidRPr="00D45021" w:rsidRDefault="00E72B74" w:rsidP="00E72B74">
      <w:pPr>
        <w:pStyle w:val="ListParagraph"/>
        <w:numPr>
          <w:ilvl w:val="0"/>
          <w:numId w:val="23"/>
        </w:numPr>
        <w:spacing w:after="0" w:line="240" w:lineRule="auto"/>
        <w:ind w:left="450" w:hanging="450"/>
        <w:jc w:val="both"/>
        <w:rPr>
          <w:rFonts w:ascii="Arial" w:hAnsi="Arial" w:cs="Arial"/>
          <w:sz w:val="20"/>
          <w:szCs w:val="20"/>
        </w:rPr>
      </w:pPr>
      <w:r w:rsidRPr="00D45021">
        <w:rPr>
          <w:rFonts w:ascii="Arial" w:hAnsi="Arial" w:cs="Arial"/>
          <w:i/>
          <w:iCs/>
          <w:sz w:val="20"/>
          <w:szCs w:val="20"/>
        </w:rPr>
        <w:t>Tranh chấp nhãn hiệu trước đây</w:t>
      </w:r>
      <w:r w:rsidRPr="00D45021">
        <w:rPr>
          <w:rFonts w:ascii="Arial" w:hAnsi="Arial" w:cs="Arial"/>
          <w:sz w:val="20"/>
          <w:szCs w:val="20"/>
        </w:rPr>
        <w:t>: Bao gồm mọi thư khuyến cáo trước đó hoặc các thông báo pháp lý tương tự được gửi cho người nộp đơn hoặc các bên liên quan về việc sử dụng trái phép nhãn hiệu, cũng như bất kỳ tài liệu nào liên quan đến tranh chấp hoặc đàm phán về nhãn hiệu.</w:t>
      </w:r>
    </w:p>
    <w:p w14:paraId="4EF9E011" w14:textId="7D6226E8" w:rsidR="00E72B74" w:rsidRPr="00D45021" w:rsidRDefault="00E72B74" w:rsidP="00E72B74">
      <w:pPr>
        <w:spacing w:after="0" w:line="240" w:lineRule="auto"/>
        <w:ind w:left="450" w:hanging="450"/>
        <w:jc w:val="both"/>
        <w:rPr>
          <w:rFonts w:ascii="Arial" w:hAnsi="Arial" w:cs="Arial"/>
          <w:sz w:val="20"/>
          <w:szCs w:val="20"/>
        </w:rPr>
      </w:pPr>
    </w:p>
    <w:p w14:paraId="6315CE1B" w14:textId="2E39F835" w:rsidR="00E72B74" w:rsidRPr="00D45021" w:rsidRDefault="00E72B74" w:rsidP="00E72B74">
      <w:pPr>
        <w:pStyle w:val="ListParagraph"/>
        <w:numPr>
          <w:ilvl w:val="0"/>
          <w:numId w:val="23"/>
        </w:numPr>
        <w:spacing w:after="0" w:line="240" w:lineRule="auto"/>
        <w:ind w:left="450" w:hanging="450"/>
        <w:jc w:val="both"/>
        <w:rPr>
          <w:rFonts w:ascii="Arial" w:hAnsi="Arial" w:cs="Arial"/>
          <w:sz w:val="20"/>
          <w:szCs w:val="20"/>
        </w:rPr>
      </w:pPr>
      <w:r w:rsidRPr="00D45021">
        <w:rPr>
          <w:rFonts w:ascii="Arial" w:hAnsi="Arial" w:cs="Arial"/>
          <w:i/>
          <w:iCs/>
          <w:sz w:val="20"/>
          <w:szCs w:val="20"/>
        </w:rPr>
        <w:t>Hội trợ, triển lãm</w:t>
      </w:r>
      <w:r w:rsidRPr="00D45021">
        <w:rPr>
          <w:rFonts w:ascii="Arial" w:hAnsi="Arial" w:cs="Arial"/>
          <w:sz w:val="20"/>
          <w:szCs w:val="20"/>
        </w:rPr>
        <w:t>: Nếu cả hai bên tham dự cùng các triển lãm thương mại, hội nghị hoặc sự kiện trong ngành nơi nhãn hiệu được trưng bày hoặc thảo luận thì tài liệu từ những sự kiện này có thể được sử dụng làm bằng chứng</w:t>
      </w:r>
    </w:p>
    <w:p w14:paraId="5690CB28" w14:textId="7F36ED53" w:rsidR="00E72B74" w:rsidRPr="00D45021" w:rsidRDefault="00E72B74" w:rsidP="00E72B74">
      <w:pPr>
        <w:spacing w:after="0" w:line="240" w:lineRule="auto"/>
        <w:jc w:val="both"/>
        <w:rPr>
          <w:rFonts w:ascii="Arial" w:hAnsi="Arial" w:cs="Arial"/>
          <w:sz w:val="20"/>
          <w:szCs w:val="20"/>
        </w:rPr>
      </w:pPr>
    </w:p>
    <w:p w14:paraId="0BCEA636" w14:textId="60BB00E3" w:rsidR="00E72B74" w:rsidRPr="002A6D8A" w:rsidRDefault="00E72B74" w:rsidP="00E72B74">
      <w:pPr>
        <w:spacing w:after="0" w:line="240" w:lineRule="auto"/>
        <w:jc w:val="both"/>
        <w:rPr>
          <w:rFonts w:ascii="Arial" w:hAnsi="Arial" w:cs="Arial"/>
          <w:b/>
          <w:bCs/>
          <w:color w:val="2F5496" w:themeColor="accent1" w:themeShade="BF"/>
        </w:rPr>
      </w:pPr>
      <w:r w:rsidRPr="002A6D8A">
        <w:rPr>
          <w:rFonts w:ascii="Arial" w:hAnsi="Arial" w:cs="Arial"/>
          <w:b/>
          <w:bCs/>
          <w:color w:val="2F5496" w:themeColor="accent1" w:themeShade="BF"/>
        </w:rPr>
        <w:t>Lời kết</w:t>
      </w:r>
    </w:p>
    <w:p w14:paraId="11CB0F95" w14:textId="77777777" w:rsidR="00E72B74" w:rsidRPr="00D45021" w:rsidRDefault="00E72B74" w:rsidP="00E72B74">
      <w:pPr>
        <w:spacing w:after="0" w:line="240" w:lineRule="auto"/>
        <w:jc w:val="both"/>
        <w:rPr>
          <w:rFonts w:ascii="Arial" w:hAnsi="Arial" w:cs="Arial"/>
          <w:sz w:val="20"/>
          <w:szCs w:val="20"/>
        </w:rPr>
      </w:pPr>
    </w:p>
    <w:p w14:paraId="36216FD1" w14:textId="77777777" w:rsidR="00E72B74" w:rsidRDefault="00E72B74" w:rsidP="00E72B74">
      <w:pPr>
        <w:spacing w:after="0" w:line="240" w:lineRule="auto"/>
        <w:jc w:val="both"/>
        <w:rPr>
          <w:rFonts w:ascii="Arial" w:hAnsi="Arial" w:cs="Arial"/>
          <w:sz w:val="20"/>
          <w:szCs w:val="20"/>
        </w:rPr>
      </w:pPr>
      <w:r w:rsidRPr="00D45021">
        <w:rPr>
          <w:rFonts w:ascii="Arial" w:hAnsi="Arial" w:cs="Arial"/>
          <w:sz w:val="20"/>
          <w:szCs w:val="20"/>
        </w:rPr>
        <w:t xml:space="preserve">Nếu một nhãn hiệu được chứng minh là </w:t>
      </w:r>
      <w:hyperlink r:id="rId8" w:history="1">
        <w:r w:rsidRPr="00E90F74">
          <w:rPr>
            <w:rStyle w:val="Hyperlink"/>
            <w:rFonts w:ascii="Arial" w:hAnsi="Arial" w:cs="Arial"/>
            <w:sz w:val="20"/>
            <w:szCs w:val="20"/>
          </w:rPr>
          <w:t>đã được sử dụng và thừa nhận rộng rãi</w:t>
        </w:r>
      </w:hyperlink>
      <w:r w:rsidRPr="00D45021">
        <w:rPr>
          <w:rFonts w:ascii="Arial" w:hAnsi="Arial" w:cs="Arial"/>
          <w:sz w:val="20"/>
          <w:szCs w:val="20"/>
        </w:rPr>
        <w:t xml:space="preserve">, về cơ bản, sẽ hợp lý khi lập luận rằng các tổ chức, cá nhân khác trong cùng phạm vi địa lý hoặc thương mại sẽ biết đến nhãn hiệu đó. Lập luận này có sức nặng khi người nộp đơn hoạt động trong cùng lĩnh vực hoặc </w:t>
      </w:r>
      <w:r>
        <w:rPr>
          <w:rFonts w:ascii="Arial" w:hAnsi="Arial" w:cs="Arial"/>
          <w:sz w:val="20"/>
          <w:szCs w:val="20"/>
        </w:rPr>
        <w:t xml:space="preserve">có cùng </w:t>
      </w:r>
      <w:r w:rsidRPr="00D45021">
        <w:rPr>
          <w:rFonts w:ascii="Arial" w:hAnsi="Arial" w:cs="Arial"/>
          <w:sz w:val="20"/>
          <w:szCs w:val="20"/>
        </w:rPr>
        <w:t xml:space="preserve">phân khúc thị trường </w:t>
      </w:r>
      <w:r>
        <w:rPr>
          <w:rFonts w:ascii="Arial" w:hAnsi="Arial" w:cs="Arial"/>
          <w:sz w:val="20"/>
          <w:szCs w:val="20"/>
        </w:rPr>
        <w:t>như</w:t>
      </w:r>
      <w:r w:rsidRPr="00D45021">
        <w:rPr>
          <w:rFonts w:ascii="Arial" w:hAnsi="Arial" w:cs="Arial"/>
          <w:sz w:val="20"/>
          <w:szCs w:val="20"/>
        </w:rPr>
        <w:t xml:space="preserve"> chủ sở hữu nhãn hiệu đích thực. </w:t>
      </w:r>
      <w:r>
        <w:rPr>
          <w:rFonts w:ascii="Arial" w:hAnsi="Arial" w:cs="Arial"/>
          <w:sz w:val="20"/>
          <w:szCs w:val="20"/>
        </w:rPr>
        <w:t xml:space="preserve">Các tài liệu về mối quan hệ trước đây giữa người nộp đơn và chủ nhãn hiệu đích thực là tài liệu chứng minh người nộp đơn đã biết hoặc phải có có sở biết đến nhãn hiệu của chủ nhãn hiệu trước khi nộp đơn. </w:t>
      </w:r>
    </w:p>
    <w:p w14:paraId="3BCB709B" w14:textId="77777777" w:rsidR="00E72B74" w:rsidRDefault="00E72B74" w:rsidP="00E72B74">
      <w:pPr>
        <w:spacing w:after="0" w:line="240" w:lineRule="auto"/>
        <w:jc w:val="both"/>
        <w:rPr>
          <w:rFonts w:ascii="Arial" w:hAnsi="Arial" w:cs="Arial"/>
          <w:sz w:val="20"/>
          <w:szCs w:val="20"/>
        </w:rPr>
      </w:pPr>
    </w:p>
    <w:p w14:paraId="06ABAF52" w14:textId="77777777" w:rsidR="00E72B74" w:rsidRDefault="00E72B74" w:rsidP="00E72B74">
      <w:pPr>
        <w:spacing w:after="0" w:line="240" w:lineRule="auto"/>
        <w:jc w:val="both"/>
        <w:rPr>
          <w:rFonts w:ascii="Arial" w:hAnsi="Arial" w:cs="Arial"/>
          <w:sz w:val="20"/>
          <w:szCs w:val="20"/>
        </w:rPr>
      </w:pPr>
      <w:r>
        <w:rPr>
          <w:rFonts w:ascii="Arial" w:hAnsi="Arial" w:cs="Arial"/>
          <w:sz w:val="20"/>
          <w:szCs w:val="20"/>
        </w:rPr>
        <w:t xml:space="preserve">Trong vụ </w:t>
      </w:r>
      <w:r w:rsidRPr="0072008D">
        <w:rPr>
          <w:rFonts w:ascii="Arial" w:hAnsi="Arial" w:cs="Arial"/>
          <w:sz w:val="20"/>
          <w:szCs w:val="20"/>
        </w:rPr>
        <w:t xml:space="preserve">Przedsiebiorstwo Produkcyjno-Handlowe “EVELINE COSMETICS” </w:t>
      </w:r>
      <w:hyperlink r:id="rId9" w:history="1">
        <w:r w:rsidRPr="0072008D">
          <w:rPr>
            <w:rStyle w:val="Hyperlink"/>
            <w:rFonts w:ascii="Arial" w:hAnsi="Arial" w:cs="Arial"/>
            <w:sz w:val="20"/>
            <w:szCs w:val="20"/>
          </w:rPr>
          <w:t>phản đối đơn đăng ký nhãn hiệu</w:t>
        </w:r>
      </w:hyperlink>
      <w:r w:rsidRPr="0072008D">
        <w:rPr>
          <w:rFonts w:ascii="Arial" w:hAnsi="Arial" w:cs="Arial"/>
          <w:sz w:val="20"/>
          <w:szCs w:val="20"/>
        </w:rPr>
        <w:t xml:space="preserve"> “EVELINE COSMETICS, hình”, Cục SHTT đã nhận định</w:t>
      </w:r>
      <w:r>
        <w:rPr>
          <w:rFonts w:ascii="Arial" w:hAnsi="Arial" w:cs="Arial"/>
          <w:sz w:val="20"/>
          <w:szCs w:val="20"/>
        </w:rPr>
        <w:t xml:space="preserve"> rằng,</w:t>
      </w:r>
      <w:r w:rsidRPr="0072008D">
        <w:rPr>
          <w:rFonts w:ascii="Arial" w:hAnsi="Arial" w:cs="Arial"/>
          <w:sz w:val="20"/>
          <w:szCs w:val="20"/>
        </w:rPr>
        <w:t xml:space="preserve"> các tài liệu, chứng cứ mà chủ sở hữu nhãn hiệu đích thực cung cấp là có cơ sở để khẳng định nhãn hiệu “EVELINE COSMETICS, hình” thuộc sở hữu củ</w:t>
      </w:r>
      <w:r>
        <w:rPr>
          <w:rFonts w:ascii="Arial" w:hAnsi="Arial" w:cs="Arial"/>
          <w:sz w:val="20"/>
          <w:szCs w:val="20"/>
        </w:rPr>
        <w:t xml:space="preserve">a công ty này và nhãn hiệu </w:t>
      </w:r>
      <w:r w:rsidRPr="0072008D">
        <w:rPr>
          <w:rFonts w:ascii="Arial" w:hAnsi="Arial" w:cs="Arial"/>
          <w:sz w:val="20"/>
          <w:szCs w:val="20"/>
        </w:rPr>
        <w:t>“EVELINE COSMETICS, hình”</w:t>
      </w:r>
      <w:r>
        <w:rPr>
          <w:rFonts w:ascii="Arial" w:hAnsi="Arial" w:cs="Arial"/>
          <w:sz w:val="20"/>
          <w:szCs w:val="20"/>
        </w:rPr>
        <w:t xml:space="preserve"> đã được sử dụng và thừa nhận rộng rãi trước thời điểm nộp đơn của chủ đơn Việt Nam.</w:t>
      </w:r>
    </w:p>
    <w:p w14:paraId="03719B6F" w14:textId="77777777" w:rsidR="00E72B74" w:rsidRDefault="00E72B74" w:rsidP="00E72B74">
      <w:pPr>
        <w:spacing w:after="0" w:line="240" w:lineRule="auto"/>
        <w:jc w:val="both"/>
        <w:rPr>
          <w:rFonts w:ascii="Arial" w:hAnsi="Arial" w:cs="Arial"/>
          <w:sz w:val="20"/>
          <w:szCs w:val="20"/>
        </w:rPr>
      </w:pPr>
    </w:p>
    <w:p w14:paraId="38649F1B" w14:textId="77777777" w:rsidR="00E72B74" w:rsidRPr="00D45021" w:rsidRDefault="00E72B74" w:rsidP="00E72B74">
      <w:pPr>
        <w:spacing w:after="0" w:line="240" w:lineRule="auto"/>
        <w:jc w:val="both"/>
        <w:rPr>
          <w:rFonts w:ascii="Arial" w:hAnsi="Arial" w:cs="Arial"/>
          <w:sz w:val="20"/>
          <w:szCs w:val="20"/>
        </w:rPr>
      </w:pPr>
      <w:r w:rsidRPr="00D45021">
        <w:rPr>
          <w:rFonts w:ascii="Arial" w:hAnsi="Arial" w:cs="Arial"/>
          <w:sz w:val="20"/>
          <w:szCs w:val="20"/>
        </w:rPr>
        <w:t xml:space="preserve">Tuy nhiên, mỗi tài liệu, </w:t>
      </w:r>
      <w:hyperlink r:id="rId10" w:history="1">
        <w:r w:rsidRPr="00740391">
          <w:rPr>
            <w:rStyle w:val="Hyperlink"/>
            <w:rFonts w:ascii="Arial" w:hAnsi="Arial" w:cs="Arial"/>
            <w:sz w:val="20"/>
            <w:szCs w:val="20"/>
          </w:rPr>
          <w:t>chứng cứ chứng minh</w:t>
        </w:r>
      </w:hyperlink>
      <w:r w:rsidRPr="00D45021">
        <w:rPr>
          <w:rFonts w:ascii="Arial" w:hAnsi="Arial" w:cs="Arial"/>
          <w:sz w:val="20"/>
          <w:szCs w:val="20"/>
        </w:rPr>
        <w:t xml:space="preserve"> trong các vụ việc nhãn hiệu đăng ký với dụng ý xấu phải được thu thập và xử lý cẩn thận để đảm bảo chúng có thể được coi là tài liệu, chứng cứ hợp pháp, trên cơ sở đó, các lập luận về việc người nộp đơn đã “biết” hoặc “có cơ sở để biết” đến nhãn hiệu trước khi nộp đơn mới có giá trị và được Cục SHTT chấp nhận. </w:t>
      </w:r>
    </w:p>
    <w:p w14:paraId="0738A7FA" w14:textId="77777777" w:rsidR="00E72B74" w:rsidRPr="00D45021" w:rsidRDefault="00E72B74" w:rsidP="00E72B74">
      <w:pPr>
        <w:spacing w:after="0" w:line="240" w:lineRule="auto"/>
        <w:jc w:val="both"/>
        <w:rPr>
          <w:rFonts w:ascii="Arial" w:hAnsi="Arial" w:cs="Arial"/>
          <w:sz w:val="20"/>
          <w:szCs w:val="20"/>
        </w:rPr>
      </w:pPr>
    </w:p>
    <w:p w14:paraId="69B5CD14" w14:textId="2390DB24" w:rsidR="007375E8" w:rsidRPr="00D03044" w:rsidRDefault="00E72B74" w:rsidP="00E72B74">
      <w:pPr>
        <w:spacing w:after="0" w:line="240" w:lineRule="auto"/>
        <w:jc w:val="both"/>
        <w:rPr>
          <w:rFonts w:ascii="Arial" w:hAnsi="Arial" w:cs="Arial"/>
          <w:iCs/>
          <w:sz w:val="20"/>
          <w:szCs w:val="20"/>
        </w:rPr>
      </w:pPr>
      <w:r w:rsidRPr="00D45021">
        <w:rPr>
          <w:rFonts w:ascii="Arial" w:hAnsi="Arial" w:cs="Arial"/>
          <w:sz w:val="20"/>
          <w:szCs w:val="20"/>
        </w:rPr>
        <w:t>Hãy liên hệ với KENFOX</w:t>
      </w:r>
      <w:r>
        <w:rPr>
          <w:rFonts w:ascii="Arial" w:hAnsi="Arial" w:cs="Arial"/>
          <w:sz w:val="20"/>
          <w:szCs w:val="20"/>
        </w:rPr>
        <w:t xml:space="preserve"> IP &amp; Law Office</w:t>
      </w:r>
      <w:r w:rsidRPr="00D45021">
        <w:rPr>
          <w:rFonts w:ascii="Arial" w:hAnsi="Arial" w:cs="Arial"/>
          <w:sz w:val="20"/>
          <w:szCs w:val="20"/>
        </w:rPr>
        <w:t xml:space="preserve"> nếu bạn cần sự tư vấn chuyên nghiệp và đại diện </w:t>
      </w:r>
      <w:r>
        <w:rPr>
          <w:rFonts w:ascii="Arial" w:hAnsi="Arial" w:cs="Arial"/>
          <w:sz w:val="20"/>
          <w:szCs w:val="20"/>
        </w:rPr>
        <w:t xml:space="preserve">để đòi lại nhãn hiệu của bạn thông qua thủ tục </w:t>
      </w:r>
      <w:r w:rsidRPr="00D45021">
        <w:rPr>
          <w:rFonts w:ascii="Arial" w:hAnsi="Arial" w:cs="Arial"/>
          <w:sz w:val="20"/>
          <w:szCs w:val="20"/>
        </w:rPr>
        <w:t xml:space="preserve">phản đối hay hủy bỏ các nhãn hiệu được đăng ký với dụng ý xấu tại Việt Nam.  </w:t>
      </w:r>
    </w:p>
    <w:p w14:paraId="68D8DE35" w14:textId="77777777" w:rsidR="0002156E" w:rsidRPr="00D03044" w:rsidRDefault="0002156E" w:rsidP="0002156E">
      <w:pPr>
        <w:spacing w:after="0" w:line="240" w:lineRule="auto"/>
        <w:jc w:val="right"/>
        <w:rPr>
          <w:rFonts w:ascii="Arial" w:hAnsi="Arial" w:cs="Arial"/>
          <w:b/>
          <w:sz w:val="20"/>
          <w:szCs w:val="20"/>
        </w:rPr>
      </w:pP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4ED0D6DB">
                <wp:simplePos x="0" y="0"/>
                <wp:positionH relativeFrom="column">
                  <wp:posOffset>3810</wp:posOffset>
                </wp:positionH>
                <wp:positionV relativeFrom="paragraph">
                  <wp:posOffset>97155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29" style="position:absolute;left:0;text-align:left;margin-left:.3pt;margin-top:7.6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PjSg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1"/>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64598" w14:textId="77777777" w:rsidR="00076D5D" w:rsidRDefault="00076D5D">
      <w:pPr>
        <w:spacing w:after="0" w:line="240" w:lineRule="auto"/>
      </w:pPr>
      <w:r>
        <w:separator/>
      </w:r>
    </w:p>
  </w:endnote>
  <w:endnote w:type="continuationSeparator" w:id="0">
    <w:p w14:paraId="25F1665C" w14:textId="77777777" w:rsidR="00076D5D" w:rsidRDefault="00076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076D5D">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076D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7A9B1" w14:textId="77777777" w:rsidR="00076D5D" w:rsidRDefault="00076D5D">
      <w:pPr>
        <w:spacing w:after="0" w:line="240" w:lineRule="auto"/>
      </w:pPr>
      <w:r>
        <w:separator/>
      </w:r>
    </w:p>
  </w:footnote>
  <w:footnote w:type="continuationSeparator" w:id="0">
    <w:p w14:paraId="49AB1489" w14:textId="77777777" w:rsidR="00076D5D" w:rsidRDefault="00076D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694C22"/>
    <w:multiLevelType w:val="hybridMultilevel"/>
    <w:tmpl w:val="0EC4F9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C93A21"/>
    <w:multiLevelType w:val="hybridMultilevel"/>
    <w:tmpl w:val="7BC6EA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821B04"/>
    <w:multiLevelType w:val="hybridMultilevel"/>
    <w:tmpl w:val="2FD45F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CD535B"/>
    <w:multiLevelType w:val="hybridMultilevel"/>
    <w:tmpl w:val="04C8B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9436AA"/>
    <w:multiLevelType w:val="hybridMultilevel"/>
    <w:tmpl w:val="C7CC56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2"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11"/>
  </w:num>
  <w:num w:numId="4">
    <w:abstractNumId w:val="18"/>
  </w:num>
  <w:num w:numId="5">
    <w:abstractNumId w:val="14"/>
  </w:num>
  <w:num w:numId="6">
    <w:abstractNumId w:val="0"/>
  </w:num>
  <w:num w:numId="7">
    <w:abstractNumId w:val="5"/>
  </w:num>
  <w:num w:numId="8">
    <w:abstractNumId w:val="19"/>
  </w:num>
  <w:num w:numId="9">
    <w:abstractNumId w:val="7"/>
  </w:num>
  <w:num w:numId="10">
    <w:abstractNumId w:val="3"/>
  </w:num>
  <w:num w:numId="11">
    <w:abstractNumId w:val="17"/>
  </w:num>
  <w:num w:numId="12">
    <w:abstractNumId w:val="1"/>
  </w:num>
  <w:num w:numId="13">
    <w:abstractNumId w:val="13"/>
  </w:num>
  <w:num w:numId="14">
    <w:abstractNumId w:val="16"/>
  </w:num>
  <w:num w:numId="15">
    <w:abstractNumId w:val="8"/>
  </w:num>
  <w:num w:numId="16">
    <w:abstractNumId w:val="21"/>
  </w:num>
  <w:num w:numId="17">
    <w:abstractNumId w:val="2"/>
  </w:num>
  <w:num w:numId="18">
    <w:abstractNumId w:val="9"/>
  </w:num>
  <w:num w:numId="19">
    <w:abstractNumId w:val="4"/>
  </w:num>
  <w:num w:numId="20">
    <w:abstractNumId w:val="20"/>
  </w:num>
  <w:num w:numId="21">
    <w:abstractNumId w:val="10"/>
  </w:num>
  <w:num w:numId="22">
    <w:abstractNumId w:val="1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076D5D"/>
    <w:rsid w:val="00126CC7"/>
    <w:rsid w:val="001515AA"/>
    <w:rsid w:val="001D1CDD"/>
    <w:rsid w:val="001E0868"/>
    <w:rsid w:val="00215B22"/>
    <w:rsid w:val="00234C16"/>
    <w:rsid w:val="002753DD"/>
    <w:rsid w:val="002B63C0"/>
    <w:rsid w:val="0032315D"/>
    <w:rsid w:val="0033574A"/>
    <w:rsid w:val="003756D4"/>
    <w:rsid w:val="003D7C8C"/>
    <w:rsid w:val="003E03BE"/>
    <w:rsid w:val="004A1761"/>
    <w:rsid w:val="004D64BC"/>
    <w:rsid w:val="00531173"/>
    <w:rsid w:val="00576438"/>
    <w:rsid w:val="005D32F9"/>
    <w:rsid w:val="00631122"/>
    <w:rsid w:val="00675D62"/>
    <w:rsid w:val="006C0389"/>
    <w:rsid w:val="006F1BC0"/>
    <w:rsid w:val="007375E8"/>
    <w:rsid w:val="00745E08"/>
    <w:rsid w:val="007730A1"/>
    <w:rsid w:val="007C392A"/>
    <w:rsid w:val="00813493"/>
    <w:rsid w:val="00820E66"/>
    <w:rsid w:val="008366D4"/>
    <w:rsid w:val="008416E5"/>
    <w:rsid w:val="00933532"/>
    <w:rsid w:val="009647E8"/>
    <w:rsid w:val="00A4177F"/>
    <w:rsid w:val="00A623C4"/>
    <w:rsid w:val="00AC74F1"/>
    <w:rsid w:val="00AF0703"/>
    <w:rsid w:val="00C13ACF"/>
    <w:rsid w:val="00CA3F97"/>
    <w:rsid w:val="00CE035D"/>
    <w:rsid w:val="00D02775"/>
    <w:rsid w:val="00D03044"/>
    <w:rsid w:val="00D04B4E"/>
    <w:rsid w:val="00D417C1"/>
    <w:rsid w:val="00D645F2"/>
    <w:rsid w:val="00D75958"/>
    <w:rsid w:val="00D9190F"/>
    <w:rsid w:val="00E02884"/>
    <w:rsid w:val="00E72B7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vi/phan-doi-va-huy-bo-nhan-hieu-tai-viet-nam-dua-tren-bang-chung-ve-su-dung-rong-rai-nhung-luu-y-de-gianh-thang-loi-trong-cac-tranh-chap-nhan-hi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enfoxlaw.com/vi/huy-bo-nhan-hieu-da-dang-ky-voi-dung-y-xau-chu-nhan-hieu-can-lam-g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kenfoxlaw.com/vi/chien-luoc-su-dung-chung-cu-trong-cac-vu-xam-pham-quyen-so-huu-tri-tue-o-viet-nam" TargetMode="External"/><Relationship Id="rId4" Type="http://schemas.openxmlformats.org/officeDocument/2006/relationships/webSettings" Target="webSettings.xml"/><Relationship Id="rId9" Type="http://schemas.openxmlformats.org/officeDocument/2006/relationships/hyperlink" Target="https://kenfoxlaw.com/vi/dau-la-chien-luoc-gianh-lai-nhan-hieu-khi-chua-dang-ky-tai-viet-na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9</cp:revision>
  <cp:lastPrinted>2023-02-07T03:49:00Z</cp:lastPrinted>
  <dcterms:created xsi:type="dcterms:W3CDTF">2023-02-07T03:35:00Z</dcterms:created>
  <dcterms:modified xsi:type="dcterms:W3CDTF">2024-05-06T07:00:00Z</dcterms:modified>
</cp:coreProperties>
</file>