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1E3E" w14:textId="23E36105" w:rsidR="00A62826" w:rsidRPr="00A62826" w:rsidRDefault="004D64BC" w:rsidP="00A62826">
      <w:pPr>
        <w:jc w:val="center"/>
        <w:outlineLvl w:val="0"/>
        <w:rPr>
          <w:rFonts w:ascii="Arial" w:hAnsi="Arial" w:cs="Arial"/>
          <w:b/>
          <w:iCs/>
          <w:color w:val="C00000"/>
          <w:sz w:val="24"/>
          <w:szCs w:val="24"/>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441DD7C" w:rsidR="00FA2CEE" w:rsidRPr="00BA68B8" w:rsidRDefault="00A62826" w:rsidP="00FA2CEE">
                            <w:pPr>
                              <w:spacing w:after="0" w:line="240" w:lineRule="auto"/>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441DD7C" w:rsidR="00FA2CEE" w:rsidRPr="00BA68B8" w:rsidRDefault="00A62826" w:rsidP="00FA2CEE">
                      <w:pPr>
                        <w:spacing w:after="0" w:line="240" w:lineRule="auto"/>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EA921DF" w:rsidR="00FA2CEE" w:rsidRPr="00CC7576" w:rsidRDefault="00A62826" w:rsidP="00FA2CEE">
                            <w:pPr>
                              <w:spacing w:after="0"/>
                              <w:jc w:val="center"/>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EA921DF" w:rsidR="00FA2CEE" w:rsidRPr="00CC7576" w:rsidRDefault="00A62826" w:rsidP="00FA2CEE">
                      <w:pPr>
                        <w:spacing w:after="0"/>
                        <w:jc w:val="center"/>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v:textbox>
                <w10:wrap anchorx="page"/>
              </v:rect>
            </w:pict>
          </mc:Fallback>
        </mc:AlternateContent>
      </w:r>
      <w:r w:rsidR="00745E08" w:rsidRPr="00745E08">
        <w:rPr>
          <w:rFonts w:ascii="Arial" w:hAnsi="Arial" w:cs="Arial"/>
          <w:b/>
          <w:iCs/>
          <w:color w:val="C00000"/>
        </w:rPr>
        <w:t xml:space="preserve"> </w:t>
      </w:r>
      <w:bookmarkStart w:id="0" w:name="_GoBack"/>
      <w:r w:rsidR="00A62826" w:rsidRPr="00A62826">
        <w:rPr>
          <w:rFonts w:ascii="Arial" w:hAnsi="Arial" w:cs="Arial"/>
          <w:b/>
          <w:iCs/>
          <w:color w:val="C00000"/>
          <w:sz w:val="24"/>
          <w:szCs w:val="24"/>
        </w:rPr>
        <w:t>How to Establish That the Applicant “Knew” or “Had a Basis to Know” in Cases of Trademark Registration in Bad Faith</w:t>
      </w:r>
      <w:bookmarkEnd w:id="0"/>
      <w:r w:rsidR="00A62826" w:rsidRPr="00A62826">
        <w:rPr>
          <w:rFonts w:ascii="Arial" w:hAnsi="Arial" w:cs="Arial"/>
          <w:b/>
          <w:iCs/>
          <w:color w:val="C00000"/>
          <w:sz w:val="24"/>
          <w:szCs w:val="24"/>
        </w:rPr>
        <w:t>?</w:t>
      </w:r>
    </w:p>
    <w:p w14:paraId="7E71ED23" w14:textId="77777777" w:rsidR="00A62826" w:rsidRPr="00D45021" w:rsidRDefault="00A62826" w:rsidP="00A62826">
      <w:pPr>
        <w:spacing w:after="0" w:line="240" w:lineRule="auto"/>
        <w:jc w:val="both"/>
        <w:rPr>
          <w:rFonts w:ascii="Arial" w:hAnsi="Arial" w:cs="Arial"/>
          <w:sz w:val="20"/>
          <w:szCs w:val="20"/>
        </w:rPr>
      </w:pPr>
    </w:p>
    <w:p w14:paraId="73A355E4" w14:textId="77777777" w:rsidR="00A62826" w:rsidRPr="00681436" w:rsidRDefault="00A62826" w:rsidP="00A62826">
      <w:pPr>
        <w:spacing w:after="0" w:line="240" w:lineRule="auto"/>
        <w:jc w:val="both"/>
        <w:rPr>
          <w:rFonts w:ascii="Arial" w:hAnsi="Arial" w:cs="Arial"/>
          <w:i/>
          <w:iCs/>
          <w:sz w:val="20"/>
          <w:szCs w:val="20"/>
        </w:rPr>
      </w:pPr>
      <w:r w:rsidRPr="00681436">
        <w:rPr>
          <w:rFonts w:ascii="Arial" w:hAnsi="Arial" w:cs="Arial"/>
          <w:i/>
          <w:iCs/>
          <w:sz w:val="20"/>
          <w:szCs w:val="20"/>
        </w:rPr>
        <w:t xml:space="preserve">Proving that the trademark registration applicant “knew” or “had a basis to know” about the trademark of legitimate trademark owners under Article 34.2 of Circular 23/2023/TT-BKHCN is not simple. Vietnam's Intellectual Property Law does not establish specific regulations on documents that need to be provided for proof purposes. However, on the basis that trademark disputes registered in “bad faith” have been handled, KENFOX IP &amp; Law Office provides an overview of necessary documents and evidence to help </w:t>
      </w:r>
      <w:r>
        <w:rPr>
          <w:rFonts w:ascii="Arial" w:hAnsi="Arial" w:cs="Arial"/>
          <w:i/>
          <w:iCs/>
          <w:sz w:val="20"/>
          <w:szCs w:val="20"/>
        </w:rPr>
        <w:t>legitimate</w:t>
      </w:r>
      <w:r w:rsidRPr="00681436">
        <w:rPr>
          <w:rFonts w:ascii="Arial" w:hAnsi="Arial" w:cs="Arial"/>
          <w:i/>
          <w:iCs/>
          <w:sz w:val="20"/>
          <w:szCs w:val="20"/>
        </w:rPr>
        <w:t xml:space="preserve"> trademark owners prove that the applicant “knew” or “had a basis to know” about that trademark before filing an application for registration in Vietnam.</w:t>
      </w:r>
    </w:p>
    <w:p w14:paraId="5C230789" w14:textId="77777777" w:rsidR="00A62826" w:rsidRPr="00D45021" w:rsidRDefault="00A62826" w:rsidP="00A62826">
      <w:pPr>
        <w:spacing w:after="0" w:line="240" w:lineRule="auto"/>
        <w:jc w:val="both"/>
        <w:rPr>
          <w:rFonts w:ascii="Arial" w:hAnsi="Arial" w:cs="Arial"/>
          <w:sz w:val="20"/>
          <w:szCs w:val="20"/>
        </w:rPr>
      </w:pPr>
    </w:p>
    <w:p w14:paraId="46E4E86A" w14:textId="77777777" w:rsidR="00A62826" w:rsidRPr="002A6D8A" w:rsidRDefault="00A62826" w:rsidP="00A62826">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1. Reputation or widespread use of the mark</w:t>
      </w:r>
    </w:p>
    <w:p w14:paraId="56B4F596" w14:textId="77777777" w:rsidR="00A62826" w:rsidRPr="00D45021" w:rsidRDefault="00A62826" w:rsidP="00A62826">
      <w:pPr>
        <w:spacing w:after="0" w:line="240" w:lineRule="auto"/>
        <w:jc w:val="both"/>
        <w:rPr>
          <w:rFonts w:ascii="Arial" w:hAnsi="Arial" w:cs="Arial"/>
          <w:sz w:val="20"/>
          <w:szCs w:val="20"/>
        </w:rPr>
      </w:pPr>
    </w:p>
    <w:p w14:paraId="773E557A" w14:textId="77777777" w:rsidR="00A62826" w:rsidRPr="00D45021" w:rsidRDefault="00A62826" w:rsidP="00A62826">
      <w:pPr>
        <w:spacing w:after="0" w:line="240" w:lineRule="auto"/>
        <w:jc w:val="both"/>
        <w:rPr>
          <w:rFonts w:ascii="Arial" w:hAnsi="Arial" w:cs="Arial"/>
          <w:sz w:val="20"/>
          <w:szCs w:val="20"/>
        </w:rPr>
      </w:pPr>
      <w:r w:rsidRPr="00681436">
        <w:rPr>
          <w:rFonts w:ascii="Arial" w:hAnsi="Arial" w:cs="Arial"/>
          <w:sz w:val="20"/>
          <w:szCs w:val="20"/>
        </w:rPr>
        <w:t>These documents are intended to demonstrate that the trademark is recognized by the public, actively marketed, and widely known. This makes it reasonable to assume that anyone in the relevant field or even the general public would already know the brand. Therefore, the applicant cannot be unaware of the existence of the trademark before filing the application in Vietnam. The documents that need to be provided are as follows</w:t>
      </w:r>
      <w:r w:rsidRPr="00D45021">
        <w:rPr>
          <w:rFonts w:ascii="Arial" w:hAnsi="Arial" w:cs="Arial"/>
          <w:sz w:val="20"/>
          <w:szCs w:val="20"/>
        </w:rPr>
        <w:t>:</w:t>
      </w:r>
    </w:p>
    <w:p w14:paraId="2D622F4B" w14:textId="77777777" w:rsidR="00A62826" w:rsidRPr="00D45021" w:rsidRDefault="00A62826" w:rsidP="00A62826">
      <w:pPr>
        <w:spacing w:after="0" w:line="240" w:lineRule="auto"/>
        <w:jc w:val="both"/>
        <w:rPr>
          <w:rFonts w:ascii="Arial" w:hAnsi="Arial" w:cs="Arial"/>
          <w:sz w:val="20"/>
          <w:szCs w:val="20"/>
        </w:rPr>
      </w:pPr>
    </w:p>
    <w:p w14:paraId="2ABD2165" w14:textId="77777777" w:rsidR="00A62826" w:rsidRPr="00D45021" w:rsidRDefault="00A62826" w:rsidP="00A62826">
      <w:pPr>
        <w:pStyle w:val="ListParagraph"/>
        <w:numPr>
          <w:ilvl w:val="0"/>
          <w:numId w:val="19"/>
        </w:numPr>
        <w:spacing w:after="0" w:line="240" w:lineRule="auto"/>
        <w:ind w:left="270" w:hanging="270"/>
        <w:jc w:val="both"/>
        <w:rPr>
          <w:rFonts w:ascii="Arial" w:hAnsi="Arial" w:cs="Arial"/>
          <w:sz w:val="20"/>
          <w:szCs w:val="20"/>
        </w:rPr>
      </w:pPr>
      <w:r w:rsidRPr="00D45021">
        <w:rPr>
          <w:rFonts w:ascii="Arial" w:hAnsi="Arial" w:cs="Arial"/>
          <w:i/>
          <w:iCs/>
          <w:sz w:val="20"/>
          <w:szCs w:val="20"/>
        </w:rPr>
        <w:t>Trademark Registration Certificates</w:t>
      </w:r>
      <w:r w:rsidRPr="00D45021">
        <w:rPr>
          <w:rFonts w:ascii="Arial" w:hAnsi="Arial" w:cs="Arial"/>
          <w:sz w:val="20"/>
          <w:szCs w:val="20"/>
        </w:rPr>
        <w:t>: Provide a copy of the trademark registration prior to the trademark filing date, showing that the true owner's trademark has been officially recognized and protected.</w:t>
      </w:r>
    </w:p>
    <w:p w14:paraId="34B6EEAB" w14:textId="77777777" w:rsidR="00A62826" w:rsidRPr="00D45021" w:rsidRDefault="00A62826" w:rsidP="00A62826">
      <w:pPr>
        <w:pStyle w:val="ListParagraph"/>
        <w:spacing w:after="0" w:line="240" w:lineRule="auto"/>
        <w:ind w:left="270"/>
        <w:jc w:val="both"/>
        <w:rPr>
          <w:rFonts w:ascii="Arial" w:hAnsi="Arial" w:cs="Arial"/>
          <w:sz w:val="20"/>
          <w:szCs w:val="20"/>
        </w:rPr>
      </w:pPr>
    </w:p>
    <w:p w14:paraId="68EEDAD4" w14:textId="77777777" w:rsidR="00A62826" w:rsidRPr="00D45021" w:rsidRDefault="00A62826" w:rsidP="00A62826">
      <w:pPr>
        <w:pStyle w:val="ListParagraph"/>
        <w:numPr>
          <w:ilvl w:val="0"/>
          <w:numId w:val="19"/>
        </w:numPr>
        <w:spacing w:after="0" w:line="240" w:lineRule="auto"/>
        <w:ind w:left="270" w:hanging="270"/>
        <w:jc w:val="both"/>
        <w:rPr>
          <w:rFonts w:ascii="Arial" w:hAnsi="Arial" w:cs="Arial"/>
          <w:sz w:val="20"/>
          <w:szCs w:val="20"/>
        </w:rPr>
      </w:pPr>
      <w:r w:rsidRPr="00D45021">
        <w:rPr>
          <w:rFonts w:ascii="Arial" w:hAnsi="Arial" w:cs="Arial"/>
          <w:i/>
          <w:iCs/>
          <w:sz w:val="20"/>
          <w:szCs w:val="20"/>
        </w:rPr>
        <w:t>Sales and marketing materials</w:t>
      </w:r>
      <w:r w:rsidRPr="00D45021">
        <w:rPr>
          <w:rFonts w:ascii="Arial" w:hAnsi="Arial" w:cs="Arial"/>
          <w:sz w:val="20"/>
          <w:szCs w:val="20"/>
        </w:rPr>
        <w:t xml:space="preserve">: Demonstrate widespread use of the mark in commerce, including promotional materials, sales data, advertising campaigns, and distribution information, particularly in regions where </w:t>
      </w:r>
      <w:r>
        <w:rPr>
          <w:rFonts w:ascii="Arial" w:hAnsi="Arial" w:cs="Arial"/>
          <w:sz w:val="20"/>
          <w:szCs w:val="20"/>
        </w:rPr>
        <w:t>the legitimate trademark owner is doing business</w:t>
      </w:r>
      <w:r w:rsidRPr="00D45021">
        <w:rPr>
          <w:rFonts w:ascii="Arial" w:hAnsi="Arial" w:cs="Arial"/>
          <w:sz w:val="20"/>
          <w:szCs w:val="20"/>
        </w:rPr>
        <w:t>.</w:t>
      </w:r>
    </w:p>
    <w:p w14:paraId="2E4DE683" w14:textId="77777777" w:rsidR="00A62826" w:rsidRPr="002A6D8A" w:rsidRDefault="00A62826" w:rsidP="00A62826">
      <w:pPr>
        <w:spacing w:after="0" w:line="240" w:lineRule="auto"/>
        <w:jc w:val="both"/>
        <w:rPr>
          <w:rFonts w:ascii="Arial" w:hAnsi="Arial" w:cs="Arial"/>
          <w:b/>
          <w:bCs/>
          <w:color w:val="2F5496" w:themeColor="accent1" w:themeShade="BF"/>
        </w:rPr>
      </w:pPr>
    </w:p>
    <w:p w14:paraId="7D90EDDA" w14:textId="77777777" w:rsidR="00A62826" w:rsidRPr="002A6D8A" w:rsidRDefault="00A62826" w:rsidP="00A62826">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2. Documentation of public outreach</w:t>
      </w:r>
    </w:p>
    <w:p w14:paraId="3C01C23A" w14:textId="77777777" w:rsidR="00A62826" w:rsidRPr="00D45021" w:rsidRDefault="00A62826" w:rsidP="00A62826">
      <w:pPr>
        <w:spacing w:after="0" w:line="240" w:lineRule="auto"/>
        <w:jc w:val="both"/>
        <w:rPr>
          <w:rFonts w:ascii="Arial" w:hAnsi="Arial" w:cs="Arial"/>
          <w:sz w:val="20"/>
          <w:szCs w:val="20"/>
        </w:rPr>
      </w:pPr>
    </w:p>
    <w:p w14:paraId="2A84F2A1" w14:textId="77777777" w:rsidR="00A62826" w:rsidRPr="00D45021" w:rsidRDefault="00A62826" w:rsidP="00A62826">
      <w:pPr>
        <w:pStyle w:val="ListParagraph"/>
        <w:numPr>
          <w:ilvl w:val="0"/>
          <w:numId w:val="20"/>
        </w:numPr>
        <w:spacing w:after="0" w:line="240" w:lineRule="auto"/>
        <w:ind w:left="270" w:hanging="270"/>
        <w:jc w:val="both"/>
        <w:rPr>
          <w:rFonts w:ascii="Arial" w:hAnsi="Arial" w:cs="Arial"/>
          <w:sz w:val="20"/>
          <w:szCs w:val="20"/>
        </w:rPr>
      </w:pPr>
      <w:r w:rsidRPr="00D45021">
        <w:rPr>
          <w:rFonts w:ascii="Arial" w:hAnsi="Arial" w:cs="Arial"/>
          <w:i/>
          <w:iCs/>
          <w:sz w:val="20"/>
          <w:szCs w:val="20"/>
        </w:rPr>
        <w:t>Public presence</w:t>
      </w:r>
      <w:r w:rsidRPr="00D45021">
        <w:rPr>
          <w:rFonts w:ascii="Arial" w:hAnsi="Arial" w:cs="Arial"/>
          <w:sz w:val="20"/>
          <w:szCs w:val="20"/>
        </w:rPr>
        <w:t>: Document</w:t>
      </w:r>
      <w:r>
        <w:rPr>
          <w:rFonts w:ascii="Arial" w:hAnsi="Arial" w:cs="Arial"/>
          <w:sz w:val="20"/>
          <w:szCs w:val="20"/>
        </w:rPr>
        <w:t xml:space="preserve"> </w:t>
      </w:r>
      <w:r w:rsidRPr="00D45021">
        <w:rPr>
          <w:rFonts w:ascii="Arial" w:hAnsi="Arial" w:cs="Arial"/>
          <w:sz w:val="20"/>
          <w:szCs w:val="20"/>
        </w:rPr>
        <w:t xml:space="preserve">of participation in the display of branded goods at trade fairs, exhibitions or industry events where the trademark of the </w:t>
      </w:r>
      <w:r>
        <w:rPr>
          <w:rFonts w:ascii="Arial" w:hAnsi="Arial" w:cs="Arial"/>
          <w:sz w:val="20"/>
          <w:szCs w:val="20"/>
        </w:rPr>
        <w:t>true</w:t>
      </w:r>
      <w:r w:rsidRPr="00D45021">
        <w:rPr>
          <w:rFonts w:ascii="Arial" w:hAnsi="Arial" w:cs="Arial"/>
          <w:sz w:val="20"/>
          <w:szCs w:val="20"/>
        </w:rPr>
        <w:t xml:space="preserve"> trademark owner was displayed and the applicant may have attended.</w:t>
      </w:r>
    </w:p>
    <w:p w14:paraId="495CCFDF" w14:textId="77777777" w:rsidR="00A62826" w:rsidRPr="00D45021" w:rsidRDefault="00A62826" w:rsidP="00A62826">
      <w:pPr>
        <w:spacing w:after="0" w:line="240" w:lineRule="auto"/>
        <w:ind w:left="270" w:hanging="270"/>
        <w:jc w:val="both"/>
        <w:rPr>
          <w:rFonts w:ascii="Arial" w:hAnsi="Arial" w:cs="Arial"/>
          <w:sz w:val="20"/>
          <w:szCs w:val="20"/>
        </w:rPr>
      </w:pPr>
    </w:p>
    <w:p w14:paraId="089F7F7F" w14:textId="77777777" w:rsidR="00A62826" w:rsidRPr="00317C8E" w:rsidRDefault="00A62826" w:rsidP="00A62826">
      <w:pPr>
        <w:pStyle w:val="ListParagraph"/>
        <w:numPr>
          <w:ilvl w:val="0"/>
          <w:numId w:val="20"/>
        </w:numPr>
        <w:spacing w:after="0" w:line="240" w:lineRule="auto"/>
        <w:ind w:left="270" w:hanging="270"/>
        <w:jc w:val="both"/>
        <w:rPr>
          <w:rFonts w:ascii="Arial" w:hAnsi="Arial" w:cs="Arial"/>
          <w:sz w:val="20"/>
          <w:szCs w:val="20"/>
        </w:rPr>
      </w:pPr>
      <w:r w:rsidRPr="00317C8E">
        <w:rPr>
          <w:rFonts w:ascii="Arial" w:hAnsi="Arial" w:cs="Arial"/>
          <w:i/>
          <w:iCs/>
          <w:sz w:val="20"/>
          <w:szCs w:val="20"/>
        </w:rPr>
        <w:t>Publications and communications</w:t>
      </w:r>
      <w:r w:rsidRPr="00317C8E">
        <w:rPr>
          <w:rFonts w:ascii="Arial" w:hAnsi="Arial" w:cs="Arial"/>
          <w:sz w:val="20"/>
          <w:szCs w:val="20"/>
        </w:rPr>
        <w:t>: Articles, news reports, and publications showcase branded merchandise and demonstrate the brand's visibility and recognition within the industry.</w:t>
      </w:r>
    </w:p>
    <w:p w14:paraId="69EAEAAC" w14:textId="77777777" w:rsidR="00A62826" w:rsidRPr="00D45021" w:rsidRDefault="00A62826" w:rsidP="00A62826">
      <w:pPr>
        <w:spacing w:after="0" w:line="240" w:lineRule="auto"/>
        <w:jc w:val="both"/>
        <w:rPr>
          <w:rFonts w:ascii="Arial" w:hAnsi="Arial" w:cs="Arial"/>
          <w:sz w:val="20"/>
          <w:szCs w:val="20"/>
        </w:rPr>
      </w:pPr>
    </w:p>
    <w:p w14:paraId="7439C9E2" w14:textId="77777777" w:rsidR="00A62826" w:rsidRPr="002A6D8A" w:rsidRDefault="00A62826" w:rsidP="00A62826">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3. Presence in the digital environment</w:t>
      </w:r>
    </w:p>
    <w:p w14:paraId="6802D78A" w14:textId="77777777" w:rsidR="00A62826" w:rsidRPr="00D45021" w:rsidRDefault="00A62826" w:rsidP="00A62826">
      <w:pPr>
        <w:spacing w:after="0" w:line="240" w:lineRule="auto"/>
        <w:jc w:val="both"/>
        <w:rPr>
          <w:rFonts w:ascii="Arial" w:hAnsi="Arial" w:cs="Arial"/>
          <w:sz w:val="20"/>
          <w:szCs w:val="20"/>
        </w:rPr>
      </w:pPr>
    </w:p>
    <w:p w14:paraId="5013AD76" w14:textId="77777777" w:rsidR="00A62826" w:rsidRPr="00D45021" w:rsidRDefault="00A62826" w:rsidP="00A62826">
      <w:pPr>
        <w:pStyle w:val="ListParagraph"/>
        <w:numPr>
          <w:ilvl w:val="0"/>
          <w:numId w:val="21"/>
        </w:numPr>
        <w:spacing w:after="0" w:line="240" w:lineRule="auto"/>
        <w:ind w:left="270" w:hanging="270"/>
        <w:jc w:val="both"/>
        <w:rPr>
          <w:rFonts w:ascii="Arial" w:hAnsi="Arial" w:cs="Arial"/>
          <w:sz w:val="20"/>
          <w:szCs w:val="20"/>
        </w:rPr>
      </w:pPr>
      <w:r w:rsidRPr="00D45021">
        <w:rPr>
          <w:rFonts w:ascii="Arial" w:hAnsi="Arial" w:cs="Arial"/>
          <w:i/>
          <w:iCs/>
          <w:sz w:val="20"/>
          <w:szCs w:val="20"/>
        </w:rPr>
        <w:t>Online presence</w:t>
      </w:r>
      <w:r w:rsidRPr="00D45021">
        <w:rPr>
          <w:rFonts w:ascii="Arial" w:hAnsi="Arial" w:cs="Arial"/>
          <w:sz w:val="20"/>
          <w:szCs w:val="20"/>
        </w:rPr>
        <w:t xml:space="preserve">: Documents and data about the online visibility of the brand owner's trademark, such as search engine results, website traffic statistics and online </w:t>
      </w:r>
      <w:r>
        <w:rPr>
          <w:rFonts w:ascii="Arial" w:hAnsi="Arial" w:cs="Arial"/>
          <w:sz w:val="20"/>
          <w:szCs w:val="20"/>
        </w:rPr>
        <w:t>social platforms</w:t>
      </w:r>
      <w:r w:rsidRPr="00D45021">
        <w:rPr>
          <w:rFonts w:ascii="Arial" w:hAnsi="Arial" w:cs="Arial"/>
          <w:sz w:val="20"/>
          <w:szCs w:val="20"/>
        </w:rPr>
        <w:t>.</w:t>
      </w:r>
    </w:p>
    <w:p w14:paraId="1DF26A07" w14:textId="77777777" w:rsidR="00A62826" w:rsidRPr="00D45021" w:rsidRDefault="00A62826" w:rsidP="00A62826">
      <w:pPr>
        <w:spacing w:after="0" w:line="240" w:lineRule="auto"/>
        <w:ind w:left="270" w:hanging="270"/>
        <w:jc w:val="both"/>
        <w:rPr>
          <w:rFonts w:ascii="Arial" w:hAnsi="Arial" w:cs="Arial"/>
          <w:sz w:val="20"/>
          <w:szCs w:val="20"/>
        </w:rPr>
      </w:pPr>
    </w:p>
    <w:p w14:paraId="77DA4011" w14:textId="77777777" w:rsidR="00A62826" w:rsidRPr="00D45021" w:rsidRDefault="00A62826" w:rsidP="00A62826">
      <w:pPr>
        <w:pStyle w:val="ListParagraph"/>
        <w:numPr>
          <w:ilvl w:val="0"/>
          <w:numId w:val="21"/>
        </w:numPr>
        <w:spacing w:after="0" w:line="240" w:lineRule="auto"/>
        <w:ind w:left="270" w:hanging="270"/>
        <w:jc w:val="both"/>
        <w:rPr>
          <w:rFonts w:ascii="Arial" w:hAnsi="Arial" w:cs="Arial"/>
          <w:sz w:val="20"/>
          <w:szCs w:val="20"/>
        </w:rPr>
      </w:pPr>
      <w:r w:rsidRPr="00D45021">
        <w:rPr>
          <w:rFonts w:ascii="Arial" w:hAnsi="Arial" w:cs="Arial"/>
          <w:i/>
          <w:iCs/>
          <w:sz w:val="20"/>
          <w:szCs w:val="20"/>
        </w:rPr>
        <w:t>Domain name</w:t>
      </w:r>
      <w:r w:rsidRPr="00D45021">
        <w:rPr>
          <w:rFonts w:ascii="Arial" w:hAnsi="Arial" w:cs="Arial"/>
          <w:sz w:val="20"/>
          <w:szCs w:val="20"/>
        </w:rPr>
        <w:t xml:space="preserve">: Documentation of a domain name registration that matches or is closely related to the trademark of the </w:t>
      </w:r>
      <w:r>
        <w:rPr>
          <w:rFonts w:ascii="Arial" w:hAnsi="Arial" w:cs="Arial"/>
          <w:sz w:val="20"/>
          <w:szCs w:val="20"/>
        </w:rPr>
        <w:t>legitimate</w:t>
      </w:r>
      <w:r w:rsidRPr="00D45021">
        <w:rPr>
          <w:rFonts w:ascii="Arial" w:hAnsi="Arial" w:cs="Arial"/>
          <w:sz w:val="20"/>
          <w:szCs w:val="20"/>
        </w:rPr>
        <w:t xml:space="preserve"> trademark owner, showing that the trademark was in use in the digital environment before the applicant's filing date.</w:t>
      </w:r>
    </w:p>
    <w:p w14:paraId="0AD8CEDB" w14:textId="77777777" w:rsidR="00A62826" w:rsidRPr="00D45021" w:rsidRDefault="00A62826" w:rsidP="00A62826">
      <w:pPr>
        <w:spacing w:after="0" w:line="240" w:lineRule="auto"/>
        <w:jc w:val="both"/>
        <w:rPr>
          <w:rFonts w:ascii="Arial" w:hAnsi="Arial" w:cs="Arial"/>
          <w:sz w:val="20"/>
          <w:szCs w:val="20"/>
        </w:rPr>
      </w:pPr>
    </w:p>
    <w:p w14:paraId="3A8452A5" w14:textId="77777777" w:rsidR="00A62826" w:rsidRPr="002A6D8A" w:rsidRDefault="00A62826" w:rsidP="00A62826">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 xml:space="preserve">4. Market survey and consumer evaluation and </w:t>
      </w:r>
      <w:r>
        <w:rPr>
          <w:rFonts w:ascii="Arial" w:hAnsi="Arial" w:cs="Arial"/>
          <w:b/>
          <w:bCs/>
          <w:color w:val="2F5496" w:themeColor="accent1" w:themeShade="BF"/>
        </w:rPr>
        <w:t>recognition</w:t>
      </w:r>
    </w:p>
    <w:p w14:paraId="0163486E" w14:textId="77777777" w:rsidR="00A62826" w:rsidRPr="00D45021" w:rsidRDefault="00A62826" w:rsidP="00A62826">
      <w:pPr>
        <w:spacing w:after="0" w:line="240" w:lineRule="auto"/>
        <w:jc w:val="both"/>
        <w:rPr>
          <w:rFonts w:ascii="Arial" w:hAnsi="Arial" w:cs="Arial"/>
          <w:sz w:val="20"/>
          <w:szCs w:val="20"/>
        </w:rPr>
      </w:pPr>
    </w:p>
    <w:p w14:paraId="58DE582F" w14:textId="77777777" w:rsidR="00A62826" w:rsidRPr="00D45021" w:rsidRDefault="00A62826" w:rsidP="00A62826">
      <w:pPr>
        <w:pStyle w:val="ListParagraph"/>
        <w:numPr>
          <w:ilvl w:val="0"/>
          <w:numId w:val="22"/>
        </w:numPr>
        <w:spacing w:after="0" w:line="240" w:lineRule="auto"/>
        <w:ind w:left="270" w:hanging="270"/>
        <w:jc w:val="both"/>
        <w:rPr>
          <w:rFonts w:ascii="Arial" w:hAnsi="Arial" w:cs="Arial"/>
          <w:sz w:val="20"/>
          <w:szCs w:val="20"/>
        </w:rPr>
      </w:pPr>
      <w:r w:rsidRPr="00D45021">
        <w:rPr>
          <w:rFonts w:ascii="Arial" w:hAnsi="Arial" w:cs="Arial"/>
          <w:i/>
          <w:iCs/>
          <w:sz w:val="20"/>
          <w:szCs w:val="20"/>
        </w:rPr>
        <w:t>Surveys</w:t>
      </w:r>
      <w:r w:rsidRPr="00D45021">
        <w:rPr>
          <w:rFonts w:ascii="Arial" w:hAnsi="Arial" w:cs="Arial"/>
          <w:sz w:val="20"/>
          <w:szCs w:val="20"/>
        </w:rPr>
        <w:t>: Consumer survey documents show that consumer awareness of the brand is associated with the product/service of the authentic brand owner.</w:t>
      </w:r>
    </w:p>
    <w:p w14:paraId="64E9F411" w14:textId="77777777" w:rsidR="00A62826" w:rsidRPr="00D45021" w:rsidRDefault="00A62826" w:rsidP="00A62826">
      <w:pPr>
        <w:pStyle w:val="ListParagraph"/>
        <w:spacing w:after="0" w:line="240" w:lineRule="auto"/>
        <w:ind w:left="270"/>
        <w:jc w:val="both"/>
        <w:rPr>
          <w:rFonts w:ascii="Arial" w:hAnsi="Arial" w:cs="Arial"/>
          <w:sz w:val="20"/>
          <w:szCs w:val="20"/>
        </w:rPr>
      </w:pPr>
    </w:p>
    <w:p w14:paraId="7E45122E" w14:textId="77777777" w:rsidR="00A62826" w:rsidRPr="00D45021" w:rsidRDefault="00A62826" w:rsidP="00A62826">
      <w:pPr>
        <w:pStyle w:val="ListParagraph"/>
        <w:numPr>
          <w:ilvl w:val="0"/>
          <w:numId w:val="22"/>
        </w:numPr>
        <w:spacing w:after="0" w:line="240" w:lineRule="auto"/>
        <w:ind w:left="270" w:hanging="270"/>
        <w:jc w:val="both"/>
        <w:rPr>
          <w:rFonts w:ascii="Arial" w:hAnsi="Arial" w:cs="Arial"/>
          <w:sz w:val="20"/>
          <w:szCs w:val="20"/>
        </w:rPr>
      </w:pPr>
      <w:r w:rsidRPr="00D45021">
        <w:rPr>
          <w:rFonts w:ascii="Arial" w:hAnsi="Arial" w:cs="Arial"/>
          <w:i/>
          <w:iCs/>
          <w:sz w:val="20"/>
          <w:szCs w:val="20"/>
        </w:rPr>
        <w:t>Evaluations and certifications</w:t>
      </w:r>
      <w:r w:rsidRPr="00D45021">
        <w:rPr>
          <w:rFonts w:ascii="Arial" w:hAnsi="Arial" w:cs="Arial"/>
          <w:sz w:val="20"/>
          <w:szCs w:val="20"/>
        </w:rPr>
        <w:t xml:space="preserve">: Documentation of evaluations and </w:t>
      </w:r>
      <w:r>
        <w:rPr>
          <w:rFonts w:ascii="Arial" w:hAnsi="Arial" w:cs="Arial"/>
          <w:sz w:val="20"/>
          <w:szCs w:val="20"/>
        </w:rPr>
        <w:t>recognition</w:t>
      </w:r>
      <w:r w:rsidRPr="00D45021">
        <w:rPr>
          <w:rFonts w:ascii="Arial" w:hAnsi="Arial" w:cs="Arial"/>
          <w:sz w:val="20"/>
          <w:szCs w:val="20"/>
        </w:rPr>
        <w:t xml:space="preserve"> from customers or partners about the brand and linking that brand to the business of the </w:t>
      </w:r>
      <w:r>
        <w:rPr>
          <w:rFonts w:ascii="Arial" w:hAnsi="Arial" w:cs="Arial"/>
          <w:sz w:val="20"/>
          <w:szCs w:val="20"/>
        </w:rPr>
        <w:t>legitimate</w:t>
      </w:r>
      <w:r w:rsidRPr="00D45021">
        <w:rPr>
          <w:rFonts w:ascii="Arial" w:hAnsi="Arial" w:cs="Arial"/>
          <w:sz w:val="20"/>
          <w:szCs w:val="20"/>
        </w:rPr>
        <w:t xml:space="preserve"> brand owner.</w:t>
      </w:r>
    </w:p>
    <w:p w14:paraId="3AD75F07" w14:textId="77777777" w:rsidR="00A62826" w:rsidRPr="00D45021" w:rsidRDefault="00A62826" w:rsidP="00A62826">
      <w:pPr>
        <w:spacing w:after="0" w:line="240" w:lineRule="auto"/>
        <w:jc w:val="both"/>
        <w:rPr>
          <w:rFonts w:ascii="Arial" w:hAnsi="Arial" w:cs="Arial"/>
          <w:b/>
          <w:bCs/>
          <w:sz w:val="20"/>
          <w:szCs w:val="20"/>
        </w:rPr>
      </w:pPr>
    </w:p>
    <w:p w14:paraId="7365742B" w14:textId="77777777" w:rsidR="00A62826" w:rsidRPr="002A6D8A" w:rsidRDefault="00A62826" w:rsidP="00A62826">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5. Previous relationships</w:t>
      </w:r>
    </w:p>
    <w:p w14:paraId="162693A7" w14:textId="77777777" w:rsidR="00A62826" w:rsidRPr="00D45021" w:rsidRDefault="00A62826" w:rsidP="00A62826">
      <w:pPr>
        <w:spacing w:after="0" w:line="240" w:lineRule="auto"/>
        <w:jc w:val="both"/>
        <w:rPr>
          <w:rFonts w:ascii="Arial" w:hAnsi="Arial" w:cs="Arial"/>
          <w:sz w:val="20"/>
          <w:szCs w:val="20"/>
        </w:rPr>
      </w:pPr>
    </w:p>
    <w:p w14:paraId="60FB3539" w14:textId="77777777" w:rsidR="00A62826" w:rsidRDefault="00A62826" w:rsidP="00A62826">
      <w:pPr>
        <w:spacing w:after="0" w:line="240" w:lineRule="auto"/>
        <w:jc w:val="both"/>
        <w:rPr>
          <w:rFonts w:ascii="Arial" w:hAnsi="Arial" w:cs="Arial"/>
          <w:sz w:val="20"/>
          <w:szCs w:val="20"/>
        </w:rPr>
      </w:pPr>
      <w:r w:rsidRPr="00D45021">
        <w:rPr>
          <w:rFonts w:ascii="Arial" w:hAnsi="Arial" w:cs="Arial"/>
          <w:sz w:val="20"/>
          <w:szCs w:val="20"/>
        </w:rPr>
        <w:t xml:space="preserve">Documentation of </w:t>
      </w:r>
      <w:hyperlink r:id="rId7" w:history="1">
        <w:r w:rsidRPr="00E90F74">
          <w:rPr>
            <w:rStyle w:val="Hyperlink"/>
            <w:rFonts w:ascii="Arial" w:hAnsi="Arial" w:cs="Arial"/>
            <w:sz w:val="20"/>
            <w:szCs w:val="20"/>
          </w:rPr>
          <w:t xml:space="preserve">the </w:t>
        </w:r>
      </w:hyperlink>
      <w:hyperlink r:id="rId8" w:history="1">
        <w:r w:rsidRPr="00E90F74">
          <w:rPr>
            <w:rStyle w:val="Hyperlink"/>
            <w:rFonts w:ascii="Arial" w:hAnsi="Arial" w:cs="Arial"/>
            <w:sz w:val="20"/>
            <w:szCs w:val="20"/>
          </w:rPr>
          <w:t xml:space="preserve">previous </w:t>
        </w:r>
      </w:hyperlink>
      <w:hyperlink r:id="rId9" w:history="1">
        <w:r w:rsidRPr="00E90F74">
          <w:rPr>
            <w:rStyle w:val="Hyperlink"/>
            <w:rFonts w:ascii="Arial" w:hAnsi="Arial" w:cs="Arial"/>
            <w:sz w:val="20"/>
            <w:szCs w:val="20"/>
          </w:rPr>
          <w:t>relationshi</w:t>
        </w:r>
        <w:r w:rsidRPr="00BD7ED9">
          <w:rPr>
            <w:rStyle w:val="Hyperlink"/>
            <w:rFonts w:ascii="Arial" w:hAnsi="Arial" w:cs="Arial"/>
            <w:sz w:val="20"/>
            <w:szCs w:val="20"/>
          </w:rPr>
          <w:t xml:space="preserve">p </w:t>
        </w:r>
      </w:hyperlink>
      <w:r w:rsidRPr="00D45021">
        <w:rPr>
          <w:rFonts w:ascii="Arial" w:hAnsi="Arial" w:cs="Arial"/>
          <w:sz w:val="20"/>
          <w:szCs w:val="20"/>
        </w:rPr>
        <w:t xml:space="preserve">between the </w:t>
      </w:r>
      <w:r>
        <w:rPr>
          <w:rFonts w:ascii="Arial" w:hAnsi="Arial" w:cs="Arial"/>
          <w:sz w:val="20"/>
          <w:szCs w:val="20"/>
        </w:rPr>
        <w:t>legitimate</w:t>
      </w:r>
      <w:r w:rsidRPr="00D45021">
        <w:rPr>
          <w:rFonts w:ascii="Arial" w:hAnsi="Arial" w:cs="Arial"/>
          <w:sz w:val="20"/>
          <w:szCs w:val="20"/>
        </w:rPr>
        <w:t xml:space="preserve"> trademark owner and the applicant in bad faith is the strongest, convincing and most direct evidence</w:t>
      </w:r>
      <w:r>
        <w:rPr>
          <w:rFonts w:ascii="Arial" w:hAnsi="Arial" w:cs="Arial"/>
          <w:sz w:val="20"/>
          <w:szCs w:val="20"/>
        </w:rPr>
        <w:t>,</w:t>
      </w:r>
      <w:r w:rsidRPr="00D45021">
        <w:rPr>
          <w:rFonts w:ascii="Arial" w:hAnsi="Arial" w:cs="Arial"/>
          <w:sz w:val="20"/>
          <w:szCs w:val="20"/>
        </w:rPr>
        <w:t xml:space="preserve"> proving t the applicant</w:t>
      </w:r>
      <w:r>
        <w:rPr>
          <w:rFonts w:ascii="Arial" w:hAnsi="Arial" w:cs="Arial"/>
          <w:sz w:val="20"/>
          <w:szCs w:val="20"/>
        </w:rPr>
        <w:t>’s</w:t>
      </w:r>
      <w:r w:rsidRPr="00D45021">
        <w:rPr>
          <w:rFonts w:ascii="Arial" w:hAnsi="Arial" w:cs="Arial"/>
          <w:sz w:val="20"/>
          <w:szCs w:val="20"/>
        </w:rPr>
        <w:t xml:space="preserve"> aware</w:t>
      </w:r>
      <w:r>
        <w:rPr>
          <w:rFonts w:ascii="Arial" w:hAnsi="Arial" w:cs="Arial"/>
          <w:sz w:val="20"/>
          <w:szCs w:val="20"/>
        </w:rPr>
        <w:t>nes</w:t>
      </w:r>
      <w:r w:rsidRPr="00D45021">
        <w:rPr>
          <w:rFonts w:ascii="Arial" w:hAnsi="Arial" w:cs="Arial"/>
          <w:sz w:val="20"/>
          <w:szCs w:val="20"/>
        </w:rPr>
        <w:t xml:space="preserve"> of</w:t>
      </w:r>
      <w:r>
        <w:rPr>
          <w:rFonts w:ascii="Arial" w:hAnsi="Arial" w:cs="Arial"/>
          <w:sz w:val="20"/>
          <w:szCs w:val="20"/>
        </w:rPr>
        <w:t xml:space="preserve"> the existence of the trademark</w:t>
      </w:r>
      <w:r w:rsidRPr="00D45021">
        <w:rPr>
          <w:rFonts w:ascii="Arial" w:hAnsi="Arial" w:cs="Arial"/>
          <w:sz w:val="20"/>
          <w:szCs w:val="20"/>
        </w:rPr>
        <w:t>, including but not limited to the following documents:</w:t>
      </w:r>
    </w:p>
    <w:p w14:paraId="2035B775" w14:textId="77777777" w:rsidR="00A62826" w:rsidRPr="00D45021" w:rsidRDefault="00A62826" w:rsidP="00A62826">
      <w:pPr>
        <w:spacing w:after="0" w:line="240" w:lineRule="auto"/>
        <w:jc w:val="both"/>
        <w:rPr>
          <w:rFonts w:ascii="Arial" w:hAnsi="Arial" w:cs="Arial"/>
          <w:sz w:val="20"/>
          <w:szCs w:val="20"/>
        </w:rPr>
      </w:pPr>
    </w:p>
    <w:p w14:paraId="47CBBE9F" w14:textId="77777777" w:rsidR="00A62826" w:rsidRPr="00D45021" w:rsidRDefault="00A62826" w:rsidP="00A62826">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Emails, letters, and memorand</w:t>
      </w:r>
      <w:r>
        <w:rPr>
          <w:rFonts w:ascii="Arial" w:hAnsi="Arial" w:cs="Arial"/>
          <w:i/>
          <w:iCs/>
          <w:sz w:val="20"/>
          <w:szCs w:val="20"/>
        </w:rPr>
        <w:t>um</w:t>
      </w:r>
      <w:r w:rsidRPr="00D45021">
        <w:rPr>
          <w:rFonts w:ascii="Arial" w:hAnsi="Arial" w:cs="Arial"/>
          <w:i/>
          <w:iCs/>
          <w:sz w:val="20"/>
          <w:szCs w:val="20"/>
        </w:rPr>
        <w:t xml:space="preserve"> of understanding</w:t>
      </w:r>
      <w:r w:rsidRPr="00D45021">
        <w:rPr>
          <w:rFonts w:ascii="Arial" w:hAnsi="Arial" w:cs="Arial"/>
          <w:sz w:val="20"/>
          <w:szCs w:val="20"/>
        </w:rPr>
        <w:t xml:space="preserve">: Any written correspondence between the </w:t>
      </w:r>
      <w:r>
        <w:rPr>
          <w:rFonts w:ascii="Arial" w:hAnsi="Arial" w:cs="Arial"/>
          <w:sz w:val="20"/>
          <w:szCs w:val="20"/>
        </w:rPr>
        <w:t>legitimate</w:t>
      </w:r>
      <w:r w:rsidRPr="00D45021">
        <w:rPr>
          <w:rFonts w:ascii="Arial" w:hAnsi="Arial" w:cs="Arial"/>
          <w:sz w:val="20"/>
          <w:szCs w:val="20"/>
        </w:rPr>
        <w:t xml:space="preserve"> trademark owner and the applicant discussing the trademark or related business activities. Documents relating to any joint venture, collaboration or partnership in which the trademark is involved or discussed.</w:t>
      </w:r>
    </w:p>
    <w:p w14:paraId="6E5CBFA9" w14:textId="77777777" w:rsidR="00A62826" w:rsidRPr="00D45021" w:rsidRDefault="00A62826" w:rsidP="00A62826">
      <w:pPr>
        <w:spacing w:after="0" w:line="240" w:lineRule="auto"/>
        <w:ind w:left="450" w:hanging="450"/>
        <w:jc w:val="both"/>
        <w:rPr>
          <w:rFonts w:ascii="Arial" w:hAnsi="Arial" w:cs="Arial"/>
          <w:sz w:val="20"/>
          <w:szCs w:val="20"/>
        </w:rPr>
      </w:pPr>
    </w:p>
    <w:p w14:paraId="3D3C5E33" w14:textId="1686046A" w:rsidR="00A62826" w:rsidRPr="00A62826" w:rsidRDefault="00A62826" w:rsidP="00A62826">
      <w:pPr>
        <w:pStyle w:val="ListParagraph"/>
        <w:numPr>
          <w:ilvl w:val="0"/>
          <w:numId w:val="23"/>
        </w:numPr>
        <w:spacing w:after="0" w:line="240" w:lineRule="auto"/>
        <w:ind w:left="450" w:hanging="45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6076B6D" wp14:editId="7412FFF3">
                <wp:simplePos x="0" y="0"/>
                <wp:positionH relativeFrom="column">
                  <wp:posOffset>6372225</wp:posOffset>
                </wp:positionH>
                <wp:positionV relativeFrom="paragraph">
                  <wp:posOffset>-308610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B3F6A" w14:textId="77777777" w:rsidR="00A62826" w:rsidRPr="00BA68B8" w:rsidRDefault="00A62826" w:rsidP="00A62826">
                            <w:pPr>
                              <w:spacing w:after="0" w:line="240" w:lineRule="auto"/>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76B6D" id="Rectangle 1" o:spid="_x0000_s1028" style="position:absolute;left:0;text-align:left;margin-left:501.75pt;margin-top:-24.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" fillcolor="#00b39c" strokecolor="#00b39c" strokeweight="0">
                <v:textbox style="layout-flow:vertical">
                  <w:txbxContent>
                    <w:p w14:paraId="020B3F6A" w14:textId="77777777" w:rsidR="00A62826" w:rsidRPr="00BA68B8" w:rsidRDefault="00A62826" w:rsidP="00A62826">
                      <w:pPr>
                        <w:spacing w:after="0" w:line="240" w:lineRule="auto"/>
                        <w:rPr>
                          <w:rFonts w:ascii="Arial" w:hAnsi="Arial" w:cs="Arial"/>
                          <w:b/>
                          <w:color w:val="FFFFFF" w:themeColor="background1"/>
                          <w:sz w:val="20"/>
                          <w:szCs w:val="20"/>
                        </w:rPr>
                      </w:pPr>
                      <w:r w:rsidRPr="00A62826">
                        <w:rPr>
                          <w:rFonts w:ascii="Arial" w:hAnsi="Arial" w:cs="Arial"/>
                          <w:b/>
                          <w:bCs/>
                          <w:color w:val="FFFFFF" w:themeColor="background1"/>
                          <w:sz w:val="20"/>
                          <w:szCs w:val="20"/>
                        </w:rPr>
                        <w:t>Establish That the Applicant “Knew” or “Had a Basis to Know”</w:t>
                      </w:r>
                    </w:p>
                  </w:txbxContent>
                </v:textbox>
              </v:rect>
            </w:pict>
          </mc:Fallback>
        </mc:AlternateContent>
      </w:r>
      <w:r w:rsidRPr="00D45021">
        <w:rPr>
          <w:rFonts w:ascii="Arial" w:hAnsi="Arial" w:cs="Arial"/>
          <w:i/>
          <w:iCs/>
          <w:sz w:val="20"/>
          <w:szCs w:val="20"/>
        </w:rPr>
        <w:t xml:space="preserve">Meeting </w:t>
      </w:r>
      <w:r>
        <w:rPr>
          <w:rFonts w:ascii="Arial" w:hAnsi="Arial" w:cs="Arial"/>
          <w:i/>
          <w:iCs/>
          <w:sz w:val="20"/>
          <w:szCs w:val="20"/>
        </w:rPr>
        <w:t>m</w:t>
      </w:r>
      <w:r w:rsidRPr="00D45021">
        <w:rPr>
          <w:rFonts w:ascii="Arial" w:hAnsi="Arial" w:cs="Arial"/>
          <w:i/>
          <w:iCs/>
          <w:sz w:val="20"/>
          <w:szCs w:val="20"/>
        </w:rPr>
        <w:t>inutes</w:t>
      </w:r>
      <w:r w:rsidRPr="00D45021">
        <w:rPr>
          <w:rFonts w:ascii="Arial" w:hAnsi="Arial" w:cs="Arial"/>
          <w:sz w:val="20"/>
          <w:szCs w:val="20"/>
        </w:rPr>
        <w:t xml:space="preserve">: Documentation of meetings where trademarks were discussed. If the applicant </w:t>
      </w:r>
      <w:r>
        <w:rPr>
          <w:rFonts w:ascii="Arial" w:hAnsi="Arial" w:cs="Arial"/>
          <w:sz w:val="20"/>
          <w:szCs w:val="20"/>
        </w:rPr>
        <w:t>was</w:t>
      </w:r>
      <w:r w:rsidRPr="00D45021">
        <w:rPr>
          <w:rFonts w:ascii="Arial" w:hAnsi="Arial" w:cs="Arial"/>
          <w:sz w:val="20"/>
          <w:szCs w:val="20"/>
        </w:rPr>
        <w:t xml:space="preserve"> present at these meetings or </w:t>
      </w:r>
      <w:r>
        <w:rPr>
          <w:rFonts w:ascii="Arial" w:hAnsi="Arial" w:cs="Arial"/>
          <w:sz w:val="20"/>
          <w:szCs w:val="20"/>
        </w:rPr>
        <w:t>was</w:t>
      </w:r>
      <w:r w:rsidRPr="00D45021">
        <w:rPr>
          <w:rFonts w:ascii="Arial" w:hAnsi="Arial" w:cs="Arial"/>
          <w:sz w:val="20"/>
          <w:szCs w:val="20"/>
        </w:rPr>
        <w:t xml:space="preserve"> represented, these documents can serve as evidence of their knowledge.</w:t>
      </w:r>
    </w:p>
    <w:p w14:paraId="4FF6A198" w14:textId="292EE3C5" w:rsidR="00A62826" w:rsidRPr="00D45021" w:rsidRDefault="00A62826" w:rsidP="00A62826">
      <w:pPr>
        <w:spacing w:after="0" w:line="240" w:lineRule="auto"/>
        <w:ind w:left="450" w:hanging="450"/>
        <w:jc w:val="both"/>
        <w:rPr>
          <w:rFonts w:ascii="Arial" w:hAnsi="Arial" w:cs="Arial"/>
          <w:sz w:val="20"/>
          <w:szCs w:val="20"/>
        </w:rPr>
      </w:pPr>
    </w:p>
    <w:p w14:paraId="43A2209B" w14:textId="6E1FE375" w:rsidR="00A62826" w:rsidRPr="00D45021" w:rsidRDefault="00A62826" w:rsidP="00A62826">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Contract or agreement between two parties</w:t>
      </w:r>
      <w:r w:rsidRPr="00D45021">
        <w:rPr>
          <w:rFonts w:ascii="Arial" w:hAnsi="Arial" w:cs="Arial"/>
          <w:sz w:val="20"/>
          <w:szCs w:val="20"/>
        </w:rPr>
        <w:t>: Any contract or business agreement (even if not yet finalized) that mentions trademarks. This includes licensing agreements, non-disclosure agreements (NDAs) or any other commercial contracts in which the trademark is mentioned.</w:t>
      </w:r>
    </w:p>
    <w:p w14:paraId="3DC9B2B9" w14:textId="441E8805" w:rsidR="00A62826" w:rsidRPr="00D45021" w:rsidRDefault="00A62826" w:rsidP="00A62826">
      <w:pPr>
        <w:spacing w:after="0" w:line="240" w:lineRule="auto"/>
        <w:ind w:left="450" w:hanging="450"/>
        <w:jc w:val="both"/>
        <w:rPr>
          <w:rFonts w:ascii="Arial" w:hAnsi="Arial" w:cs="Arial"/>
          <w:sz w:val="20"/>
          <w:szCs w:val="20"/>
        </w:rPr>
      </w:pPr>
    </w:p>
    <w:p w14:paraId="7DDA49EE" w14:textId="4808E77C" w:rsidR="00A62826" w:rsidRPr="00D45021" w:rsidRDefault="00A62826" w:rsidP="00A62826">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Previous</w:t>
      </w:r>
      <w:r>
        <w:rPr>
          <w:rFonts w:ascii="Arial" w:hAnsi="Arial" w:cs="Arial"/>
          <w:i/>
          <w:iCs/>
          <w:sz w:val="20"/>
          <w:szCs w:val="20"/>
        </w:rPr>
        <w:t xml:space="preserve"> t</w:t>
      </w:r>
      <w:r w:rsidRPr="00D45021">
        <w:rPr>
          <w:rFonts w:ascii="Arial" w:hAnsi="Arial" w:cs="Arial"/>
          <w:i/>
          <w:iCs/>
          <w:sz w:val="20"/>
          <w:szCs w:val="20"/>
        </w:rPr>
        <w:t xml:space="preserve">rademark </w:t>
      </w:r>
      <w:r>
        <w:rPr>
          <w:rFonts w:ascii="Arial" w:hAnsi="Arial" w:cs="Arial"/>
          <w:i/>
          <w:iCs/>
          <w:sz w:val="20"/>
          <w:szCs w:val="20"/>
        </w:rPr>
        <w:t>d</w:t>
      </w:r>
      <w:r w:rsidRPr="00D45021">
        <w:rPr>
          <w:rFonts w:ascii="Arial" w:hAnsi="Arial" w:cs="Arial"/>
          <w:i/>
          <w:iCs/>
          <w:sz w:val="20"/>
          <w:szCs w:val="20"/>
        </w:rPr>
        <w:t>isputes</w:t>
      </w:r>
      <w:r w:rsidRPr="00D45021">
        <w:rPr>
          <w:rFonts w:ascii="Arial" w:hAnsi="Arial" w:cs="Arial"/>
          <w:sz w:val="20"/>
          <w:szCs w:val="20"/>
        </w:rPr>
        <w:t xml:space="preserve">: Includes any previous </w:t>
      </w:r>
      <w:r>
        <w:rPr>
          <w:rFonts w:ascii="Arial" w:hAnsi="Arial" w:cs="Arial"/>
          <w:sz w:val="20"/>
          <w:szCs w:val="20"/>
        </w:rPr>
        <w:t>Cease &amp; Desist L</w:t>
      </w:r>
      <w:r w:rsidRPr="00D45021">
        <w:rPr>
          <w:rFonts w:ascii="Arial" w:hAnsi="Arial" w:cs="Arial"/>
          <w:sz w:val="20"/>
          <w:szCs w:val="20"/>
        </w:rPr>
        <w:t>etters or similar legal notices sent to the applicant or interested parties regarding unauthorized use of the trademark, as well as any documents relating to trademark disputes or negotiations.</w:t>
      </w:r>
    </w:p>
    <w:p w14:paraId="3A5330CA" w14:textId="35F4A820" w:rsidR="00A62826" w:rsidRPr="00D45021" w:rsidRDefault="00A62826" w:rsidP="00A62826">
      <w:pPr>
        <w:spacing w:after="0" w:line="240" w:lineRule="auto"/>
        <w:ind w:left="450" w:hanging="450"/>
        <w:jc w:val="both"/>
        <w:rPr>
          <w:rFonts w:ascii="Arial" w:hAnsi="Arial" w:cs="Arial"/>
          <w:sz w:val="20"/>
          <w:szCs w:val="20"/>
        </w:rPr>
      </w:pPr>
    </w:p>
    <w:p w14:paraId="24837CA4" w14:textId="2EC86EE0" w:rsidR="00A62826" w:rsidRPr="00D45021" w:rsidRDefault="00A62826" w:rsidP="00A62826">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Trade shows, exhibitions</w:t>
      </w:r>
      <w:r w:rsidRPr="00D45021">
        <w:rPr>
          <w:rFonts w:ascii="Arial" w:hAnsi="Arial" w:cs="Arial"/>
          <w:sz w:val="20"/>
          <w:szCs w:val="20"/>
        </w:rPr>
        <w:t>: If both parties attend the same trade shows, conferences or industry events where the trademark is displayed or discussed, documents from these events can be used as evidence. proof</w:t>
      </w:r>
    </w:p>
    <w:p w14:paraId="63516F73" w14:textId="77777777" w:rsidR="00A62826" w:rsidRPr="00D45021" w:rsidRDefault="00A62826" w:rsidP="00A62826">
      <w:pPr>
        <w:spacing w:after="0" w:line="240" w:lineRule="auto"/>
        <w:jc w:val="both"/>
        <w:rPr>
          <w:rFonts w:ascii="Arial" w:hAnsi="Arial" w:cs="Arial"/>
          <w:sz w:val="20"/>
          <w:szCs w:val="20"/>
        </w:rPr>
      </w:pPr>
    </w:p>
    <w:p w14:paraId="462D80BE" w14:textId="77777777" w:rsidR="00A62826" w:rsidRDefault="00A62826" w:rsidP="00A62826">
      <w:pPr>
        <w:spacing w:after="0" w:line="240" w:lineRule="auto"/>
        <w:jc w:val="both"/>
        <w:rPr>
          <w:rFonts w:ascii="Arial" w:hAnsi="Arial" w:cs="Arial"/>
          <w:b/>
          <w:bCs/>
          <w:color w:val="2F5496" w:themeColor="accent1" w:themeShade="BF"/>
        </w:rPr>
      </w:pPr>
      <w:r w:rsidRPr="00B436C0">
        <w:rPr>
          <w:rFonts w:ascii="Arial" w:hAnsi="Arial" w:cs="Arial"/>
          <w:b/>
          <w:bCs/>
          <w:color w:val="2F5496" w:themeColor="accent1" w:themeShade="BF"/>
        </w:rPr>
        <w:t>Final thought</w:t>
      </w:r>
    </w:p>
    <w:p w14:paraId="5AB0DD6D" w14:textId="77777777" w:rsidR="00A62826" w:rsidRPr="00BD7ED9" w:rsidRDefault="00A62826" w:rsidP="00A62826">
      <w:pPr>
        <w:spacing w:after="0" w:line="240" w:lineRule="auto"/>
        <w:jc w:val="both"/>
        <w:rPr>
          <w:rFonts w:ascii="Arial" w:hAnsi="Arial" w:cs="Arial"/>
          <w:b/>
          <w:bCs/>
          <w:color w:val="2F5496" w:themeColor="accent1" w:themeShade="BF"/>
        </w:rPr>
      </w:pPr>
    </w:p>
    <w:p w14:paraId="4E2B87B9" w14:textId="77777777" w:rsidR="00A62826" w:rsidRDefault="00A62826" w:rsidP="00A62826">
      <w:pPr>
        <w:spacing w:after="0" w:line="240" w:lineRule="auto"/>
        <w:jc w:val="both"/>
        <w:rPr>
          <w:rFonts w:ascii="Arial" w:hAnsi="Arial" w:cs="Arial"/>
          <w:sz w:val="20"/>
          <w:szCs w:val="20"/>
        </w:rPr>
      </w:pPr>
      <w:r w:rsidRPr="00D45021">
        <w:rPr>
          <w:rFonts w:ascii="Arial" w:hAnsi="Arial" w:cs="Arial"/>
          <w:sz w:val="20"/>
          <w:szCs w:val="20"/>
        </w:rPr>
        <w:t xml:space="preserve">If a mark is proven to </w:t>
      </w:r>
      <w:hyperlink r:id="rId10" w:history="1">
        <w:r w:rsidRPr="00E90F74">
          <w:rPr>
            <w:rStyle w:val="Hyperlink"/>
            <w:rFonts w:ascii="Arial" w:hAnsi="Arial" w:cs="Arial"/>
            <w:sz w:val="20"/>
            <w:szCs w:val="20"/>
          </w:rPr>
          <w:t>have been widely used and recognized</w:t>
        </w:r>
        <w:r w:rsidRPr="002A24A0">
          <w:rPr>
            <w:rStyle w:val="Hyperlink"/>
            <w:rFonts w:ascii="Arial" w:hAnsi="Arial" w:cs="Arial"/>
            <w:color w:val="auto"/>
            <w:sz w:val="20"/>
            <w:szCs w:val="20"/>
          </w:rPr>
          <w:t xml:space="preserve">, </w:t>
        </w:r>
      </w:hyperlink>
      <w:r>
        <w:t xml:space="preserve"> </w:t>
      </w:r>
      <w:r w:rsidRPr="00D45021">
        <w:rPr>
          <w:rFonts w:ascii="Arial" w:hAnsi="Arial" w:cs="Arial"/>
          <w:sz w:val="20"/>
          <w:szCs w:val="20"/>
        </w:rPr>
        <w:t>it is essentially reasonable to argue that other organizations and individuals within the same geographical or commercial scope will be aware of the mark. there. This argument carries weight when the applicant operates in the same industry or has the same market se</w:t>
      </w:r>
      <w:r>
        <w:rPr>
          <w:rFonts w:ascii="Arial" w:hAnsi="Arial" w:cs="Arial"/>
          <w:sz w:val="20"/>
          <w:szCs w:val="20"/>
        </w:rPr>
        <w:t>ctor</w:t>
      </w:r>
      <w:r w:rsidRPr="00D45021">
        <w:rPr>
          <w:rFonts w:ascii="Arial" w:hAnsi="Arial" w:cs="Arial"/>
          <w:sz w:val="20"/>
          <w:szCs w:val="20"/>
        </w:rPr>
        <w:t xml:space="preserve"> as the </w:t>
      </w:r>
      <w:r>
        <w:rPr>
          <w:rFonts w:ascii="Arial" w:hAnsi="Arial" w:cs="Arial"/>
          <w:sz w:val="20"/>
          <w:szCs w:val="20"/>
        </w:rPr>
        <w:t>legitimate</w:t>
      </w:r>
      <w:r w:rsidRPr="00D45021">
        <w:rPr>
          <w:rFonts w:ascii="Arial" w:hAnsi="Arial" w:cs="Arial"/>
          <w:sz w:val="20"/>
          <w:szCs w:val="20"/>
        </w:rPr>
        <w:t xml:space="preserve"> trademark owner. Documents </w:t>
      </w:r>
      <w:r>
        <w:t>detailing</w:t>
      </w:r>
      <w:r w:rsidRPr="00D45021">
        <w:rPr>
          <w:rFonts w:ascii="Arial" w:hAnsi="Arial" w:cs="Arial"/>
          <w:sz w:val="20"/>
          <w:szCs w:val="20"/>
        </w:rPr>
        <w:t xml:space="preserve"> the previous relationship between the applicant and the trademark owner </w:t>
      </w:r>
      <w:r>
        <w:t>serve as</w:t>
      </w:r>
      <w:r w:rsidRPr="00D45021">
        <w:rPr>
          <w:rFonts w:ascii="Arial" w:hAnsi="Arial" w:cs="Arial"/>
          <w:sz w:val="20"/>
          <w:szCs w:val="20"/>
        </w:rPr>
        <w:t xml:space="preserve"> </w:t>
      </w:r>
      <w:r>
        <w:t xml:space="preserve">evidence that </w:t>
      </w:r>
      <w:r w:rsidRPr="00D45021">
        <w:rPr>
          <w:rFonts w:ascii="Arial" w:hAnsi="Arial" w:cs="Arial"/>
          <w:sz w:val="20"/>
          <w:szCs w:val="20"/>
        </w:rPr>
        <w:t xml:space="preserve">the applicant knew or should have known </w:t>
      </w:r>
      <w:r>
        <w:rPr>
          <w:rFonts w:ascii="Arial" w:hAnsi="Arial" w:cs="Arial"/>
          <w:sz w:val="20"/>
          <w:szCs w:val="20"/>
        </w:rPr>
        <w:t xml:space="preserve">about </w:t>
      </w:r>
      <w:r w:rsidRPr="00D45021">
        <w:rPr>
          <w:rFonts w:ascii="Arial" w:hAnsi="Arial" w:cs="Arial"/>
          <w:sz w:val="20"/>
          <w:szCs w:val="20"/>
        </w:rPr>
        <w:t xml:space="preserve">the </w:t>
      </w:r>
      <w:r>
        <w:rPr>
          <w:rFonts w:ascii="Arial" w:hAnsi="Arial" w:cs="Arial"/>
          <w:sz w:val="20"/>
          <w:szCs w:val="20"/>
        </w:rPr>
        <w:t xml:space="preserve">legitimate </w:t>
      </w:r>
      <w:r w:rsidRPr="00D45021">
        <w:rPr>
          <w:rFonts w:ascii="Arial" w:hAnsi="Arial" w:cs="Arial"/>
          <w:sz w:val="20"/>
          <w:szCs w:val="20"/>
        </w:rPr>
        <w:t xml:space="preserve">trademark owner's trademark before filing the application. </w:t>
      </w:r>
      <w:r>
        <w:rPr>
          <w:rFonts w:ascii="Arial" w:hAnsi="Arial" w:cs="Arial"/>
          <w:sz w:val="20"/>
          <w:szCs w:val="20"/>
        </w:rPr>
        <w:t xml:space="preserve"> </w:t>
      </w:r>
    </w:p>
    <w:p w14:paraId="770297F9" w14:textId="77777777" w:rsidR="00A62826" w:rsidRDefault="00A62826" w:rsidP="00A62826">
      <w:pPr>
        <w:spacing w:after="0" w:line="240" w:lineRule="auto"/>
        <w:jc w:val="both"/>
        <w:rPr>
          <w:rFonts w:ascii="Arial" w:hAnsi="Arial" w:cs="Arial"/>
          <w:sz w:val="20"/>
          <w:szCs w:val="20"/>
        </w:rPr>
      </w:pPr>
    </w:p>
    <w:p w14:paraId="398D2E82" w14:textId="77777777" w:rsidR="00A62826" w:rsidRDefault="00A62826" w:rsidP="00A62826">
      <w:pPr>
        <w:spacing w:after="0" w:line="240" w:lineRule="auto"/>
        <w:jc w:val="both"/>
        <w:rPr>
          <w:rFonts w:ascii="Arial" w:hAnsi="Arial" w:cs="Arial"/>
          <w:sz w:val="20"/>
          <w:szCs w:val="20"/>
        </w:rPr>
      </w:pPr>
      <w:r w:rsidRPr="00D45021">
        <w:rPr>
          <w:rFonts w:ascii="Arial" w:hAnsi="Arial" w:cs="Arial"/>
          <w:sz w:val="20"/>
          <w:szCs w:val="20"/>
        </w:rPr>
        <w:t>In the case of Przedsiebiorstwo Produkcyjno-Handlowe “EVELINE COSMETICS”</w:t>
      </w:r>
      <w:r>
        <w:rPr>
          <w:rFonts w:ascii="Arial" w:hAnsi="Arial" w:cs="Arial"/>
          <w:sz w:val="20"/>
          <w:szCs w:val="20"/>
        </w:rPr>
        <w:t xml:space="preserve"> </w:t>
      </w:r>
      <w:r w:rsidRPr="00B06F00">
        <w:rPr>
          <w:rStyle w:val="Hyperlink"/>
          <w:rFonts w:ascii="Arial" w:hAnsi="Arial" w:cs="Arial"/>
          <w:sz w:val="20"/>
          <w:szCs w:val="20"/>
        </w:rPr>
        <w:t>opposing the trademark registration application</w:t>
      </w:r>
      <w:r>
        <w:rPr>
          <w:rStyle w:val="Hyperlink"/>
          <w:rFonts w:ascii="Arial" w:hAnsi="Arial" w:cs="Arial"/>
          <w:sz w:val="20"/>
          <w:szCs w:val="20"/>
        </w:rPr>
        <w:t xml:space="preserve"> </w:t>
      </w:r>
      <w:r w:rsidRPr="0072008D">
        <w:rPr>
          <w:rFonts w:ascii="Arial" w:hAnsi="Arial" w:cs="Arial"/>
          <w:sz w:val="20"/>
          <w:szCs w:val="20"/>
        </w:rPr>
        <w:t xml:space="preserve">“EVELINE COSMETICS, </w:t>
      </w:r>
      <w:r>
        <w:rPr>
          <w:rFonts w:ascii="Arial" w:hAnsi="Arial" w:cs="Arial"/>
          <w:sz w:val="20"/>
          <w:szCs w:val="20"/>
        </w:rPr>
        <w:t>device</w:t>
      </w:r>
      <w:r w:rsidRPr="0072008D">
        <w:rPr>
          <w:rFonts w:ascii="Arial" w:hAnsi="Arial" w:cs="Arial"/>
          <w:sz w:val="20"/>
          <w:szCs w:val="20"/>
        </w:rPr>
        <w:t xml:space="preserve">”, the </w:t>
      </w:r>
      <w:r>
        <w:rPr>
          <w:rFonts w:ascii="Arial" w:hAnsi="Arial" w:cs="Arial"/>
          <w:sz w:val="20"/>
          <w:szCs w:val="20"/>
        </w:rPr>
        <w:t>IP Office of Vietnam (</w:t>
      </w:r>
      <w:r w:rsidRPr="00E0366F">
        <w:rPr>
          <w:rFonts w:ascii="Arial" w:hAnsi="Arial" w:cs="Arial"/>
          <w:b/>
          <w:sz w:val="20"/>
          <w:szCs w:val="20"/>
        </w:rPr>
        <w:t>IP VIETNAM</w:t>
      </w:r>
      <w:r>
        <w:rPr>
          <w:rFonts w:ascii="Arial" w:hAnsi="Arial" w:cs="Arial"/>
          <w:sz w:val="20"/>
          <w:szCs w:val="20"/>
        </w:rPr>
        <w:t xml:space="preserve">) </w:t>
      </w:r>
      <w:r w:rsidRPr="0072008D">
        <w:rPr>
          <w:rFonts w:ascii="Arial" w:hAnsi="Arial" w:cs="Arial"/>
          <w:sz w:val="20"/>
          <w:szCs w:val="20"/>
        </w:rPr>
        <w:t xml:space="preserve">has determined that </w:t>
      </w:r>
      <w:r>
        <w:rPr>
          <w:rFonts w:ascii="Arial" w:hAnsi="Arial" w:cs="Arial"/>
          <w:sz w:val="20"/>
          <w:szCs w:val="20"/>
        </w:rPr>
        <w:t xml:space="preserve">with </w:t>
      </w:r>
      <w:r w:rsidRPr="0072008D">
        <w:rPr>
          <w:rFonts w:ascii="Arial" w:hAnsi="Arial" w:cs="Arial"/>
          <w:sz w:val="20"/>
          <w:szCs w:val="20"/>
        </w:rPr>
        <w:t>the documents and evidence provided by the</w:t>
      </w:r>
      <w:r>
        <w:rPr>
          <w:rFonts w:ascii="Arial" w:hAnsi="Arial" w:cs="Arial"/>
          <w:sz w:val="20"/>
          <w:szCs w:val="20"/>
        </w:rPr>
        <w:t xml:space="preserve"> </w:t>
      </w:r>
      <w:r>
        <w:rPr>
          <w:rFonts w:ascii="Arial" w:hAnsi="Arial" w:cs="Arial"/>
          <w:iCs/>
          <w:sz w:val="20"/>
          <w:szCs w:val="20"/>
        </w:rPr>
        <w:t>legitimate</w:t>
      </w:r>
      <w:r w:rsidRPr="0072008D">
        <w:rPr>
          <w:rFonts w:ascii="Arial" w:hAnsi="Arial" w:cs="Arial"/>
          <w:sz w:val="20"/>
          <w:szCs w:val="20"/>
        </w:rPr>
        <w:t xml:space="preserve"> trademark owner</w:t>
      </w:r>
      <w:r>
        <w:rPr>
          <w:rFonts w:ascii="Arial" w:hAnsi="Arial" w:cs="Arial"/>
          <w:sz w:val="20"/>
          <w:szCs w:val="20"/>
        </w:rPr>
        <w:t xml:space="preserve">, it is grounded </w:t>
      </w:r>
      <w:r w:rsidRPr="00DC67A0">
        <w:rPr>
          <w:rFonts w:ascii="Arial" w:hAnsi="Arial" w:cs="Arial"/>
          <w:sz w:val="20"/>
          <w:szCs w:val="20"/>
        </w:rPr>
        <w:t xml:space="preserve">to confirm that the trademark "EVELINE COSMETICS, </w:t>
      </w:r>
      <w:r>
        <w:rPr>
          <w:rFonts w:ascii="Arial" w:hAnsi="Arial" w:cs="Arial"/>
          <w:sz w:val="20"/>
          <w:szCs w:val="20"/>
        </w:rPr>
        <w:t>device</w:t>
      </w:r>
      <w:r w:rsidRPr="00DC67A0">
        <w:rPr>
          <w:rFonts w:ascii="Arial" w:hAnsi="Arial" w:cs="Arial"/>
          <w:sz w:val="20"/>
          <w:szCs w:val="20"/>
        </w:rPr>
        <w:t xml:space="preserve">" is owned by this company and the trademark "EVELINE COSMETICS, </w:t>
      </w:r>
      <w:r>
        <w:rPr>
          <w:rFonts w:ascii="Arial" w:hAnsi="Arial" w:cs="Arial"/>
          <w:sz w:val="20"/>
          <w:szCs w:val="20"/>
        </w:rPr>
        <w:t xml:space="preserve">device” </w:t>
      </w:r>
      <w:r w:rsidRPr="00DC67A0">
        <w:rPr>
          <w:rFonts w:ascii="Arial" w:hAnsi="Arial" w:cs="Arial"/>
          <w:sz w:val="20"/>
          <w:szCs w:val="20"/>
        </w:rPr>
        <w:t>has been widely used and recognized before the time of filing the application by the Vietnamese applicant.</w:t>
      </w:r>
    </w:p>
    <w:p w14:paraId="783DFF39" w14:textId="77777777" w:rsidR="00A62826" w:rsidRDefault="00A62826" w:rsidP="00A62826">
      <w:pPr>
        <w:spacing w:after="0" w:line="240" w:lineRule="auto"/>
        <w:jc w:val="both"/>
        <w:rPr>
          <w:rFonts w:ascii="Arial" w:hAnsi="Arial" w:cs="Arial"/>
          <w:sz w:val="20"/>
          <w:szCs w:val="20"/>
        </w:rPr>
      </w:pPr>
    </w:p>
    <w:p w14:paraId="7D753147" w14:textId="77777777" w:rsidR="00A62826" w:rsidRPr="00D45021" w:rsidRDefault="00A62826" w:rsidP="00A62826">
      <w:pPr>
        <w:spacing w:after="0" w:line="240" w:lineRule="auto"/>
        <w:jc w:val="both"/>
        <w:rPr>
          <w:rFonts w:ascii="Arial" w:hAnsi="Arial" w:cs="Arial"/>
          <w:sz w:val="20"/>
          <w:szCs w:val="20"/>
        </w:rPr>
      </w:pPr>
      <w:r w:rsidRPr="00D45021">
        <w:rPr>
          <w:rFonts w:ascii="Arial" w:hAnsi="Arial" w:cs="Arial"/>
          <w:sz w:val="20"/>
          <w:szCs w:val="20"/>
        </w:rPr>
        <w:t xml:space="preserve">However, each document and </w:t>
      </w:r>
      <w:hyperlink r:id="rId11" w:history="1">
        <w:r w:rsidRPr="00740391">
          <w:rPr>
            <w:rStyle w:val="Hyperlink"/>
            <w:rFonts w:ascii="Arial" w:hAnsi="Arial" w:cs="Arial"/>
            <w:sz w:val="20"/>
            <w:szCs w:val="20"/>
          </w:rPr>
          <w:t>evidence</w:t>
        </w:r>
        <w:r w:rsidRPr="00DC67A0">
          <w:rPr>
            <w:rStyle w:val="Hyperlink"/>
            <w:rFonts w:ascii="Arial" w:hAnsi="Arial" w:cs="Arial"/>
            <w:sz w:val="20"/>
            <w:szCs w:val="20"/>
          </w:rPr>
          <w:t xml:space="preserve"> </w:t>
        </w:r>
      </w:hyperlink>
      <w:r w:rsidRPr="00D45021">
        <w:rPr>
          <w:rFonts w:ascii="Arial" w:hAnsi="Arial" w:cs="Arial"/>
          <w:sz w:val="20"/>
          <w:szCs w:val="20"/>
        </w:rPr>
        <w:t xml:space="preserve">in cases of trademark registration with malicious intent must be collected and processed carefully to ensure that they can be considered </w:t>
      </w:r>
      <w:r>
        <w:rPr>
          <w:rFonts w:ascii="Arial" w:hAnsi="Arial" w:cs="Arial"/>
          <w:sz w:val="20"/>
          <w:szCs w:val="20"/>
        </w:rPr>
        <w:t>admissible</w:t>
      </w:r>
      <w:r w:rsidRPr="00D45021">
        <w:rPr>
          <w:rFonts w:ascii="Arial" w:hAnsi="Arial" w:cs="Arial"/>
          <w:sz w:val="20"/>
          <w:szCs w:val="20"/>
        </w:rPr>
        <w:t xml:space="preserve"> documents and evidence. On that basis, arguments that the applicant "kn</w:t>
      </w:r>
      <w:r>
        <w:rPr>
          <w:rFonts w:ascii="Arial" w:hAnsi="Arial" w:cs="Arial"/>
          <w:sz w:val="20"/>
          <w:szCs w:val="20"/>
        </w:rPr>
        <w:t>e</w:t>
      </w:r>
      <w:r w:rsidRPr="00D45021">
        <w:rPr>
          <w:rFonts w:ascii="Arial" w:hAnsi="Arial" w:cs="Arial"/>
          <w:sz w:val="20"/>
          <w:szCs w:val="20"/>
        </w:rPr>
        <w:t>w" or "ha</w:t>
      </w:r>
      <w:r>
        <w:rPr>
          <w:rFonts w:ascii="Arial" w:hAnsi="Arial" w:cs="Arial"/>
          <w:sz w:val="20"/>
          <w:szCs w:val="20"/>
        </w:rPr>
        <w:t>d</w:t>
      </w:r>
      <w:r w:rsidRPr="00D45021">
        <w:rPr>
          <w:rFonts w:ascii="Arial" w:hAnsi="Arial" w:cs="Arial"/>
          <w:sz w:val="20"/>
          <w:szCs w:val="20"/>
        </w:rPr>
        <w:t xml:space="preserve"> a basis to know" about the trademark before filing the application are valid and accepted by </w:t>
      </w:r>
      <w:r>
        <w:rPr>
          <w:rFonts w:ascii="Arial" w:hAnsi="Arial" w:cs="Arial"/>
          <w:sz w:val="20"/>
          <w:szCs w:val="20"/>
        </w:rPr>
        <w:t>IP VIETNAM.</w:t>
      </w:r>
    </w:p>
    <w:p w14:paraId="13F06F80" w14:textId="77777777" w:rsidR="00A62826" w:rsidRPr="00D45021" w:rsidRDefault="00A62826" w:rsidP="00A62826">
      <w:pPr>
        <w:spacing w:after="0" w:line="240" w:lineRule="auto"/>
        <w:jc w:val="both"/>
        <w:rPr>
          <w:rFonts w:ascii="Arial" w:hAnsi="Arial" w:cs="Arial"/>
          <w:sz w:val="20"/>
          <w:szCs w:val="20"/>
        </w:rPr>
      </w:pPr>
    </w:p>
    <w:p w14:paraId="09F23AF9" w14:textId="77777777" w:rsidR="00A62826" w:rsidRPr="00D45021" w:rsidRDefault="00A62826" w:rsidP="00A62826">
      <w:pPr>
        <w:spacing w:after="0" w:line="240" w:lineRule="auto"/>
        <w:jc w:val="both"/>
        <w:rPr>
          <w:rFonts w:ascii="Arial" w:hAnsi="Arial" w:cs="Arial"/>
          <w:sz w:val="20"/>
          <w:szCs w:val="20"/>
        </w:rPr>
      </w:pPr>
      <w:r w:rsidRPr="00D45021">
        <w:rPr>
          <w:rFonts w:ascii="Arial" w:hAnsi="Arial" w:cs="Arial"/>
          <w:sz w:val="20"/>
          <w:szCs w:val="20"/>
        </w:rPr>
        <w:t>Please contact KENFOX IP &amp; Law Office</w:t>
      </w:r>
      <w:r>
        <w:rPr>
          <w:rFonts w:ascii="Arial" w:hAnsi="Arial" w:cs="Arial"/>
          <w:sz w:val="20"/>
          <w:szCs w:val="20"/>
        </w:rPr>
        <w:t>,</w:t>
      </w:r>
      <w:r w:rsidRPr="00D45021">
        <w:rPr>
          <w:rFonts w:ascii="Arial" w:hAnsi="Arial" w:cs="Arial"/>
          <w:sz w:val="20"/>
          <w:szCs w:val="20"/>
        </w:rPr>
        <w:t xml:space="preserve"> if you need professional advice and representation to reclaim your trademark through opposition procedures or cancellation of trademarks registered in bad faith in Vietnam.</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BA485" w14:textId="77777777" w:rsidR="00B94AF0" w:rsidRDefault="00B94AF0">
      <w:pPr>
        <w:spacing w:after="0" w:line="240" w:lineRule="auto"/>
      </w:pPr>
      <w:r>
        <w:separator/>
      </w:r>
    </w:p>
  </w:endnote>
  <w:endnote w:type="continuationSeparator" w:id="0">
    <w:p w14:paraId="11252352" w14:textId="77777777" w:rsidR="00B94AF0" w:rsidRDefault="00B9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94AF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94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6B6D0" w14:textId="77777777" w:rsidR="00B94AF0" w:rsidRDefault="00B94AF0">
      <w:pPr>
        <w:spacing w:after="0" w:line="240" w:lineRule="auto"/>
      </w:pPr>
      <w:r>
        <w:separator/>
      </w:r>
    </w:p>
  </w:footnote>
  <w:footnote w:type="continuationSeparator" w:id="0">
    <w:p w14:paraId="395B8B2D" w14:textId="77777777" w:rsidR="00B94AF0" w:rsidRDefault="00B94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94C22"/>
    <w:multiLevelType w:val="hybridMultilevel"/>
    <w:tmpl w:val="0EC4F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3A21"/>
    <w:multiLevelType w:val="hybridMultilevel"/>
    <w:tmpl w:val="7BC6E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21B04"/>
    <w:multiLevelType w:val="hybridMultilevel"/>
    <w:tmpl w:val="2FD45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D535B"/>
    <w:multiLevelType w:val="hybridMultilevel"/>
    <w:tmpl w:val="04C8B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436AA"/>
    <w:multiLevelType w:val="hybridMultilevel"/>
    <w:tmpl w:val="C7CC5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1"/>
  </w:num>
  <w:num w:numId="4">
    <w:abstractNumId w:val="18"/>
  </w:num>
  <w:num w:numId="5">
    <w:abstractNumId w:val="14"/>
  </w:num>
  <w:num w:numId="6">
    <w:abstractNumId w:val="0"/>
  </w:num>
  <w:num w:numId="7">
    <w:abstractNumId w:val="5"/>
  </w:num>
  <w:num w:numId="8">
    <w:abstractNumId w:val="19"/>
  </w:num>
  <w:num w:numId="9">
    <w:abstractNumId w:val="7"/>
  </w:num>
  <w:num w:numId="10">
    <w:abstractNumId w:val="3"/>
  </w:num>
  <w:num w:numId="11">
    <w:abstractNumId w:val="17"/>
  </w:num>
  <w:num w:numId="12">
    <w:abstractNumId w:val="1"/>
  </w:num>
  <w:num w:numId="13">
    <w:abstractNumId w:val="13"/>
  </w:num>
  <w:num w:numId="14">
    <w:abstractNumId w:val="16"/>
  </w:num>
  <w:num w:numId="15">
    <w:abstractNumId w:val="8"/>
  </w:num>
  <w:num w:numId="16">
    <w:abstractNumId w:val="21"/>
  </w:num>
  <w:num w:numId="17">
    <w:abstractNumId w:val="2"/>
  </w:num>
  <w:num w:numId="18">
    <w:abstractNumId w:val="9"/>
  </w:num>
  <w:num w:numId="19">
    <w:abstractNumId w:val="4"/>
  </w:num>
  <w:num w:numId="20">
    <w:abstractNumId w:val="20"/>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62826"/>
    <w:rsid w:val="00AC74F1"/>
    <w:rsid w:val="00AF0703"/>
    <w:rsid w:val="00B94AF0"/>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huy-bo-nhan-hieu-da-dang-ky-voi-dung-y-xau-chu-nhan-hieu-can-lam-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huy-bo-nhan-hieu-da-dang-ky-voi-dung-y-xau-chu-nhan-hieu-can-lam-g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chien-luoc-su-dung-chung-cu-trong-cac-vu-xam-pham-quyen-so-huu-tri-tue-o-viet-nam" TargetMode="External"/><Relationship Id="rId5" Type="http://schemas.openxmlformats.org/officeDocument/2006/relationships/footnotes" Target="footnotes.xml"/><Relationship Id="rId10" Type="http://schemas.openxmlformats.org/officeDocument/2006/relationships/hyperlink" Target="https://kenfoxlaw.com/vi/phan-doi-va-huy-bo-nhan-hieu-tai-viet-nam-dua-tren-bang-chung-ve-su-dung-rong-rai-nhung-luu-y-de-gianh-thang-loi-trong-cac-tranh-chap-nhan-hieu" TargetMode="External"/><Relationship Id="rId4" Type="http://schemas.openxmlformats.org/officeDocument/2006/relationships/webSettings" Target="webSettings.xml"/><Relationship Id="rId9" Type="http://schemas.openxmlformats.org/officeDocument/2006/relationships/hyperlink" Target="https://kenfoxlaw.com/vi/huy-bo-nhan-hieu-da-dang-ky-voi-dung-y-xau-chu-nhan-hieu-can-lam-g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2024-05-06T07:06:00Z</dcterms:modified>
</cp:coreProperties>
</file>