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74C79" w14:textId="1DC58B9C" w:rsidR="00AC2606" w:rsidRPr="00AC2606" w:rsidRDefault="004D64BC" w:rsidP="00AC2606">
      <w:pPr>
        <w:spacing w:after="0" w:line="240" w:lineRule="auto"/>
        <w:jc w:val="center"/>
        <w:outlineLvl w:val="0"/>
        <w:rPr>
          <w:rFonts w:ascii="Arial" w:hAnsi="Arial" w:cs="Arial"/>
          <w:b/>
          <w:iCs/>
          <w:color w:val="C00000"/>
          <w:sz w:val="24"/>
          <w:szCs w:val="24"/>
        </w:rPr>
      </w:pPr>
      <w:bookmarkStart w:id="0" w:name="_GoBack"/>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70531235" w:rsidR="00FA2CEE" w:rsidRPr="00BA68B8" w:rsidRDefault="00AC2606" w:rsidP="00FA2CEE">
                            <w:pPr>
                              <w:spacing w:after="0" w:line="240" w:lineRule="auto"/>
                              <w:rPr>
                                <w:rFonts w:ascii="Arial" w:hAnsi="Arial" w:cs="Arial"/>
                                <w:b/>
                                <w:color w:val="FFFFFF" w:themeColor="background1"/>
                                <w:sz w:val="20"/>
                                <w:szCs w:val="20"/>
                              </w:rPr>
                            </w:pPr>
                            <w:r w:rsidRPr="00AC2606">
                              <w:rPr>
                                <w:rFonts w:ascii="Arial" w:hAnsi="Arial" w:cs="Arial"/>
                                <w:b/>
                                <w:bCs/>
                                <w:color w:val="FFFFFF" w:themeColor="background1"/>
                                <w:sz w:val="20"/>
                                <w:szCs w:val="20"/>
                              </w:rPr>
                              <w:t>Chứng minh danh tiếng và sự công nhận đối với nhãn hiệu</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70531235" w:rsidR="00FA2CEE" w:rsidRPr="00BA68B8" w:rsidRDefault="00AC2606" w:rsidP="00FA2CEE">
                      <w:pPr>
                        <w:spacing w:after="0" w:line="240" w:lineRule="auto"/>
                        <w:rPr>
                          <w:rFonts w:ascii="Arial" w:hAnsi="Arial" w:cs="Arial"/>
                          <w:b/>
                          <w:color w:val="FFFFFF" w:themeColor="background1"/>
                          <w:sz w:val="20"/>
                          <w:szCs w:val="20"/>
                        </w:rPr>
                      </w:pPr>
                      <w:r w:rsidRPr="00AC2606">
                        <w:rPr>
                          <w:rFonts w:ascii="Arial" w:hAnsi="Arial" w:cs="Arial"/>
                          <w:b/>
                          <w:bCs/>
                          <w:color w:val="FFFFFF" w:themeColor="background1"/>
                          <w:sz w:val="20"/>
                          <w:szCs w:val="20"/>
                        </w:rPr>
                        <w:t>Chứng minh danh tiếng và sự công nhận đối với nhãn hiệu</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20CD63EE" w:rsidR="00FA2CEE" w:rsidRPr="00CC7576" w:rsidRDefault="00AC2606" w:rsidP="00FA2CEE">
                            <w:pPr>
                              <w:spacing w:after="0"/>
                              <w:jc w:val="center"/>
                              <w:rPr>
                                <w:rFonts w:ascii="Arial" w:hAnsi="Arial" w:cs="Arial"/>
                                <w:b/>
                                <w:color w:val="FFFFFF" w:themeColor="background1"/>
                                <w:sz w:val="20"/>
                                <w:szCs w:val="20"/>
                              </w:rPr>
                            </w:pPr>
                            <w:r w:rsidRPr="00AC2606">
                              <w:rPr>
                                <w:rFonts w:ascii="Arial" w:hAnsi="Arial" w:cs="Arial"/>
                                <w:b/>
                                <w:bCs/>
                                <w:color w:val="FFFFFF" w:themeColor="background1"/>
                                <w:sz w:val="20"/>
                                <w:szCs w:val="20"/>
                              </w:rPr>
                              <w:t>Chứng minh danh tiếng và sự công nhận đối với nhãn hiệu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20CD63EE" w:rsidR="00FA2CEE" w:rsidRPr="00CC7576" w:rsidRDefault="00AC2606" w:rsidP="00FA2CEE">
                      <w:pPr>
                        <w:spacing w:after="0"/>
                        <w:jc w:val="center"/>
                        <w:rPr>
                          <w:rFonts w:ascii="Arial" w:hAnsi="Arial" w:cs="Arial"/>
                          <w:b/>
                          <w:color w:val="FFFFFF" w:themeColor="background1"/>
                          <w:sz w:val="20"/>
                          <w:szCs w:val="20"/>
                        </w:rPr>
                      </w:pPr>
                      <w:r w:rsidRPr="00AC2606">
                        <w:rPr>
                          <w:rFonts w:ascii="Arial" w:hAnsi="Arial" w:cs="Arial"/>
                          <w:b/>
                          <w:bCs/>
                          <w:color w:val="FFFFFF" w:themeColor="background1"/>
                          <w:sz w:val="20"/>
                          <w:szCs w:val="20"/>
                        </w:rPr>
                        <w:t>Chứng minh danh tiếng và sự công nhận đối với nhãn hiệu</w:t>
                      </w:r>
                    </w:p>
                  </w:txbxContent>
                </v:textbox>
                <w10:wrap anchorx="page"/>
              </v:rect>
            </w:pict>
          </mc:Fallback>
        </mc:AlternateContent>
      </w:r>
      <w:r w:rsidR="00AC2606" w:rsidRPr="00AC2606">
        <w:rPr>
          <w:rFonts w:ascii="Arial" w:hAnsi="Arial" w:cs="Arial"/>
          <w:b/>
          <w:iCs/>
          <w:color w:val="C00000"/>
        </w:rPr>
        <w:t>L</w:t>
      </w:r>
      <w:r w:rsidR="00AC2606" w:rsidRPr="00AC2606">
        <w:rPr>
          <w:rFonts w:ascii="Arial" w:hAnsi="Arial" w:cs="Arial"/>
          <w:b/>
          <w:iCs/>
          <w:color w:val="C00000"/>
          <w:sz w:val="24"/>
          <w:szCs w:val="24"/>
        </w:rPr>
        <w:t xml:space="preserve">ợi Dụng Uy Tín, Danh Tiếng Của Chủ Nhãn Hiệu Đích Thực: </w:t>
      </w:r>
    </w:p>
    <w:p w14:paraId="72DD7C25" w14:textId="77777777" w:rsidR="00AC2606" w:rsidRPr="00AC2606" w:rsidRDefault="00AC2606" w:rsidP="00AC2606">
      <w:pPr>
        <w:spacing w:after="0" w:line="240" w:lineRule="auto"/>
        <w:jc w:val="center"/>
        <w:rPr>
          <w:rFonts w:ascii="Arial" w:hAnsi="Arial" w:cs="Arial"/>
          <w:b/>
          <w:iCs/>
          <w:color w:val="C00000"/>
          <w:sz w:val="24"/>
          <w:szCs w:val="24"/>
        </w:rPr>
      </w:pPr>
      <w:r w:rsidRPr="00AC2606">
        <w:rPr>
          <w:rFonts w:ascii="Arial" w:hAnsi="Arial" w:cs="Arial"/>
          <w:b/>
          <w:iCs/>
          <w:color w:val="C00000"/>
          <w:sz w:val="24"/>
          <w:szCs w:val="24"/>
        </w:rPr>
        <w:t>Chứng Minh Thế Nào</w:t>
      </w:r>
      <w:bookmarkEnd w:id="0"/>
      <w:r w:rsidRPr="00AC2606">
        <w:rPr>
          <w:rFonts w:ascii="Arial" w:hAnsi="Arial" w:cs="Arial"/>
          <w:b/>
          <w:iCs/>
          <w:color w:val="C00000"/>
          <w:sz w:val="24"/>
          <w:szCs w:val="24"/>
        </w:rPr>
        <w:t>?</w:t>
      </w:r>
    </w:p>
    <w:p w14:paraId="35F08E81" w14:textId="77777777" w:rsidR="00AC2606" w:rsidRDefault="00AC2606" w:rsidP="00AC2606">
      <w:pPr>
        <w:spacing w:after="0" w:line="240" w:lineRule="auto"/>
        <w:jc w:val="center"/>
        <w:rPr>
          <w:rFonts w:ascii="Arial" w:hAnsi="Arial" w:cs="Arial"/>
          <w:b/>
          <w:bCs/>
          <w:color w:val="C00000"/>
          <w:sz w:val="24"/>
          <w:szCs w:val="24"/>
          <w:shd w:val="clear" w:color="auto" w:fill="FFFFFF"/>
        </w:rPr>
      </w:pPr>
    </w:p>
    <w:p w14:paraId="6897B677" w14:textId="77777777" w:rsidR="00AC2606" w:rsidRPr="00191456" w:rsidRDefault="00AC2606" w:rsidP="00AC2606">
      <w:pPr>
        <w:spacing w:after="0" w:line="240" w:lineRule="auto"/>
        <w:jc w:val="both"/>
        <w:rPr>
          <w:rFonts w:ascii="Arial" w:hAnsi="Arial" w:cs="Arial"/>
          <w:i/>
          <w:iCs/>
          <w:sz w:val="20"/>
          <w:szCs w:val="20"/>
        </w:rPr>
      </w:pPr>
      <w:r w:rsidRPr="00191456">
        <w:rPr>
          <w:rFonts w:ascii="Arial" w:hAnsi="Arial" w:cs="Arial"/>
          <w:i/>
          <w:iCs/>
          <w:sz w:val="20"/>
          <w:szCs w:val="20"/>
        </w:rPr>
        <w:t xml:space="preserve">Việc chứng minh rằng bên thứ ba đã lợi dụng danh tiếng, uy tín của chủ nhãn hiệu đích thực không đơn giản, đòi hỏi cách tiếp cận </w:t>
      </w:r>
      <w:r>
        <w:rPr>
          <w:rFonts w:ascii="Arial" w:hAnsi="Arial" w:cs="Arial"/>
          <w:i/>
          <w:iCs/>
          <w:sz w:val="20"/>
          <w:szCs w:val="20"/>
        </w:rPr>
        <w:t>toàn diện</w:t>
      </w:r>
      <w:r w:rsidRPr="00191456">
        <w:rPr>
          <w:rFonts w:ascii="Arial" w:hAnsi="Arial" w:cs="Arial"/>
          <w:i/>
          <w:iCs/>
          <w:sz w:val="20"/>
          <w:szCs w:val="20"/>
        </w:rPr>
        <w:t xml:space="preserve"> nhằm thu thập và </w:t>
      </w:r>
      <w:r>
        <w:rPr>
          <w:rFonts w:ascii="Arial" w:hAnsi="Arial" w:cs="Arial"/>
          <w:i/>
          <w:iCs/>
          <w:sz w:val="20"/>
          <w:szCs w:val="20"/>
        </w:rPr>
        <w:t>khai thác hiệu quả các</w:t>
      </w:r>
      <w:r w:rsidRPr="00191456">
        <w:rPr>
          <w:rFonts w:ascii="Arial" w:hAnsi="Arial" w:cs="Arial"/>
          <w:i/>
          <w:iCs/>
          <w:sz w:val="20"/>
          <w:szCs w:val="20"/>
        </w:rPr>
        <w:t xml:space="preserve"> chứng</w:t>
      </w:r>
      <w:r>
        <w:rPr>
          <w:rFonts w:ascii="Arial" w:hAnsi="Arial" w:cs="Arial"/>
          <w:i/>
          <w:iCs/>
          <w:sz w:val="20"/>
          <w:szCs w:val="20"/>
        </w:rPr>
        <w:t xml:space="preserve"> cứ</w:t>
      </w:r>
      <w:r w:rsidRPr="00191456">
        <w:rPr>
          <w:rFonts w:ascii="Arial" w:hAnsi="Arial" w:cs="Arial"/>
          <w:i/>
          <w:iCs/>
          <w:sz w:val="20"/>
          <w:szCs w:val="20"/>
        </w:rPr>
        <w:t xml:space="preserve"> trong các vụ tranh chấp quyền nhãn hiệu, đặc biệt là các vụ việc nhãn hiệu bị đăng ký với dụng ý xấu. KENFOX IP &amp; Law Office cung cấp hướng dẫn theo các bước dưới đây để giúp chủ sở hữu nhãn hiệu đích thực trong việc chứng minh hành vi lợi dụng uy tín, danh tiếng đối với nhãn hiệu của mình.</w:t>
      </w:r>
    </w:p>
    <w:p w14:paraId="1F3FD7A3" w14:textId="77777777" w:rsidR="00AC2606" w:rsidRDefault="00AC2606" w:rsidP="00AC2606">
      <w:pPr>
        <w:spacing w:after="0" w:line="240" w:lineRule="auto"/>
        <w:jc w:val="both"/>
        <w:rPr>
          <w:rFonts w:ascii="Arial" w:hAnsi="Arial" w:cs="Arial"/>
          <w:sz w:val="20"/>
          <w:szCs w:val="20"/>
        </w:rPr>
      </w:pPr>
    </w:p>
    <w:p w14:paraId="6F404AF9" w14:textId="77777777" w:rsidR="00AC2606" w:rsidRPr="00CA43AC" w:rsidRDefault="00AC2606" w:rsidP="00AC2606">
      <w:pPr>
        <w:spacing w:after="0" w:line="240" w:lineRule="auto"/>
        <w:jc w:val="both"/>
        <w:rPr>
          <w:rFonts w:ascii="Arial" w:hAnsi="Arial" w:cs="Arial"/>
          <w:b/>
          <w:bCs/>
          <w:color w:val="2F5496" w:themeColor="accent1" w:themeShade="BF"/>
        </w:rPr>
      </w:pPr>
      <w:r w:rsidRPr="00CA43AC">
        <w:rPr>
          <w:rFonts w:ascii="Arial" w:hAnsi="Arial" w:cs="Arial"/>
          <w:b/>
          <w:bCs/>
          <w:color w:val="2F5496" w:themeColor="accent1" w:themeShade="BF"/>
          <w:u w:val="single"/>
        </w:rPr>
        <w:t>Bước 1</w:t>
      </w:r>
      <w:r w:rsidRPr="00CA43AC">
        <w:rPr>
          <w:rFonts w:ascii="Arial" w:hAnsi="Arial" w:cs="Arial"/>
          <w:b/>
          <w:bCs/>
          <w:color w:val="2F5496" w:themeColor="accent1" w:themeShade="BF"/>
        </w:rPr>
        <w:t xml:space="preserve">: Chứng minh danh tiếng và sự công nhận đối với nhãn hiệu </w:t>
      </w:r>
    </w:p>
    <w:p w14:paraId="10892C98" w14:textId="77777777" w:rsidR="00AC2606" w:rsidRPr="00CA43AC" w:rsidRDefault="00AC2606" w:rsidP="00AC2606">
      <w:pPr>
        <w:spacing w:after="0" w:line="240" w:lineRule="auto"/>
        <w:jc w:val="both"/>
        <w:rPr>
          <w:rFonts w:ascii="Arial" w:hAnsi="Arial" w:cs="Arial"/>
          <w:sz w:val="20"/>
          <w:szCs w:val="20"/>
        </w:rPr>
      </w:pPr>
    </w:p>
    <w:p w14:paraId="798079B0" w14:textId="77777777" w:rsidR="00AC2606" w:rsidRDefault="00AC2606" w:rsidP="00AC2606">
      <w:pPr>
        <w:pStyle w:val="ListParagraph"/>
        <w:numPr>
          <w:ilvl w:val="0"/>
          <w:numId w:val="19"/>
        </w:numPr>
        <w:spacing w:after="0" w:line="240" w:lineRule="auto"/>
        <w:ind w:left="360"/>
        <w:jc w:val="both"/>
        <w:rPr>
          <w:rFonts w:ascii="Arial" w:hAnsi="Arial" w:cs="Arial"/>
          <w:sz w:val="20"/>
          <w:szCs w:val="20"/>
        </w:rPr>
      </w:pPr>
      <w:r w:rsidRPr="00CA43AC">
        <w:rPr>
          <w:rFonts w:ascii="Arial" w:hAnsi="Arial" w:cs="Arial"/>
          <w:i/>
          <w:iCs/>
          <w:sz w:val="20"/>
          <w:szCs w:val="20"/>
        </w:rPr>
        <w:t>Tài liệu về việc sử dụng nhãn hiệu</w:t>
      </w:r>
      <w:r w:rsidRPr="00CA43AC">
        <w:rPr>
          <w:rFonts w:ascii="Arial" w:hAnsi="Arial" w:cs="Arial"/>
          <w:sz w:val="20"/>
          <w:szCs w:val="20"/>
        </w:rPr>
        <w:t>: Chủ nhãn hiệu đích thức cần cung cấp các tài liệu cho thấy việc sử dụng nhãn hiệu của mình trong thương mại, bao gồm tài liệu tiếp thị, dữ liệu bán hàng và chi phí quảng cáo theo thời gian.</w:t>
      </w:r>
    </w:p>
    <w:p w14:paraId="50C9572A" w14:textId="77777777" w:rsidR="00AC2606" w:rsidRPr="00CA43AC" w:rsidRDefault="00AC2606" w:rsidP="00AC2606">
      <w:pPr>
        <w:pStyle w:val="ListParagraph"/>
        <w:spacing w:after="0" w:line="240" w:lineRule="auto"/>
        <w:ind w:left="360"/>
        <w:jc w:val="both"/>
        <w:rPr>
          <w:rFonts w:ascii="Arial" w:hAnsi="Arial" w:cs="Arial"/>
          <w:sz w:val="20"/>
          <w:szCs w:val="20"/>
        </w:rPr>
      </w:pPr>
    </w:p>
    <w:p w14:paraId="5721B468" w14:textId="77777777" w:rsidR="00AC2606" w:rsidRDefault="00AC2606" w:rsidP="00AC2606">
      <w:pPr>
        <w:pStyle w:val="ListParagraph"/>
        <w:numPr>
          <w:ilvl w:val="0"/>
          <w:numId w:val="19"/>
        </w:numPr>
        <w:spacing w:after="0" w:line="240" w:lineRule="auto"/>
        <w:ind w:left="360"/>
        <w:jc w:val="both"/>
        <w:rPr>
          <w:rFonts w:ascii="Arial" w:hAnsi="Arial" w:cs="Arial"/>
          <w:sz w:val="20"/>
          <w:szCs w:val="20"/>
        </w:rPr>
      </w:pPr>
      <w:r w:rsidRPr="00CA43AC">
        <w:rPr>
          <w:rFonts w:ascii="Arial" w:hAnsi="Arial" w:cs="Arial"/>
          <w:i/>
          <w:iCs/>
          <w:sz w:val="20"/>
          <w:szCs w:val="20"/>
        </w:rPr>
        <w:t>Khảo sát thị trường</w:t>
      </w:r>
      <w:r w:rsidRPr="00CA43AC">
        <w:rPr>
          <w:rFonts w:ascii="Arial" w:hAnsi="Arial" w:cs="Arial"/>
          <w:sz w:val="20"/>
          <w:szCs w:val="20"/>
        </w:rPr>
        <w:t>: Thực hiện hoặc thu thập các khảo sát người tiêu dùng hiện có để chứng minh mức độ nhận biết và liên kết tích cực của người tiêu dùng với nhãn hiệu của chủ nhãn hiệu đích thực.</w:t>
      </w:r>
    </w:p>
    <w:p w14:paraId="4312E4EE" w14:textId="77777777" w:rsidR="00AC2606" w:rsidRPr="00191456" w:rsidRDefault="00AC2606" w:rsidP="00AC2606">
      <w:pPr>
        <w:pStyle w:val="ListParagraph"/>
        <w:spacing w:after="0" w:line="240" w:lineRule="auto"/>
        <w:rPr>
          <w:rFonts w:ascii="Arial" w:hAnsi="Arial" w:cs="Arial"/>
          <w:sz w:val="20"/>
          <w:szCs w:val="20"/>
        </w:rPr>
      </w:pPr>
    </w:p>
    <w:p w14:paraId="46E54E8F" w14:textId="77777777" w:rsidR="00AC2606" w:rsidRDefault="00AC2606" w:rsidP="00AC2606">
      <w:pPr>
        <w:pStyle w:val="ListParagraph"/>
        <w:numPr>
          <w:ilvl w:val="0"/>
          <w:numId w:val="19"/>
        </w:numPr>
        <w:spacing w:after="0" w:line="240" w:lineRule="auto"/>
        <w:ind w:left="360"/>
        <w:jc w:val="both"/>
        <w:rPr>
          <w:rFonts w:ascii="Arial" w:hAnsi="Arial" w:cs="Arial"/>
          <w:sz w:val="20"/>
          <w:szCs w:val="20"/>
        </w:rPr>
      </w:pPr>
      <w:r w:rsidRPr="00CA43AC">
        <w:rPr>
          <w:rFonts w:ascii="Arial" w:hAnsi="Arial" w:cs="Arial"/>
          <w:i/>
          <w:iCs/>
          <w:sz w:val="20"/>
          <w:szCs w:val="20"/>
        </w:rPr>
        <w:t>Truyền thông</w:t>
      </w:r>
      <w:r w:rsidRPr="00CA43AC">
        <w:rPr>
          <w:rFonts w:ascii="Arial" w:hAnsi="Arial" w:cs="Arial"/>
          <w:sz w:val="20"/>
          <w:szCs w:val="20"/>
        </w:rPr>
        <w:t>: Các bài báo, bản tin và nội dung truyền thông khác làm nổi bật sự hiện diện và công nhận đối với nhãn hiệu trên thị trường liên quan.</w:t>
      </w:r>
    </w:p>
    <w:p w14:paraId="6603A474" w14:textId="77777777" w:rsidR="00AC2606" w:rsidRPr="00CA43AC" w:rsidRDefault="00AC2606" w:rsidP="00AC2606">
      <w:pPr>
        <w:pStyle w:val="ListParagraph"/>
        <w:spacing w:after="0" w:line="240" w:lineRule="auto"/>
        <w:ind w:left="360"/>
        <w:jc w:val="both"/>
        <w:rPr>
          <w:rFonts w:ascii="Arial" w:hAnsi="Arial" w:cs="Arial"/>
          <w:sz w:val="20"/>
          <w:szCs w:val="20"/>
        </w:rPr>
      </w:pPr>
    </w:p>
    <w:p w14:paraId="34C8F48C" w14:textId="77777777" w:rsidR="00AC2606" w:rsidRPr="00CA43AC" w:rsidRDefault="00AC2606" w:rsidP="00AC2606">
      <w:pPr>
        <w:pStyle w:val="ListParagraph"/>
        <w:numPr>
          <w:ilvl w:val="0"/>
          <w:numId w:val="19"/>
        </w:numPr>
        <w:spacing w:after="0" w:line="240" w:lineRule="auto"/>
        <w:ind w:left="360"/>
        <w:jc w:val="both"/>
        <w:rPr>
          <w:rFonts w:ascii="Arial" w:hAnsi="Arial" w:cs="Arial"/>
          <w:sz w:val="20"/>
          <w:szCs w:val="20"/>
        </w:rPr>
      </w:pPr>
      <w:r w:rsidRPr="00CA43AC">
        <w:rPr>
          <w:rFonts w:ascii="Arial" w:hAnsi="Arial" w:cs="Arial"/>
          <w:i/>
          <w:iCs/>
          <w:sz w:val="20"/>
          <w:szCs w:val="20"/>
        </w:rPr>
        <w:t>Giải thưởng và sự công nhận</w:t>
      </w:r>
      <w:r w:rsidRPr="00CA43AC">
        <w:rPr>
          <w:rFonts w:ascii="Arial" w:hAnsi="Arial" w:cs="Arial"/>
          <w:sz w:val="20"/>
          <w:szCs w:val="20"/>
        </w:rPr>
        <w:t>: Bao gồm mọi giải thưởng hoặc sự công nhận mà nhãn hiệu đã đạt được góp phần tạo nên danh tiếng cho nhãn hiệu đó.</w:t>
      </w:r>
    </w:p>
    <w:p w14:paraId="1C5A62BF" w14:textId="77777777" w:rsidR="00AC2606" w:rsidRDefault="00AC2606" w:rsidP="00AC2606">
      <w:pPr>
        <w:spacing w:after="0" w:line="240" w:lineRule="auto"/>
        <w:jc w:val="both"/>
        <w:rPr>
          <w:rFonts w:ascii="Arial" w:hAnsi="Arial" w:cs="Arial"/>
          <w:sz w:val="20"/>
          <w:szCs w:val="20"/>
        </w:rPr>
      </w:pPr>
    </w:p>
    <w:p w14:paraId="528B0297" w14:textId="77777777" w:rsidR="00AC2606" w:rsidRPr="00CA43AC" w:rsidRDefault="00AC2606" w:rsidP="00AC2606">
      <w:pPr>
        <w:spacing w:after="0" w:line="240" w:lineRule="auto"/>
        <w:jc w:val="both"/>
        <w:rPr>
          <w:rFonts w:ascii="Arial" w:hAnsi="Arial" w:cs="Arial"/>
          <w:b/>
          <w:bCs/>
          <w:color w:val="2F5496" w:themeColor="accent1" w:themeShade="BF"/>
        </w:rPr>
      </w:pPr>
      <w:r w:rsidRPr="00CA43AC">
        <w:rPr>
          <w:rFonts w:ascii="Arial" w:hAnsi="Arial" w:cs="Arial"/>
          <w:b/>
          <w:bCs/>
          <w:color w:val="2F5496" w:themeColor="accent1" w:themeShade="BF"/>
          <w:u w:val="single"/>
        </w:rPr>
        <w:t>Bước 2</w:t>
      </w:r>
      <w:r w:rsidRPr="00CA43AC">
        <w:rPr>
          <w:rFonts w:ascii="Arial" w:hAnsi="Arial" w:cs="Arial"/>
          <w:b/>
          <w:bCs/>
          <w:color w:val="2F5496" w:themeColor="accent1" w:themeShade="BF"/>
        </w:rPr>
        <w:t xml:space="preserve">: Chứng minh sự </w:t>
      </w:r>
      <w:r>
        <w:rPr>
          <w:rFonts w:ascii="Arial" w:hAnsi="Arial" w:cs="Arial"/>
          <w:b/>
          <w:bCs/>
          <w:color w:val="2F5496" w:themeColor="accent1" w:themeShade="BF"/>
        </w:rPr>
        <w:t>tương tự</w:t>
      </w:r>
      <w:r w:rsidRPr="00CA43AC">
        <w:rPr>
          <w:rFonts w:ascii="Arial" w:hAnsi="Arial" w:cs="Arial"/>
          <w:b/>
          <w:bCs/>
          <w:color w:val="2F5496" w:themeColor="accent1" w:themeShade="BF"/>
        </w:rPr>
        <w:t xml:space="preserve"> giữa các nhãn hiệu</w:t>
      </w:r>
    </w:p>
    <w:p w14:paraId="39EF4674" w14:textId="77777777" w:rsidR="00AC2606" w:rsidRDefault="00AC2606" w:rsidP="00AC2606">
      <w:pPr>
        <w:spacing w:after="0" w:line="240" w:lineRule="auto"/>
        <w:jc w:val="both"/>
        <w:rPr>
          <w:rFonts w:ascii="Arial" w:hAnsi="Arial" w:cs="Arial"/>
          <w:sz w:val="20"/>
          <w:szCs w:val="20"/>
        </w:rPr>
      </w:pPr>
    </w:p>
    <w:p w14:paraId="2B6EA3B0" w14:textId="77777777" w:rsidR="00AC2606" w:rsidRDefault="00AC2606" w:rsidP="00AC2606">
      <w:pPr>
        <w:pStyle w:val="ListParagraph"/>
        <w:numPr>
          <w:ilvl w:val="0"/>
          <w:numId w:val="20"/>
        </w:numPr>
        <w:spacing w:after="0" w:line="240" w:lineRule="auto"/>
        <w:ind w:left="360"/>
        <w:jc w:val="both"/>
        <w:rPr>
          <w:rFonts w:ascii="Arial" w:hAnsi="Arial" w:cs="Arial"/>
          <w:sz w:val="20"/>
          <w:szCs w:val="20"/>
        </w:rPr>
      </w:pPr>
      <w:r w:rsidRPr="00191456">
        <w:rPr>
          <w:rFonts w:ascii="Arial" w:hAnsi="Arial" w:cs="Arial"/>
          <w:i/>
          <w:iCs/>
          <w:sz w:val="20"/>
          <w:szCs w:val="20"/>
        </w:rPr>
        <w:t>So sánh trực quan</w:t>
      </w:r>
      <w:r w:rsidRPr="00CA43AC">
        <w:rPr>
          <w:rFonts w:ascii="Arial" w:hAnsi="Arial" w:cs="Arial"/>
          <w:sz w:val="20"/>
          <w:szCs w:val="20"/>
        </w:rPr>
        <w:t>: Đưa ra so sánh song song giữa các nhãn hiệu để làm nổi bật những điểm tương đồng về cấu trúc, cách phát âm, ý nghĩa và cách trình bày của các nhãn hiệu.</w:t>
      </w:r>
    </w:p>
    <w:p w14:paraId="4E8A5EB8" w14:textId="77777777" w:rsidR="00AC2606" w:rsidRPr="00CA43AC" w:rsidRDefault="00AC2606" w:rsidP="00AC2606">
      <w:pPr>
        <w:pStyle w:val="ListParagraph"/>
        <w:spacing w:after="0" w:line="240" w:lineRule="auto"/>
        <w:ind w:left="360"/>
        <w:jc w:val="both"/>
        <w:rPr>
          <w:rFonts w:ascii="Arial" w:hAnsi="Arial" w:cs="Arial"/>
          <w:sz w:val="20"/>
          <w:szCs w:val="20"/>
        </w:rPr>
      </w:pPr>
    </w:p>
    <w:p w14:paraId="2D609322" w14:textId="77777777" w:rsidR="00AC2606" w:rsidRPr="00CA43AC" w:rsidRDefault="00AC2606" w:rsidP="00AC2606">
      <w:pPr>
        <w:pStyle w:val="ListParagraph"/>
        <w:numPr>
          <w:ilvl w:val="0"/>
          <w:numId w:val="20"/>
        </w:numPr>
        <w:spacing w:after="0" w:line="240" w:lineRule="auto"/>
        <w:ind w:left="360"/>
        <w:jc w:val="both"/>
        <w:rPr>
          <w:rFonts w:ascii="Arial" w:hAnsi="Arial" w:cs="Arial"/>
          <w:sz w:val="20"/>
          <w:szCs w:val="20"/>
        </w:rPr>
      </w:pPr>
      <w:r w:rsidRPr="00191456">
        <w:rPr>
          <w:rFonts w:ascii="Arial" w:hAnsi="Arial" w:cs="Arial"/>
          <w:i/>
          <w:iCs/>
          <w:sz w:val="20"/>
          <w:szCs w:val="20"/>
        </w:rPr>
        <w:t>Ý kiến chuyên gia</w:t>
      </w:r>
      <w:r w:rsidRPr="00CA43AC">
        <w:rPr>
          <w:rFonts w:ascii="Arial" w:hAnsi="Arial" w:cs="Arial"/>
          <w:sz w:val="20"/>
          <w:szCs w:val="20"/>
        </w:rPr>
        <w:t xml:space="preserve">: Yêu cầu giám định tại </w:t>
      </w:r>
      <w:hyperlink r:id="rId7" w:history="1">
        <w:r w:rsidRPr="003C4513">
          <w:rPr>
            <w:rStyle w:val="Hyperlink"/>
            <w:rFonts w:ascii="Arial" w:hAnsi="Arial" w:cs="Arial"/>
            <w:sz w:val="20"/>
            <w:szCs w:val="20"/>
          </w:rPr>
          <w:t>Viện Khoa học Sở hữu Trí tuệ</w:t>
        </w:r>
      </w:hyperlink>
      <w:r w:rsidRPr="00CA43AC">
        <w:rPr>
          <w:rFonts w:ascii="Arial" w:hAnsi="Arial" w:cs="Arial"/>
          <w:sz w:val="20"/>
          <w:szCs w:val="20"/>
        </w:rPr>
        <w:t xml:space="preserve"> về sự tương tự giữa các nhãn hiệu và khả năng gây nhầm lẫn cho người tiêu dùng.</w:t>
      </w:r>
    </w:p>
    <w:p w14:paraId="6CF95478" w14:textId="77777777" w:rsidR="00AC2606" w:rsidRDefault="00AC2606" w:rsidP="00AC2606">
      <w:pPr>
        <w:spacing w:after="0" w:line="240" w:lineRule="auto"/>
        <w:jc w:val="both"/>
        <w:rPr>
          <w:rFonts w:ascii="Arial" w:hAnsi="Arial" w:cs="Arial"/>
          <w:sz w:val="20"/>
          <w:szCs w:val="20"/>
        </w:rPr>
      </w:pPr>
    </w:p>
    <w:p w14:paraId="342A669F" w14:textId="77777777" w:rsidR="00AC2606" w:rsidRPr="00CA43AC" w:rsidRDefault="00AC2606" w:rsidP="00AC2606">
      <w:pPr>
        <w:spacing w:after="0" w:line="240" w:lineRule="auto"/>
        <w:jc w:val="both"/>
        <w:rPr>
          <w:rFonts w:ascii="Arial" w:hAnsi="Arial" w:cs="Arial"/>
          <w:b/>
          <w:bCs/>
          <w:color w:val="2F5496" w:themeColor="accent1" w:themeShade="BF"/>
        </w:rPr>
      </w:pPr>
      <w:r w:rsidRPr="00191456">
        <w:rPr>
          <w:rFonts w:ascii="Arial" w:hAnsi="Arial" w:cs="Arial"/>
          <w:b/>
          <w:bCs/>
          <w:color w:val="2F5496" w:themeColor="accent1" w:themeShade="BF"/>
          <w:u w:val="single"/>
        </w:rPr>
        <w:t>Bước 3</w:t>
      </w:r>
      <w:r w:rsidRPr="00CA43AC">
        <w:rPr>
          <w:rFonts w:ascii="Arial" w:hAnsi="Arial" w:cs="Arial"/>
          <w:b/>
          <w:bCs/>
          <w:color w:val="2F5496" w:themeColor="accent1" w:themeShade="BF"/>
        </w:rPr>
        <w:t xml:space="preserve">: </w:t>
      </w:r>
      <w:r>
        <w:rPr>
          <w:rFonts w:ascii="Arial" w:hAnsi="Arial" w:cs="Arial"/>
          <w:b/>
          <w:bCs/>
          <w:color w:val="2F5496" w:themeColor="accent1" w:themeShade="BF"/>
        </w:rPr>
        <w:t>Chứng minh</w:t>
      </w:r>
      <w:r w:rsidRPr="00CA43AC">
        <w:rPr>
          <w:rFonts w:ascii="Arial" w:hAnsi="Arial" w:cs="Arial"/>
          <w:b/>
          <w:bCs/>
          <w:color w:val="2F5496" w:themeColor="accent1" w:themeShade="BF"/>
        </w:rPr>
        <w:t xml:space="preserve"> </w:t>
      </w:r>
      <w:r>
        <w:rPr>
          <w:rFonts w:ascii="Arial" w:hAnsi="Arial" w:cs="Arial"/>
          <w:b/>
          <w:bCs/>
          <w:color w:val="2F5496" w:themeColor="accent1" w:themeShade="BF"/>
        </w:rPr>
        <w:t>sự nhận biết</w:t>
      </w:r>
      <w:r w:rsidRPr="00CA43AC">
        <w:rPr>
          <w:rFonts w:ascii="Arial" w:hAnsi="Arial" w:cs="Arial"/>
          <w:b/>
          <w:bCs/>
          <w:color w:val="2F5496" w:themeColor="accent1" w:themeShade="BF"/>
        </w:rPr>
        <w:t xml:space="preserve"> của bên thứ ba về nhãn hiệu </w:t>
      </w:r>
    </w:p>
    <w:p w14:paraId="59AFB24F" w14:textId="77777777" w:rsidR="00AC2606" w:rsidRDefault="00AC2606" w:rsidP="00AC2606">
      <w:pPr>
        <w:spacing w:after="0" w:line="240" w:lineRule="auto"/>
        <w:jc w:val="both"/>
        <w:rPr>
          <w:rFonts w:ascii="Arial" w:hAnsi="Arial" w:cs="Arial"/>
          <w:sz w:val="20"/>
          <w:szCs w:val="20"/>
        </w:rPr>
      </w:pPr>
    </w:p>
    <w:p w14:paraId="445864A7" w14:textId="77777777" w:rsidR="00AC2606" w:rsidRDefault="00AC2606" w:rsidP="00AC2606">
      <w:pPr>
        <w:pStyle w:val="ListParagraph"/>
        <w:numPr>
          <w:ilvl w:val="0"/>
          <w:numId w:val="21"/>
        </w:numPr>
        <w:spacing w:after="0" w:line="240" w:lineRule="auto"/>
        <w:ind w:left="360"/>
        <w:jc w:val="both"/>
        <w:rPr>
          <w:rFonts w:ascii="Arial" w:hAnsi="Arial" w:cs="Arial"/>
          <w:sz w:val="20"/>
          <w:szCs w:val="20"/>
        </w:rPr>
      </w:pPr>
      <w:r w:rsidRPr="00191456">
        <w:rPr>
          <w:rFonts w:ascii="Arial" w:hAnsi="Arial" w:cs="Arial"/>
          <w:i/>
          <w:iCs/>
          <w:sz w:val="20"/>
          <w:szCs w:val="20"/>
        </w:rPr>
        <w:t>Cùng ngành nghề, lĩnh vực</w:t>
      </w:r>
      <w:r w:rsidRPr="00191456">
        <w:rPr>
          <w:rFonts w:ascii="Arial" w:hAnsi="Arial" w:cs="Arial"/>
          <w:sz w:val="20"/>
          <w:szCs w:val="20"/>
        </w:rPr>
        <w:t xml:space="preserve">: Bằng chứng cho thấy cả người nộp đơn và chủ nhãn hiệu đích thực hoạt động trong cùng một ngành nghề, lĩnh vực và cùng tham gia vào các triển lãm thương mại, hội nghị hoặc thị trường để lập luận rằng bên thứ ba có thể đã biết về nhãn hiệu của chủ nhãn hiệu đích thực. </w:t>
      </w:r>
    </w:p>
    <w:p w14:paraId="0E1A4059" w14:textId="77777777" w:rsidR="00AC2606" w:rsidRPr="00191456" w:rsidRDefault="00AC2606" w:rsidP="00AC2606">
      <w:pPr>
        <w:pStyle w:val="ListParagraph"/>
        <w:spacing w:after="0" w:line="240" w:lineRule="auto"/>
        <w:ind w:left="360" w:hanging="360"/>
        <w:jc w:val="both"/>
        <w:rPr>
          <w:rFonts w:ascii="Arial" w:hAnsi="Arial" w:cs="Arial"/>
          <w:sz w:val="20"/>
          <w:szCs w:val="20"/>
        </w:rPr>
      </w:pPr>
    </w:p>
    <w:p w14:paraId="20235C78" w14:textId="77777777" w:rsidR="00AC2606" w:rsidRPr="00191456" w:rsidRDefault="00AC2606" w:rsidP="00AC2606">
      <w:pPr>
        <w:pStyle w:val="ListParagraph"/>
        <w:numPr>
          <w:ilvl w:val="0"/>
          <w:numId w:val="21"/>
        </w:numPr>
        <w:spacing w:after="0" w:line="240" w:lineRule="auto"/>
        <w:ind w:left="360"/>
        <w:jc w:val="both"/>
        <w:rPr>
          <w:rFonts w:ascii="Arial" w:hAnsi="Arial" w:cs="Arial"/>
          <w:sz w:val="20"/>
          <w:szCs w:val="20"/>
        </w:rPr>
      </w:pPr>
      <w:r w:rsidRPr="00191456">
        <w:rPr>
          <w:rFonts w:ascii="Arial" w:hAnsi="Arial" w:cs="Arial"/>
          <w:i/>
          <w:iCs/>
          <w:sz w:val="20"/>
          <w:szCs w:val="20"/>
        </w:rPr>
        <w:t>Tương tác trước đây</w:t>
      </w:r>
      <w:r w:rsidRPr="00191456">
        <w:rPr>
          <w:rFonts w:ascii="Arial" w:hAnsi="Arial" w:cs="Arial"/>
          <w:sz w:val="20"/>
          <w:szCs w:val="20"/>
        </w:rPr>
        <w:t>: Nếu có bất kỳ tương tác nào trước đó (giao tiếp, giao dịch kinh doanh, tranh chấp) tồn tại giữa người nộp đơn và chủ nhãn hiệu đích thực, thì những tài liệu này có thể chứng minh chủ đơn đã biết đến sự tồn tại trước đó của nhãn hiệu.</w:t>
      </w:r>
    </w:p>
    <w:p w14:paraId="079F1BAC" w14:textId="77777777" w:rsidR="00AC2606" w:rsidRDefault="00AC2606" w:rsidP="00AC2606">
      <w:pPr>
        <w:spacing w:after="0" w:line="240" w:lineRule="auto"/>
        <w:rPr>
          <w:rFonts w:ascii="Arial" w:hAnsi="Arial" w:cs="Arial"/>
          <w:sz w:val="20"/>
          <w:szCs w:val="20"/>
        </w:rPr>
      </w:pPr>
    </w:p>
    <w:p w14:paraId="7DF5522C" w14:textId="77777777" w:rsidR="00AC2606" w:rsidRPr="00191456" w:rsidRDefault="00AC2606" w:rsidP="00AC2606">
      <w:pPr>
        <w:spacing w:after="0" w:line="240" w:lineRule="auto"/>
        <w:rPr>
          <w:rFonts w:ascii="Arial" w:hAnsi="Arial" w:cs="Arial"/>
          <w:b/>
          <w:bCs/>
          <w:color w:val="2F5496" w:themeColor="accent1" w:themeShade="BF"/>
        </w:rPr>
      </w:pPr>
      <w:r w:rsidRPr="00191456">
        <w:rPr>
          <w:rFonts w:ascii="Arial" w:hAnsi="Arial" w:cs="Arial"/>
          <w:b/>
          <w:bCs/>
          <w:color w:val="2F5496" w:themeColor="accent1" w:themeShade="BF"/>
          <w:u w:val="single"/>
        </w:rPr>
        <w:t>Bước 4</w:t>
      </w:r>
      <w:r w:rsidRPr="00191456">
        <w:rPr>
          <w:rFonts w:ascii="Arial" w:hAnsi="Arial" w:cs="Arial"/>
          <w:b/>
          <w:bCs/>
          <w:color w:val="2F5496" w:themeColor="accent1" w:themeShade="BF"/>
        </w:rPr>
        <w:t>: Chứng minh ý định lừa dối hoặc lợi dụng thương hiệu đã có uy tín</w:t>
      </w:r>
    </w:p>
    <w:p w14:paraId="475E6722" w14:textId="77777777" w:rsidR="00AC2606" w:rsidRDefault="00AC2606" w:rsidP="00AC2606">
      <w:pPr>
        <w:spacing w:after="0" w:line="240" w:lineRule="auto"/>
        <w:rPr>
          <w:rFonts w:ascii="Arial" w:hAnsi="Arial" w:cs="Arial"/>
          <w:sz w:val="20"/>
          <w:szCs w:val="20"/>
        </w:rPr>
      </w:pPr>
    </w:p>
    <w:p w14:paraId="0BA754A7" w14:textId="77777777" w:rsidR="00AC2606" w:rsidRPr="00CC30C4" w:rsidRDefault="00AC2606" w:rsidP="00AC2606">
      <w:pPr>
        <w:pStyle w:val="ListParagraph"/>
        <w:numPr>
          <w:ilvl w:val="0"/>
          <w:numId w:val="22"/>
        </w:numPr>
        <w:spacing w:after="0" w:line="240" w:lineRule="auto"/>
        <w:ind w:left="360"/>
        <w:rPr>
          <w:rFonts w:ascii="Arial" w:hAnsi="Arial" w:cs="Arial"/>
          <w:sz w:val="20"/>
          <w:szCs w:val="20"/>
        </w:rPr>
      </w:pPr>
      <w:r w:rsidRPr="00CC30C4">
        <w:rPr>
          <w:rFonts w:ascii="Arial" w:hAnsi="Arial" w:cs="Arial"/>
          <w:i/>
          <w:iCs/>
          <w:sz w:val="20"/>
          <w:szCs w:val="20"/>
        </w:rPr>
        <w:t>Mục đích trực tiếp</w:t>
      </w:r>
      <w:r w:rsidRPr="00CC30C4">
        <w:rPr>
          <w:rFonts w:ascii="Arial" w:hAnsi="Arial" w:cs="Arial"/>
          <w:sz w:val="20"/>
          <w:szCs w:val="20"/>
        </w:rPr>
        <w:t>: Bất kỳ thông tin trực tiếp nào từ người nộp đơn cho thấy ý định lợi dụng sự hiện diện đã được thiết lập trên thị trường của nhãn hiệu.</w:t>
      </w:r>
    </w:p>
    <w:p w14:paraId="2D674138" w14:textId="77777777" w:rsidR="00AC2606" w:rsidRPr="00191456" w:rsidRDefault="00AC2606" w:rsidP="00AC2606">
      <w:pPr>
        <w:spacing w:after="0" w:line="240" w:lineRule="auto"/>
        <w:ind w:left="360" w:hanging="360"/>
        <w:rPr>
          <w:rFonts w:ascii="Arial" w:hAnsi="Arial" w:cs="Arial"/>
          <w:sz w:val="20"/>
          <w:szCs w:val="20"/>
        </w:rPr>
      </w:pPr>
    </w:p>
    <w:p w14:paraId="6D3DBDCF" w14:textId="77777777" w:rsidR="00AC2606" w:rsidRPr="00CC30C4" w:rsidRDefault="00AC2606" w:rsidP="00AC2606">
      <w:pPr>
        <w:pStyle w:val="ListParagraph"/>
        <w:numPr>
          <w:ilvl w:val="0"/>
          <w:numId w:val="22"/>
        </w:numPr>
        <w:spacing w:after="0" w:line="240" w:lineRule="auto"/>
        <w:ind w:left="360"/>
        <w:rPr>
          <w:rFonts w:ascii="Arial" w:hAnsi="Arial" w:cs="Arial"/>
          <w:sz w:val="20"/>
          <w:szCs w:val="20"/>
        </w:rPr>
      </w:pPr>
      <w:r w:rsidRPr="00CC30C4">
        <w:rPr>
          <w:rFonts w:ascii="Arial" w:hAnsi="Arial" w:cs="Arial"/>
          <w:i/>
          <w:iCs/>
          <w:sz w:val="20"/>
          <w:szCs w:val="20"/>
        </w:rPr>
        <w:t>Lợi ích kinh tế</w:t>
      </w:r>
      <w:r w:rsidRPr="00CC30C4">
        <w:rPr>
          <w:rFonts w:ascii="Arial" w:hAnsi="Arial" w:cs="Arial"/>
          <w:sz w:val="20"/>
          <w:szCs w:val="20"/>
        </w:rPr>
        <w:t>: Cung cấp các phân tích để làm rõ hành động của người nộp đơn có thể được thúc đẩy bởi mong muốn hưởng lợi từ danh tiếng đã được khẳng định của nhãn hiệu.</w:t>
      </w:r>
    </w:p>
    <w:p w14:paraId="74A79E70" w14:textId="77777777" w:rsidR="00AC2606" w:rsidRPr="00191456" w:rsidRDefault="00AC2606" w:rsidP="00AC2606">
      <w:pPr>
        <w:spacing w:after="0" w:line="240" w:lineRule="auto"/>
        <w:ind w:left="360" w:hanging="360"/>
        <w:rPr>
          <w:rFonts w:ascii="Arial" w:hAnsi="Arial" w:cs="Arial"/>
          <w:sz w:val="20"/>
          <w:szCs w:val="20"/>
        </w:rPr>
      </w:pPr>
    </w:p>
    <w:p w14:paraId="5D7632C9" w14:textId="77777777" w:rsidR="00AC2606" w:rsidRPr="00CC30C4" w:rsidRDefault="00AC2606" w:rsidP="00AC2606">
      <w:pPr>
        <w:pStyle w:val="ListParagraph"/>
        <w:numPr>
          <w:ilvl w:val="0"/>
          <w:numId w:val="22"/>
        </w:numPr>
        <w:spacing w:after="0" w:line="240" w:lineRule="auto"/>
        <w:ind w:left="360"/>
        <w:rPr>
          <w:rFonts w:ascii="Arial" w:hAnsi="Arial" w:cs="Arial"/>
          <w:sz w:val="20"/>
          <w:szCs w:val="20"/>
        </w:rPr>
      </w:pPr>
      <w:r w:rsidRPr="00CC30C4">
        <w:rPr>
          <w:rFonts w:ascii="Arial" w:hAnsi="Arial" w:cs="Arial"/>
          <w:i/>
          <w:iCs/>
          <w:sz w:val="20"/>
          <w:szCs w:val="20"/>
        </w:rPr>
        <w:t>Chiến lược thâm nhập thị trường</w:t>
      </w:r>
      <w:r w:rsidRPr="00CC30C4">
        <w:rPr>
          <w:rFonts w:ascii="Arial" w:hAnsi="Arial" w:cs="Arial"/>
          <w:sz w:val="20"/>
          <w:szCs w:val="20"/>
        </w:rPr>
        <w:t>: Tài liệu hoặc phân tích cho thấy chiến lược thị trường của người nộp dơn được thiết kế để bắt chước theo sự thành công của nhãn hiệu của chủ nhãn hiệu đích thực.</w:t>
      </w:r>
    </w:p>
    <w:p w14:paraId="1A872BDA" w14:textId="77777777" w:rsidR="00AC2606" w:rsidRDefault="00AC2606" w:rsidP="00AC2606">
      <w:pPr>
        <w:spacing w:after="0" w:line="240" w:lineRule="auto"/>
        <w:rPr>
          <w:rFonts w:ascii="Arial" w:hAnsi="Arial" w:cs="Arial"/>
          <w:sz w:val="20"/>
          <w:szCs w:val="20"/>
        </w:rPr>
      </w:pPr>
    </w:p>
    <w:p w14:paraId="4EAA1413" w14:textId="77777777" w:rsidR="00AC2606" w:rsidRPr="00CC30C4" w:rsidRDefault="00AC2606" w:rsidP="00AC2606">
      <w:pPr>
        <w:spacing w:after="0" w:line="240" w:lineRule="auto"/>
        <w:rPr>
          <w:rFonts w:ascii="Arial" w:hAnsi="Arial" w:cs="Arial"/>
          <w:b/>
          <w:bCs/>
          <w:color w:val="2F5496" w:themeColor="accent1" w:themeShade="BF"/>
        </w:rPr>
      </w:pPr>
      <w:r w:rsidRPr="00CC30C4">
        <w:rPr>
          <w:rFonts w:ascii="Arial" w:hAnsi="Arial" w:cs="Arial"/>
          <w:b/>
          <w:bCs/>
          <w:color w:val="2F5496" w:themeColor="accent1" w:themeShade="BF"/>
          <w:u w:val="single"/>
        </w:rPr>
        <w:t>Bước 5</w:t>
      </w:r>
      <w:r w:rsidRPr="00CC30C4">
        <w:rPr>
          <w:rFonts w:ascii="Arial" w:hAnsi="Arial" w:cs="Arial"/>
          <w:b/>
          <w:bCs/>
          <w:color w:val="2F5496" w:themeColor="accent1" w:themeShade="BF"/>
        </w:rPr>
        <w:t>: Bằng chứng về sự nhầm lẫn thực tế của người tiêu dùng</w:t>
      </w:r>
    </w:p>
    <w:p w14:paraId="6DD0FA7C" w14:textId="77777777" w:rsidR="00AC2606" w:rsidRDefault="00AC2606" w:rsidP="00AC2606">
      <w:pPr>
        <w:spacing w:after="0" w:line="240" w:lineRule="auto"/>
        <w:rPr>
          <w:rFonts w:ascii="Arial" w:hAnsi="Arial" w:cs="Arial"/>
          <w:sz w:val="20"/>
          <w:szCs w:val="20"/>
        </w:rPr>
      </w:pPr>
    </w:p>
    <w:p w14:paraId="0526623C" w14:textId="77777777" w:rsidR="00AC2606" w:rsidRPr="00CC30C4" w:rsidRDefault="00AC2606" w:rsidP="00AC2606">
      <w:pPr>
        <w:pStyle w:val="ListParagraph"/>
        <w:numPr>
          <w:ilvl w:val="0"/>
          <w:numId w:val="23"/>
        </w:numPr>
        <w:spacing w:after="0" w:line="240" w:lineRule="auto"/>
        <w:ind w:left="360"/>
        <w:rPr>
          <w:rFonts w:ascii="Arial" w:hAnsi="Arial" w:cs="Arial"/>
          <w:sz w:val="20"/>
          <w:szCs w:val="20"/>
        </w:rPr>
      </w:pPr>
      <w:r w:rsidRPr="00CC30C4">
        <w:rPr>
          <w:rFonts w:ascii="Arial" w:hAnsi="Arial" w:cs="Arial"/>
          <w:i/>
          <w:iCs/>
          <w:sz w:val="20"/>
          <w:szCs w:val="20"/>
        </w:rPr>
        <w:t>Khiếu nại của người tiêu dùng</w:t>
      </w:r>
      <w:r w:rsidRPr="00CC30C4">
        <w:rPr>
          <w:rFonts w:ascii="Arial" w:hAnsi="Arial" w:cs="Arial"/>
          <w:sz w:val="20"/>
          <w:szCs w:val="20"/>
        </w:rPr>
        <w:t>: Thu thập sự xác nhận hoặc khiếu nại từ người tiêu dùng bị nhầm lẫn hoặc bị đánh lừa bởi sự giống nhau giữa các nhãn hiệu.</w:t>
      </w:r>
    </w:p>
    <w:p w14:paraId="2C933C97" w14:textId="77777777" w:rsidR="00AC2606" w:rsidRPr="00CC30C4" w:rsidRDefault="00AC2606" w:rsidP="00AC2606">
      <w:pPr>
        <w:spacing w:after="0" w:line="240" w:lineRule="auto"/>
        <w:ind w:left="360" w:hanging="360"/>
        <w:rPr>
          <w:rFonts w:ascii="Arial" w:hAnsi="Arial" w:cs="Arial"/>
          <w:sz w:val="20"/>
          <w:szCs w:val="20"/>
        </w:rPr>
      </w:pPr>
    </w:p>
    <w:p w14:paraId="27882774" w14:textId="77777777" w:rsidR="00AC2606" w:rsidRPr="00CC30C4" w:rsidRDefault="00AC2606" w:rsidP="00AC2606">
      <w:pPr>
        <w:pStyle w:val="ListParagraph"/>
        <w:numPr>
          <w:ilvl w:val="0"/>
          <w:numId w:val="23"/>
        </w:numPr>
        <w:spacing w:after="0" w:line="240" w:lineRule="auto"/>
        <w:ind w:left="360"/>
        <w:rPr>
          <w:rFonts w:ascii="Arial" w:hAnsi="Arial" w:cs="Arial"/>
          <w:sz w:val="20"/>
          <w:szCs w:val="20"/>
        </w:rPr>
      </w:pPr>
      <w:r w:rsidRPr="00CC30C4">
        <w:rPr>
          <w:rFonts w:ascii="Arial" w:hAnsi="Arial" w:cs="Arial"/>
          <w:i/>
          <w:iCs/>
          <w:sz w:val="20"/>
          <w:szCs w:val="20"/>
        </w:rPr>
        <w:t>Các trường hợp nhầm lẫn</w:t>
      </w:r>
      <w:r w:rsidRPr="00CC30C4">
        <w:rPr>
          <w:rFonts w:ascii="Arial" w:hAnsi="Arial" w:cs="Arial"/>
          <w:sz w:val="20"/>
          <w:szCs w:val="20"/>
        </w:rPr>
        <w:t>: Trường hợp người tiêu dùng hoặc nhà cung cấp nhầm lẫn sản phẩm/dịch vụ của người nộp đơn với sản phẩm/dịch vụ của chủ sở hữu nhãn hiệu chính hãng.</w:t>
      </w:r>
    </w:p>
    <w:p w14:paraId="2D5E4244" w14:textId="77777777" w:rsidR="00AC2606" w:rsidRDefault="00AC2606" w:rsidP="00AC2606">
      <w:pPr>
        <w:spacing w:after="0" w:line="240" w:lineRule="auto"/>
        <w:rPr>
          <w:rFonts w:ascii="Arial" w:hAnsi="Arial" w:cs="Arial"/>
          <w:sz w:val="20"/>
          <w:szCs w:val="20"/>
        </w:rPr>
      </w:pPr>
    </w:p>
    <w:p w14:paraId="1420FC3A" w14:textId="77777777" w:rsidR="00AC2606" w:rsidRPr="00CC30C4" w:rsidRDefault="00AC2606" w:rsidP="00AC2606">
      <w:pPr>
        <w:spacing w:after="0" w:line="240" w:lineRule="auto"/>
        <w:rPr>
          <w:rFonts w:ascii="Arial" w:hAnsi="Arial" w:cs="Arial"/>
          <w:b/>
          <w:bCs/>
          <w:color w:val="2F5496" w:themeColor="accent1" w:themeShade="BF"/>
        </w:rPr>
      </w:pPr>
      <w:r w:rsidRPr="00CC30C4">
        <w:rPr>
          <w:rFonts w:ascii="Arial" w:hAnsi="Arial" w:cs="Arial"/>
          <w:b/>
          <w:bCs/>
          <w:color w:val="2F5496" w:themeColor="accent1" w:themeShade="BF"/>
          <w:u w:val="single"/>
        </w:rPr>
        <w:t>Bước 6</w:t>
      </w:r>
      <w:r w:rsidRPr="00CC30C4">
        <w:rPr>
          <w:rFonts w:ascii="Arial" w:hAnsi="Arial" w:cs="Arial"/>
          <w:b/>
          <w:bCs/>
          <w:color w:val="2F5496" w:themeColor="accent1" w:themeShade="BF"/>
        </w:rPr>
        <w:t xml:space="preserve">: Phân tích tác động đến chủ sở hữu nhãn hiệu </w:t>
      </w:r>
      <w:r>
        <w:rPr>
          <w:rFonts w:ascii="Arial" w:hAnsi="Arial" w:cs="Arial"/>
          <w:b/>
          <w:bCs/>
          <w:color w:val="2F5496" w:themeColor="accent1" w:themeShade="BF"/>
        </w:rPr>
        <w:t>đích thực</w:t>
      </w:r>
    </w:p>
    <w:p w14:paraId="50790886" w14:textId="0ECCED9C" w:rsidR="00AC2606" w:rsidRDefault="00AC2606" w:rsidP="00AC2606">
      <w:pPr>
        <w:spacing w:after="0" w:line="240" w:lineRule="auto"/>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66C430E4" wp14:editId="58BB4051">
                <wp:simplePos x="0" y="0"/>
                <wp:positionH relativeFrom="column">
                  <wp:posOffset>6372225</wp:posOffset>
                </wp:positionH>
                <wp:positionV relativeFrom="paragraph">
                  <wp:posOffset>-295910</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486412" w14:textId="77777777" w:rsidR="00AC2606" w:rsidRPr="00BA68B8" w:rsidRDefault="00AC2606" w:rsidP="00AC2606">
                            <w:pPr>
                              <w:spacing w:after="0" w:line="240" w:lineRule="auto"/>
                              <w:rPr>
                                <w:rFonts w:ascii="Arial" w:hAnsi="Arial" w:cs="Arial"/>
                                <w:b/>
                                <w:color w:val="FFFFFF" w:themeColor="background1"/>
                                <w:sz w:val="20"/>
                                <w:szCs w:val="20"/>
                              </w:rPr>
                            </w:pPr>
                            <w:r w:rsidRPr="00AC2606">
                              <w:rPr>
                                <w:rFonts w:ascii="Arial" w:hAnsi="Arial" w:cs="Arial"/>
                                <w:b/>
                                <w:bCs/>
                                <w:color w:val="FFFFFF" w:themeColor="background1"/>
                                <w:sz w:val="20"/>
                                <w:szCs w:val="20"/>
                              </w:rPr>
                              <w:t>Chứng minh danh tiếng và sự công nhận đối với nhãn hiệu</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430E4" id="Rectangle 1" o:spid="_x0000_s1028" style="position:absolute;margin-left:501.75pt;margin-top:-23.3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" fillcolor="#00b39c" strokecolor="#00b39c" strokeweight="0">
                <v:textbox style="layout-flow:vertical">
                  <w:txbxContent>
                    <w:p w14:paraId="1E486412" w14:textId="77777777" w:rsidR="00AC2606" w:rsidRPr="00BA68B8" w:rsidRDefault="00AC2606" w:rsidP="00AC2606">
                      <w:pPr>
                        <w:spacing w:after="0" w:line="240" w:lineRule="auto"/>
                        <w:rPr>
                          <w:rFonts w:ascii="Arial" w:hAnsi="Arial" w:cs="Arial"/>
                          <w:b/>
                          <w:color w:val="FFFFFF" w:themeColor="background1"/>
                          <w:sz w:val="20"/>
                          <w:szCs w:val="20"/>
                        </w:rPr>
                      </w:pPr>
                      <w:r w:rsidRPr="00AC2606">
                        <w:rPr>
                          <w:rFonts w:ascii="Arial" w:hAnsi="Arial" w:cs="Arial"/>
                          <w:b/>
                          <w:bCs/>
                          <w:color w:val="FFFFFF" w:themeColor="background1"/>
                          <w:sz w:val="20"/>
                          <w:szCs w:val="20"/>
                        </w:rPr>
                        <w:t>Chứng minh danh tiếng và sự công nhận đối với nhãn hiệu</w:t>
                      </w:r>
                    </w:p>
                  </w:txbxContent>
                </v:textbox>
              </v:rect>
            </w:pict>
          </mc:Fallback>
        </mc:AlternateContent>
      </w:r>
    </w:p>
    <w:p w14:paraId="4E48D325" w14:textId="77777777" w:rsidR="00AC2606" w:rsidRPr="00CC30C4" w:rsidRDefault="00AC2606" w:rsidP="00AC2606">
      <w:pPr>
        <w:pStyle w:val="ListParagraph"/>
        <w:numPr>
          <w:ilvl w:val="0"/>
          <w:numId w:val="24"/>
        </w:numPr>
        <w:spacing w:after="0" w:line="240" w:lineRule="auto"/>
        <w:ind w:left="360"/>
        <w:rPr>
          <w:rFonts w:ascii="Arial" w:hAnsi="Arial" w:cs="Arial"/>
          <w:sz w:val="20"/>
          <w:szCs w:val="20"/>
        </w:rPr>
      </w:pPr>
      <w:r w:rsidRPr="00CC30C4">
        <w:rPr>
          <w:rFonts w:ascii="Arial" w:hAnsi="Arial" w:cs="Arial"/>
          <w:i/>
          <w:iCs/>
          <w:sz w:val="20"/>
          <w:szCs w:val="20"/>
        </w:rPr>
        <w:t>Phân tích tác động đến doanh số bán hàng</w:t>
      </w:r>
      <w:r w:rsidRPr="00CC30C4">
        <w:rPr>
          <w:rFonts w:ascii="Arial" w:hAnsi="Arial" w:cs="Arial"/>
          <w:sz w:val="20"/>
          <w:szCs w:val="20"/>
        </w:rPr>
        <w:t>: Cung cấp dữ liệu về mọi tổn thất về doanh số bán hàng, thị phần hoặc cơ hội kinh doanh do người nộp đơn sử dụng nhãn hiệu tương tự.</w:t>
      </w:r>
    </w:p>
    <w:p w14:paraId="5AD923CE" w14:textId="77777777" w:rsidR="00AC2606" w:rsidRPr="00CC30C4" w:rsidRDefault="00AC2606" w:rsidP="00AC2606">
      <w:pPr>
        <w:spacing w:after="0" w:line="240" w:lineRule="auto"/>
        <w:ind w:left="360" w:hanging="360"/>
        <w:rPr>
          <w:rFonts w:ascii="Arial" w:hAnsi="Arial" w:cs="Arial"/>
          <w:sz w:val="20"/>
          <w:szCs w:val="20"/>
        </w:rPr>
      </w:pPr>
    </w:p>
    <w:p w14:paraId="573F8F38" w14:textId="77777777" w:rsidR="00AC2606" w:rsidRPr="00CC30C4" w:rsidRDefault="00AC2606" w:rsidP="00AC2606">
      <w:pPr>
        <w:pStyle w:val="ListParagraph"/>
        <w:numPr>
          <w:ilvl w:val="0"/>
          <w:numId w:val="24"/>
        </w:numPr>
        <w:spacing w:after="0" w:line="240" w:lineRule="auto"/>
        <w:ind w:left="360"/>
        <w:rPr>
          <w:rFonts w:ascii="Arial" w:hAnsi="Arial" w:cs="Arial"/>
          <w:sz w:val="20"/>
          <w:szCs w:val="20"/>
        </w:rPr>
      </w:pPr>
      <w:r w:rsidRPr="00CC30C4">
        <w:rPr>
          <w:rFonts w:ascii="Arial" w:hAnsi="Arial" w:cs="Arial"/>
          <w:i/>
          <w:iCs/>
          <w:sz w:val="20"/>
          <w:szCs w:val="20"/>
        </w:rPr>
        <w:t>Khả năng lu mờ thương hiệu</w:t>
      </w:r>
      <w:r w:rsidRPr="00CC30C4">
        <w:rPr>
          <w:rFonts w:ascii="Arial" w:hAnsi="Arial" w:cs="Arial"/>
          <w:sz w:val="20"/>
          <w:szCs w:val="20"/>
        </w:rPr>
        <w:t>: Bằng chứng cho thấy giá trị hoặc nhận thức về nhãn hiệu của chủ nhãn hiệu đích thực đã bị lu mờ do hành động của người nộp đơn.</w:t>
      </w:r>
    </w:p>
    <w:p w14:paraId="3C663B13" w14:textId="77777777" w:rsidR="00AC2606" w:rsidRDefault="00AC2606" w:rsidP="00AC2606">
      <w:pPr>
        <w:spacing w:after="0" w:line="240" w:lineRule="auto"/>
        <w:rPr>
          <w:rFonts w:ascii="Arial" w:hAnsi="Arial" w:cs="Arial"/>
          <w:sz w:val="20"/>
          <w:szCs w:val="20"/>
        </w:rPr>
      </w:pPr>
    </w:p>
    <w:p w14:paraId="38F518AD" w14:textId="77777777" w:rsidR="00AC2606" w:rsidRPr="007B3837" w:rsidRDefault="00AC2606" w:rsidP="00AC2606">
      <w:pPr>
        <w:spacing w:after="0" w:line="240" w:lineRule="auto"/>
        <w:rPr>
          <w:rFonts w:ascii="Arial" w:hAnsi="Arial" w:cs="Arial"/>
          <w:b/>
          <w:bCs/>
          <w:color w:val="2F5496" w:themeColor="accent1" w:themeShade="BF"/>
        </w:rPr>
      </w:pPr>
      <w:r w:rsidRPr="007B3837">
        <w:rPr>
          <w:rFonts w:ascii="Arial" w:hAnsi="Arial" w:cs="Arial"/>
          <w:b/>
          <w:bCs/>
          <w:color w:val="2F5496" w:themeColor="accent1" w:themeShade="BF"/>
        </w:rPr>
        <w:t>Lời kết</w:t>
      </w:r>
    </w:p>
    <w:p w14:paraId="2DC07758" w14:textId="77777777" w:rsidR="00AC2606" w:rsidRDefault="00AC2606" w:rsidP="00AC2606">
      <w:pPr>
        <w:spacing w:after="0" w:line="240" w:lineRule="auto"/>
        <w:rPr>
          <w:rFonts w:ascii="Arial" w:hAnsi="Arial" w:cs="Arial"/>
          <w:sz w:val="20"/>
          <w:szCs w:val="20"/>
        </w:rPr>
      </w:pPr>
    </w:p>
    <w:p w14:paraId="4BAF4448" w14:textId="77777777" w:rsidR="00AC2606" w:rsidRDefault="00AC2606" w:rsidP="00AC2606">
      <w:pPr>
        <w:spacing w:after="0" w:line="240" w:lineRule="auto"/>
        <w:jc w:val="both"/>
        <w:rPr>
          <w:rFonts w:ascii="Arial" w:hAnsi="Arial" w:cs="Arial"/>
          <w:sz w:val="20"/>
          <w:szCs w:val="20"/>
        </w:rPr>
      </w:pPr>
      <w:r w:rsidRPr="00CC30C4">
        <w:rPr>
          <w:rFonts w:ascii="Arial" w:hAnsi="Arial" w:cs="Arial"/>
          <w:sz w:val="20"/>
          <w:szCs w:val="20"/>
        </w:rPr>
        <w:t xml:space="preserve">Hướng dẫn sáu bước </w:t>
      </w:r>
      <w:r>
        <w:rPr>
          <w:rFonts w:ascii="Arial" w:hAnsi="Arial" w:cs="Arial"/>
          <w:sz w:val="20"/>
          <w:szCs w:val="20"/>
        </w:rPr>
        <w:t>nêu trên</w:t>
      </w:r>
      <w:r w:rsidRPr="00CC30C4">
        <w:rPr>
          <w:rFonts w:ascii="Arial" w:hAnsi="Arial" w:cs="Arial"/>
          <w:sz w:val="20"/>
          <w:szCs w:val="20"/>
        </w:rPr>
        <w:t xml:space="preserve"> cung cấp cách tiếp cận toàn diện cho chủ sở hữu nhãn hiệu </w:t>
      </w:r>
      <w:r>
        <w:rPr>
          <w:rFonts w:ascii="Arial" w:hAnsi="Arial" w:cs="Arial"/>
          <w:sz w:val="20"/>
          <w:szCs w:val="20"/>
        </w:rPr>
        <w:t>đích thực</w:t>
      </w:r>
      <w:r w:rsidRPr="00CC30C4">
        <w:rPr>
          <w:rFonts w:ascii="Arial" w:hAnsi="Arial" w:cs="Arial"/>
          <w:sz w:val="20"/>
          <w:szCs w:val="20"/>
        </w:rPr>
        <w:t xml:space="preserve"> </w:t>
      </w:r>
      <w:r>
        <w:rPr>
          <w:rFonts w:ascii="Arial" w:hAnsi="Arial" w:cs="Arial"/>
          <w:sz w:val="20"/>
          <w:szCs w:val="20"/>
        </w:rPr>
        <w:t>trong việc</w:t>
      </w:r>
      <w:r w:rsidRPr="00CC30C4">
        <w:rPr>
          <w:rFonts w:ascii="Arial" w:hAnsi="Arial" w:cs="Arial"/>
          <w:sz w:val="20"/>
          <w:szCs w:val="20"/>
        </w:rPr>
        <w:t xml:space="preserve"> chứng minh rằng bên thứ ba đã lợi dụng danh tiếng</w:t>
      </w:r>
      <w:r>
        <w:rPr>
          <w:rFonts w:ascii="Arial" w:hAnsi="Arial" w:cs="Arial"/>
          <w:sz w:val="20"/>
          <w:szCs w:val="20"/>
        </w:rPr>
        <w:t xml:space="preserve">, uy tín </w:t>
      </w:r>
      <w:r w:rsidRPr="00CC30C4">
        <w:rPr>
          <w:rFonts w:ascii="Arial" w:hAnsi="Arial" w:cs="Arial"/>
          <w:sz w:val="20"/>
          <w:szCs w:val="20"/>
        </w:rPr>
        <w:t xml:space="preserve">của nhãn hiệu. </w:t>
      </w:r>
      <w:r>
        <w:rPr>
          <w:rFonts w:ascii="Arial" w:hAnsi="Arial" w:cs="Arial"/>
          <w:sz w:val="20"/>
          <w:szCs w:val="20"/>
        </w:rPr>
        <w:t xml:space="preserve">Để thành công trong các vụ tranh chấp nhãn hiệu liên quan đến “dụng ý xấu”, chủ nhãn hiệu đích thực cần cung cấp các tài liệu chứng minh danh tiếng, sự công nhận của công chúng liên quan đối với nhãn hiệu, chứng minh sự tương tự giữa các nhãn hiệu, sự nhận biết của người nộp đơn, ý định lừa dối hoặc trục lợi về mặt kinh tế của họ, các chứng cứ về sự nhầm </w:t>
      </w:r>
      <w:r w:rsidRPr="00CC30C4">
        <w:rPr>
          <w:rFonts w:ascii="Arial" w:hAnsi="Arial" w:cs="Arial"/>
          <w:sz w:val="20"/>
          <w:szCs w:val="20"/>
        </w:rPr>
        <w:t>thực tế của người tiêu dùng</w:t>
      </w:r>
      <w:r>
        <w:rPr>
          <w:rFonts w:ascii="Arial" w:hAnsi="Arial" w:cs="Arial"/>
          <w:sz w:val="20"/>
          <w:szCs w:val="20"/>
        </w:rPr>
        <w:t xml:space="preserve">. </w:t>
      </w:r>
    </w:p>
    <w:p w14:paraId="1DDB6BC7" w14:textId="77777777" w:rsidR="00AC2606" w:rsidRDefault="00AC2606" w:rsidP="00AC2606">
      <w:pPr>
        <w:spacing w:after="0" w:line="240" w:lineRule="auto"/>
        <w:jc w:val="both"/>
        <w:rPr>
          <w:rFonts w:ascii="Arial" w:hAnsi="Arial" w:cs="Arial"/>
          <w:sz w:val="20"/>
          <w:szCs w:val="20"/>
        </w:rPr>
      </w:pPr>
    </w:p>
    <w:p w14:paraId="69B5CD14" w14:textId="269EF914" w:rsidR="007375E8" w:rsidRPr="00AC2606" w:rsidRDefault="00AC2606" w:rsidP="00AC2606">
      <w:pPr>
        <w:spacing w:after="0" w:line="240" w:lineRule="auto"/>
        <w:jc w:val="both"/>
        <w:rPr>
          <w:rFonts w:ascii="Arial" w:hAnsi="Arial" w:cs="Arial"/>
          <w:sz w:val="20"/>
          <w:szCs w:val="20"/>
        </w:rPr>
      </w:pPr>
      <w:bookmarkStart w:id="1" w:name="_Hlk164758723"/>
      <w:r w:rsidRPr="00D024EE">
        <w:rPr>
          <w:rFonts w:ascii="Arial" w:hAnsi="Arial" w:cs="Arial"/>
          <w:sz w:val="20"/>
          <w:szCs w:val="20"/>
        </w:rPr>
        <w:t xml:space="preserve">Hãy liên hệ với KENFOX IP &amp; Law Office để được tư vấn chuyên sâu và hỗ trợ giải quyết các vấn đề phức tạp liên quan đến sở hữu trí tuệ, đặc biệt là các trường hợp đăng ký nhãn hiệu có dụng ý xấu tại Việt Nam. Với </w:t>
      </w:r>
      <w:r>
        <w:rPr>
          <w:rFonts w:ascii="Arial" w:hAnsi="Arial" w:cs="Arial"/>
          <w:sz w:val="20"/>
          <w:szCs w:val="20"/>
        </w:rPr>
        <w:t>với kinh nghiệm thực tế sâu rộng</w:t>
      </w:r>
      <w:r w:rsidRPr="00D024EE">
        <w:rPr>
          <w:rFonts w:ascii="Arial" w:hAnsi="Arial" w:cs="Arial"/>
          <w:sz w:val="20"/>
          <w:szCs w:val="20"/>
        </w:rPr>
        <w:t xml:space="preserve"> và đã thành công trong việc giải quyết nhiều vụ tranh chấp nhãn hiệu, cả theo thủ tục hành chính và </w:t>
      </w:r>
      <w:hyperlink r:id="rId8" w:history="1">
        <w:r w:rsidRPr="00CB3F14">
          <w:rPr>
            <w:rStyle w:val="Hyperlink"/>
            <w:rFonts w:ascii="Arial" w:hAnsi="Arial" w:cs="Arial"/>
            <w:sz w:val="20"/>
            <w:szCs w:val="20"/>
          </w:rPr>
          <w:t>tố tụng tại tòa án</w:t>
        </w:r>
      </w:hyperlink>
      <w:r w:rsidRPr="00D024EE">
        <w:rPr>
          <w:rFonts w:ascii="Arial" w:hAnsi="Arial" w:cs="Arial"/>
          <w:sz w:val="20"/>
          <w:szCs w:val="20"/>
        </w:rPr>
        <w:t xml:space="preserve">, KENFOX sẵn sàng đồng hành cùng bạn để bảo vệ quyền lợi </w:t>
      </w:r>
      <w:r>
        <w:rPr>
          <w:rFonts w:ascii="Arial" w:hAnsi="Arial" w:cs="Arial"/>
          <w:sz w:val="20"/>
          <w:szCs w:val="20"/>
        </w:rPr>
        <w:t xml:space="preserve">của bạn </w:t>
      </w:r>
      <w:r w:rsidRPr="00D024EE">
        <w:rPr>
          <w:rFonts w:ascii="Arial" w:hAnsi="Arial" w:cs="Arial"/>
          <w:sz w:val="20"/>
          <w:szCs w:val="20"/>
        </w:rPr>
        <w:t>một cách hiệu quả nhất.</w:t>
      </w:r>
      <w:bookmarkEnd w:id="1"/>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4ED0D6DB">
                <wp:simplePos x="0" y="0"/>
                <wp:positionH relativeFrom="column">
                  <wp:posOffset>3810</wp:posOffset>
                </wp:positionH>
                <wp:positionV relativeFrom="paragraph">
                  <wp:posOffset>97155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29" style="position:absolute;left:0;text-align:left;margin-left:.3pt;margin-top:7.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PjSg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9"/>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C78B8" w14:textId="77777777" w:rsidR="00FC22C7" w:rsidRDefault="00FC22C7">
      <w:pPr>
        <w:spacing w:after="0" w:line="240" w:lineRule="auto"/>
      </w:pPr>
      <w:r>
        <w:separator/>
      </w:r>
    </w:p>
  </w:endnote>
  <w:endnote w:type="continuationSeparator" w:id="0">
    <w:p w14:paraId="0D6BA7C9" w14:textId="77777777" w:rsidR="00FC22C7" w:rsidRDefault="00FC2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3E73D63A" w:rsidR="00C62253" w:rsidRPr="00FF7ED4" w:rsidRDefault="00FC22C7">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AC2606">
              <w:rPr>
                <w:rFonts w:ascii="Arial" w:hAnsi="Arial" w:cs="Arial"/>
                <w:b/>
                <w:sz w:val="18"/>
                <w:szCs w:val="18"/>
              </w:rPr>
              <w:t xml:space="preserve">Trang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FC2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480A7" w14:textId="77777777" w:rsidR="00FC22C7" w:rsidRDefault="00FC22C7">
      <w:pPr>
        <w:spacing w:after="0" w:line="240" w:lineRule="auto"/>
      </w:pPr>
      <w:r>
        <w:separator/>
      </w:r>
    </w:p>
  </w:footnote>
  <w:footnote w:type="continuationSeparator" w:id="0">
    <w:p w14:paraId="2AF6D1BE" w14:textId="77777777" w:rsidR="00FC22C7" w:rsidRDefault="00FC2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B25ADE"/>
    <w:multiLevelType w:val="hybridMultilevel"/>
    <w:tmpl w:val="881E72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53975"/>
    <w:multiLevelType w:val="hybridMultilevel"/>
    <w:tmpl w:val="EECC97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7F771C"/>
    <w:multiLevelType w:val="hybridMultilevel"/>
    <w:tmpl w:val="9B7458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D63E1C"/>
    <w:multiLevelType w:val="hybridMultilevel"/>
    <w:tmpl w:val="F5B0FC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CD136B"/>
    <w:multiLevelType w:val="hybridMultilevel"/>
    <w:tmpl w:val="2716EA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611A24"/>
    <w:multiLevelType w:val="hybridMultilevel"/>
    <w:tmpl w:val="1DBACA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3"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14"/>
  </w:num>
  <w:num w:numId="4">
    <w:abstractNumId w:val="19"/>
  </w:num>
  <w:num w:numId="5">
    <w:abstractNumId w:val="16"/>
  </w:num>
  <w:num w:numId="6">
    <w:abstractNumId w:val="0"/>
  </w:num>
  <w:num w:numId="7">
    <w:abstractNumId w:val="6"/>
  </w:num>
  <w:num w:numId="8">
    <w:abstractNumId w:val="20"/>
  </w:num>
  <w:num w:numId="9">
    <w:abstractNumId w:val="8"/>
  </w:num>
  <w:num w:numId="10">
    <w:abstractNumId w:val="3"/>
  </w:num>
  <w:num w:numId="11">
    <w:abstractNumId w:val="18"/>
  </w:num>
  <w:num w:numId="12">
    <w:abstractNumId w:val="1"/>
  </w:num>
  <w:num w:numId="13">
    <w:abstractNumId w:val="15"/>
  </w:num>
  <w:num w:numId="14">
    <w:abstractNumId w:val="17"/>
  </w:num>
  <w:num w:numId="15">
    <w:abstractNumId w:val="9"/>
  </w:num>
  <w:num w:numId="16">
    <w:abstractNumId w:val="22"/>
  </w:num>
  <w:num w:numId="17">
    <w:abstractNumId w:val="2"/>
  </w:num>
  <w:num w:numId="18">
    <w:abstractNumId w:val="11"/>
  </w:num>
  <w:num w:numId="19">
    <w:abstractNumId w:val="10"/>
  </w:num>
  <w:num w:numId="20">
    <w:abstractNumId w:val="5"/>
  </w:num>
  <w:num w:numId="21">
    <w:abstractNumId w:val="4"/>
  </w:num>
  <w:num w:numId="22">
    <w:abstractNumId w:val="13"/>
  </w:num>
  <w:num w:numId="23">
    <w:abstractNumId w:val="2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32315D"/>
    <w:rsid w:val="0033574A"/>
    <w:rsid w:val="003756D4"/>
    <w:rsid w:val="003D7C8C"/>
    <w:rsid w:val="003E03BE"/>
    <w:rsid w:val="004A1761"/>
    <w:rsid w:val="004D64BC"/>
    <w:rsid w:val="00531173"/>
    <w:rsid w:val="00576438"/>
    <w:rsid w:val="005D32F9"/>
    <w:rsid w:val="00631122"/>
    <w:rsid w:val="00675D62"/>
    <w:rsid w:val="006C0389"/>
    <w:rsid w:val="006F1BC0"/>
    <w:rsid w:val="007375E8"/>
    <w:rsid w:val="00745E08"/>
    <w:rsid w:val="007730A1"/>
    <w:rsid w:val="007C392A"/>
    <w:rsid w:val="00813493"/>
    <w:rsid w:val="00820E66"/>
    <w:rsid w:val="008366D4"/>
    <w:rsid w:val="008416E5"/>
    <w:rsid w:val="00933532"/>
    <w:rsid w:val="00A4177F"/>
    <w:rsid w:val="00A623C4"/>
    <w:rsid w:val="00AC2606"/>
    <w:rsid w:val="00AC74F1"/>
    <w:rsid w:val="00AF0703"/>
    <w:rsid w:val="00C13ACF"/>
    <w:rsid w:val="00CA3F97"/>
    <w:rsid w:val="00CE035D"/>
    <w:rsid w:val="00D02775"/>
    <w:rsid w:val="00D03044"/>
    <w:rsid w:val="00D04B4E"/>
    <w:rsid w:val="00D417C1"/>
    <w:rsid w:val="00D645F2"/>
    <w:rsid w:val="00D75958"/>
    <w:rsid w:val="00D9190F"/>
    <w:rsid w:val="00E02884"/>
    <w:rsid w:val="00EC12BB"/>
    <w:rsid w:val="00EC5B6B"/>
    <w:rsid w:val="00F7004B"/>
    <w:rsid w:val="00FA2CEE"/>
    <w:rsid w:val="00FC2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nhan-hieu-va-ten-thuong-mai-bai-hoc-nao-tu-vu-kien-nhan-hieu-duoc-pham-gan-day-tai-viet-nam" TargetMode="External"/><Relationship Id="rId3" Type="http://schemas.openxmlformats.org/officeDocument/2006/relationships/settings" Target="settings.xml"/><Relationship Id="rId7" Type="http://schemas.openxmlformats.org/officeDocument/2006/relationships/hyperlink" Target="https://kenfoxlaw.com/vi/giam-dinh-so-huu-tri-tue-va-giai-quyet-tranh-chap-tai-viet-nam-vai-tro-va-so-lieu-thong-ke-cua-vien-khoa-hoc-so-huu-tri-t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2024-05-06T06:51:00Z</dcterms:modified>
</cp:coreProperties>
</file>