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3DDDE" w14:textId="14D97C50" w:rsidR="00AD33B3" w:rsidRPr="005461DF" w:rsidRDefault="009F6790" w:rsidP="00585744">
      <w:pPr>
        <w:jc w:val="center"/>
        <w:rPr>
          <w:rFonts w:ascii="Arial" w:hAnsi="Arial" w:cs="Arial"/>
          <w:b/>
          <w:bCs/>
          <w:color w:val="C00000"/>
          <w:sz w:val="24"/>
          <w:szCs w:val="24"/>
        </w:rPr>
      </w:pPr>
      <w:r>
        <w:rPr>
          <w:rFonts w:ascii="Arial" w:hAnsi="Arial" w:cs="Arial"/>
          <w:b/>
          <w:bCs/>
          <w:color w:val="C00000"/>
          <w:sz w:val="24"/>
          <w:szCs w:val="24"/>
        </w:rPr>
        <w:t>Đ</w:t>
      </w:r>
      <w:r w:rsidR="00585744" w:rsidRPr="005461DF">
        <w:rPr>
          <w:rFonts w:ascii="Arial" w:hAnsi="Arial" w:cs="Arial"/>
          <w:b/>
          <w:bCs/>
          <w:color w:val="C00000"/>
          <w:sz w:val="24"/>
          <w:szCs w:val="24"/>
        </w:rPr>
        <w:t xml:space="preserve">ăng </w:t>
      </w:r>
      <w:r w:rsidR="00D57012" w:rsidRPr="005461DF">
        <w:rPr>
          <w:rFonts w:ascii="Arial" w:hAnsi="Arial" w:cs="Arial"/>
          <w:b/>
          <w:bCs/>
          <w:color w:val="C00000"/>
          <w:sz w:val="24"/>
          <w:szCs w:val="24"/>
        </w:rPr>
        <w:t>Ký Nhãn Hiệu Với Dụng Ý Xấu</w:t>
      </w:r>
      <w:r w:rsidR="00D57012">
        <w:rPr>
          <w:rFonts w:ascii="Arial" w:hAnsi="Arial" w:cs="Arial"/>
          <w:b/>
          <w:bCs/>
          <w:color w:val="C00000"/>
          <w:sz w:val="24"/>
          <w:szCs w:val="24"/>
        </w:rPr>
        <w:t xml:space="preserve">: </w:t>
      </w:r>
      <w:r w:rsidR="009D7C73">
        <w:rPr>
          <w:rFonts w:ascii="Arial" w:hAnsi="Arial" w:cs="Arial"/>
          <w:b/>
          <w:bCs/>
          <w:color w:val="C00000"/>
          <w:sz w:val="24"/>
          <w:szCs w:val="24"/>
        </w:rPr>
        <w:t xml:space="preserve">Làm </w:t>
      </w:r>
      <w:r w:rsidR="00D57012">
        <w:rPr>
          <w:rFonts w:ascii="Arial" w:hAnsi="Arial" w:cs="Arial"/>
          <w:b/>
          <w:bCs/>
          <w:color w:val="C00000"/>
          <w:sz w:val="24"/>
          <w:szCs w:val="24"/>
        </w:rPr>
        <w:t>Sao Chứng Minh Ý</w:t>
      </w:r>
      <w:r w:rsidR="00D57012" w:rsidRPr="005461DF">
        <w:rPr>
          <w:rFonts w:ascii="Arial" w:hAnsi="Arial" w:cs="Arial"/>
          <w:b/>
          <w:bCs/>
          <w:color w:val="C00000"/>
          <w:sz w:val="24"/>
          <w:szCs w:val="24"/>
        </w:rPr>
        <w:t xml:space="preserve"> Định, Động Cơ</w:t>
      </w:r>
      <w:r w:rsidR="00D57012">
        <w:rPr>
          <w:rFonts w:ascii="Arial" w:hAnsi="Arial" w:cs="Arial"/>
          <w:b/>
          <w:bCs/>
          <w:color w:val="C00000"/>
          <w:sz w:val="24"/>
          <w:szCs w:val="24"/>
        </w:rPr>
        <w:t xml:space="preserve"> Của Người Nộp Đơn?</w:t>
      </w:r>
    </w:p>
    <w:p w14:paraId="164F1363" w14:textId="176C0D56" w:rsidR="00FB2AF6" w:rsidRPr="00D57012" w:rsidRDefault="00FB2AF6" w:rsidP="00A71735">
      <w:pPr>
        <w:jc w:val="both"/>
        <w:rPr>
          <w:rFonts w:ascii="Arial" w:hAnsi="Arial" w:cs="Arial"/>
          <w:i/>
          <w:iCs/>
          <w:sz w:val="20"/>
          <w:szCs w:val="20"/>
        </w:rPr>
      </w:pPr>
      <w:r w:rsidRPr="00D57012">
        <w:rPr>
          <w:rFonts w:ascii="Arial" w:hAnsi="Arial" w:cs="Arial"/>
          <w:i/>
          <w:iCs/>
          <w:sz w:val="20"/>
          <w:szCs w:val="20"/>
        </w:rPr>
        <w:t>Để chứng minh đơn đăng ký nhãn hiệu đã được nộp với “</w:t>
      </w:r>
      <w:hyperlink r:id="rId5" w:history="1">
        <w:r w:rsidRPr="002E2FC0">
          <w:rPr>
            <w:rStyle w:val="Hyperlink"/>
            <w:rFonts w:ascii="Arial" w:hAnsi="Arial" w:cs="Arial"/>
            <w:i/>
            <w:iCs/>
            <w:sz w:val="20"/>
            <w:szCs w:val="20"/>
          </w:rPr>
          <w:t>dụng ý xấu</w:t>
        </w:r>
      </w:hyperlink>
      <w:r w:rsidRPr="00D57012">
        <w:rPr>
          <w:rFonts w:ascii="Arial" w:hAnsi="Arial" w:cs="Arial"/>
          <w:i/>
          <w:iCs/>
          <w:sz w:val="20"/>
          <w:szCs w:val="20"/>
        </w:rPr>
        <w:t xml:space="preserve">”, bên cạnh điều kiện về việc chủ đơn </w:t>
      </w:r>
      <w:hyperlink r:id="rId6" w:history="1">
        <w:r w:rsidRPr="002E2FC0">
          <w:rPr>
            <w:rStyle w:val="Hyperlink"/>
            <w:rFonts w:ascii="Arial" w:hAnsi="Arial" w:cs="Arial"/>
            <w:i/>
            <w:iCs/>
            <w:sz w:val="20"/>
            <w:szCs w:val="20"/>
          </w:rPr>
          <w:t>“</w:t>
        </w:r>
        <w:r w:rsidRPr="002E2FC0">
          <w:rPr>
            <w:rStyle w:val="Hyperlink"/>
            <w:rFonts w:ascii="Arial" w:hAnsi="Arial" w:cs="Arial"/>
            <w:b/>
            <w:bCs/>
            <w:i/>
            <w:iCs/>
            <w:sz w:val="20"/>
            <w:szCs w:val="20"/>
          </w:rPr>
          <w:t>biết</w:t>
        </w:r>
        <w:r w:rsidRPr="002E2FC0">
          <w:rPr>
            <w:rStyle w:val="Hyperlink"/>
            <w:rFonts w:ascii="Arial" w:hAnsi="Arial" w:cs="Arial"/>
            <w:i/>
            <w:iCs/>
            <w:sz w:val="20"/>
            <w:szCs w:val="20"/>
          </w:rPr>
          <w:t>” hoặc “</w:t>
        </w:r>
        <w:r w:rsidRPr="002E2FC0">
          <w:rPr>
            <w:rStyle w:val="Hyperlink"/>
            <w:rFonts w:ascii="Arial" w:hAnsi="Arial" w:cs="Arial"/>
            <w:b/>
            <w:bCs/>
            <w:i/>
            <w:iCs/>
            <w:sz w:val="20"/>
            <w:szCs w:val="20"/>
          </w:rPr>
          <w:t>có cơ sở để biết</w:t>
        </w:r>
        <w:r w:rsidRPr="002E2FC0">
          <w:rPr>
            <w:rStyle w:val="Hyperlink"/>
            <w:rFonts w:ascii="Arial" w:hAnsi="Arial" w:cs="Arial"/>
            <w:i/>
            <w:iCs/>
            <w:sz w:val="20"/>
            <w:szCs w:val="20"/>
          </w:rPr>
          <w:t>”</w:t>
        </w:r>
      </w:hyperlink>
      <w:r w:rsidRPr="00D57012">
        <w:rPr>
          <w:rFonts w:ascii="Arial" w:hAnsi="Arial" w:cs="Arial"/>
          <w:i/>
          <w:iCs/>
          <w:sz w:val="20"/>
          <w:szCs w:val="20"/>
        </w:rPr>
        <w:t xml:space="preserve"> đến nhãn hiệu của chủ sở hữu nhãn hiệu đích thực, </w:t>
      </w:r>
      <w:r w:rsidRPr="00D57012">
        <w:rPr>
          <w:rFonts w:ascii="Arial" w:hAnsi="Arial" w:cs="Arial"/>
          <w:i/>
          <w:iCs/>
          <w:sz w:val="20"/>
          <w:szCs w:val="20"/>
          <w:u w:val="single"/>
        </w:rPr>
        <w:t>điều kiện thứ hai</w:t>
      </w:r>
      <w:r w:rsidRPr="00D57012">
        <w:rPr>
          <w:rFonts w:ascii="Arial" w:hAnsi="Arial" w:cs="Arial"/>
          <w:i/>
          <w:iCs/>
          <w:sz w:val="20"/>
          <w:szCs w:val="20"/>
        </w:rPr>
        <w:t xml:space="preserve"> phải thỏa mãn để chứng minh “dụng ý xấu” của người nộp đơn là </w:t>
      </w:r>
      <w:r w:rsidRPr="00D57012">
        <w:rPr>
          <w:rFonts w:ascii="Arial" w:hAnsi="Arial" w:cs="Arial"/>
          <w:b/>
          <w:bCs/>
          <w:i/>
          <w:iCs/>
          <w:sz w:val="20"/>
          <w:szCs w:val="20"/>
          <w:u w:val="single"/>
        </w:rPr>
        <w:t>ý định</w:t>
      </w:r>
      <w:r w:rsidRPr="00D57012">
        <w:rPr>
          <w:rFonts w:ascii="Arial" w:hAnsi="Arial" w:cs="Arial"/>
          <w:i/>
          <w:iCs/>
          <w:sz w:val="20"/>
          <w:szCs w:val="20"/>
        </w:rPr>
        <w:t xml:space="preserve"> hay </w:t>
      </w:r>
      <w:r w:rsidRPr="00D57012">
        <w:rPr>
          <w:rFonts w:ascii="Arial" w:hAnsi="Arial" w:cs="Arial"/>
          <w:b/>
          <w:bCs/>
          <w:i/>
          <w:iCs/>
          <w:sz w:val="20"/>
          <w:szCs w:val="20"/>
          <w:u w:val="single"/>
        </w:rPr>
        <w:t>động cơ phía sau việc đăng ký nhãn hiệu</w:t>
      </w:r>
      <w:r w:rsidRPr="00D57012">
        <w:rPr>
          <w:rFonts w:ascii="Arial" w:hAnsi="Arial" w:cs="Arial"/>
          <w:i/>
          <w:iCs/>
          <w:sz w:val="20"/>
          <w:szCs w:val="20"/>
        </w:rPr>
        <w:t xml:space="preserve"> theo Điều 34.2(b) Thông tư 23/2023/TT-BKHCN. Vậy ý định, động cơ phía sau việc đăng ký với dụng ý xấu bao gồm những hành động nào?</w:t>
      </w:r>
      <w:r w:rsidR="001B7810" w:rsidRPr="00D57012">
        <w:rPr>
          <w:rFonts w:ascii="Arial" w:hAnsi="Arial" w:cs="Arial"/>
          <w:i/>
          <w:iCs/>
          <w:sz w:val="20"/>
          <w:szCs w:val="20"/>
        </w:rPr>
        <w:t xml:space="preserve"> Có dễ chứng minh hay không?</w:t>
      </w:r>
    </w:p>
    <w:p w14:paraId="42EFB1D3" w14:textId="2087E55A" w:rsidR="00A71735" w:rsidRPr="00D57012" w:rsidRDefault="008A0B1A" w:rsidP="00A71735">
      <w:pPr>
        <w:jc w:val="both"/>
        <w:rPr>
          <w:rFonts w:ascii="Arial" w:hAnsi="Arial" w:cs="Arial"/>
          <w:sz w:val="20"/>
          <w:szCs w:val="20"/>
        </w:rPr>
      </w:pPr>
      <w:r w:rsidRPr="00D57012">
        <w:rPr>
          <w:rFonts w:ascii="Arial" w:hAnsi="Arial" w:cs="Arial"/>
          <w:sz w:val="20"/>
          <w:szCs w:val="20"/>
        </w:rPr>
        <w:t>KENFOX IP &amp; Law Office cung cấp các phân tích</w:t>
      </w:r>
      <w:r w:rsidR="00A71735" w:rsidRPr="00D57012">
        <w:rPr>
          <w:rFonts w:ascii="Arial" w:hAnsi="Arial" w:cs="Arial"/>
          <w:sz w:val="20"/>
          <w:szCs w:val="20"/>
        </w:rPr>
        <w:t>, luận giải</w:t>
      </w:r>
      <w:r w:rsidRPr="00D57012">
        <w:rPr>
          <w:rFonts w:ascii="Arial" w:hAnsi="Arial" w:cs="Arial"/>
          <w:sz w:val="20"/>
          <w:szCs w:val="20"/>
        </w:rPr>
        <w:t xml:space="preserve"> dưới đây nhằm giúp chủ thể quyền </w:t>
      </w:r>
      <w:r w:rsidR="00D57012">
        <w:rPr>
          <w:rFonts w:ascii="Arial" w:hAnsi="Arial" w:cs="Arial"/>
          <w:sz w:val="20"/>
          <w:szCs w:val="20"/>
        </w:rPr>
        <w:t>SHTT</w:t>
      </w:r>
      <w:r w:rsidRPr="00D57012">
        <w:rPr>
          <w:rFonts w:ascii="Arial" w:hAnsi="Arial" w:cs="Arial"/>
          <w:sz w:val="20"/>
          <w:szCs w:val="20"/>
        </w:rPr>
        <w:t xml:space="preserve"> đích thực </w:t>
      </w:r>
      <w:r w:rsidR="00A71735" w:rsidRPr="00D57012">
        <w:rPr>
          <w:rFonts w:ascii="Arial" w:hAnsi="Arial" w:cs="Arial"/>
          <w:sz w:val="20"/>
          <w:szCs w:val="20"/>
        </w:rPr>
        <w:t xml:space="preserve">nhận diện một cách tổng quan về các quy định liên quan, trên cơ sở đó, xác định một cách </w:t>
      </w:r>
      <w:r w:rsidR="00D57012">
        <w:rPr>
          <w:rFonts w:ascii="Arial" w:hAnsi="Arial" w:cs="Arial"/>
          <w:sz w:val="20"/>
          <w:szCs w:val="20"/>
        </w:rPr>
        <w:t>chính xác</w:t>
      </w:r>
      <w:r w:rsidR="00A71735" w:rsidRPr="00D57012">
        <w:rPr>
          <w:rFonts w:ascii="Arial" w:hAnsi="Arial" w:cs="Arial"/>
          <w:sz w:val="20"/>
          <w:szCs w:val="20"/>
        </w:rPr>
        <w:t xml:space="preserve"> về các tài liệu, bằng chứng </w:t>
      </w:r>
      <w:r w:rsidR="00D57012">
        <w:rPr>
          <w:rFonts w:ascii="Arial" w:hAnsi="Arial" w:cs="Arial"/>
          <w:sz w:val="20"/>
          <w:szCs w:val="20"/>
        </w:rPr>
        <w:t xml:space="preserve">cần thu thập </w:t>
      </w:r>
      <w:r w:rsidR="00A71735" w:rsidRPr="00D57012">
        <w:rPr>
          <w:rFonts w:ascii="Arial" w:hAnsi="Arial" w:cs="Arial"/>
          <w:sz w:val="20"/>
          <w:szCs w:val="20"/>
        </w:rPr>
        <w:t>cho mục đích chứng minh.</w:t>
      </w:r>
    </w:p>
    <w:p w14:paraId="6FA18A75" w14:textId="6ADBC800" w:rsidR="00F16A10" w:rsidRPr="00373711" w:rsidRDefault="00F16A10" w:rsidP="00A71735">
      <w:pPr>
        <w:jc w:val="both"/>
        <w:rPr>
          <w:rFonts w:ascii="Arial" w:hAnsi="Arial" w:cs="Arial"/>
          <w:b/>
          <w:bCs/>
          <w:color w:val="2F5496" w:themeColor="accent1" w:themeShade="BF"/>
        </w:rPr>
      </w:pPr>
      <w:r w:rsidRPr="00373711">
        <w:rPr>
          <w:rFonts w:ascii="Arial" w:hAnsi="Arial" w:cs="Arial"/>
          <w:b/>
          <w:bCs/>
          <w:color w:val="2F5496" w:themeColor="accent1" w:themeShade="BF"/>
        </w:rPr>
        <w:t>Ý định, động cơ không trung thực: Các hành động nào?</w:t>
      </w:r>
    </w:p>
    <w:p w14:paraId="497C5C5A" w14:textId="6AE85892" w:rsidR="00A71735" w:rsidRDefault="00F16A10" w:rsidP="005461DF">
      <w:pPr>
        <w:jc w:val="both"/>
        <w:rPr>
          <w:rFonts w:ascii="Arial" w:hAnsi="Arial" w:cs="Arial"/>
          <w:sz w:val="20"/>
          <w:szCs w:val="20"/>
        </w:rPr>
      </w:pPr>
      <w:r>
        <w:rPr>
          <w:rFonts w:ascii="Arial" w:hAnsi="Arial" w:cs="Arial"/>
          <w:sz w:val="20"/>
          <w:szCs w:val="20"/>
        </w:rPr>
        <w:t xml:space="preserve">Các hành động phản ảnh ý định, động cơ không trung thực (dụng ý xấu) được quy định tại </w:t>
      </w:r>
      <w:r w:rsidRPr="0031525E">
        <w:rPr>
          <w:rFonts w:ascii="Arial" w:hAnsi="Arial" w:cs="Arial"/>
          <w:b/>
          <w:bCs/>
          <w:color w:val="C00000"/>
          <w:sz w:val="20"/>
          <w:szCs w:val="20"/>
        </w:rPr>
        <w:t>Điều 34.2(b)</w:t>
      </w:r>
      <w:r>
        <w:rPr>
          <w:rFonts w:ascii="Arial" w:hAnsi="Arial" w:cs="Arial"/>
          <w:sz w:val="20"/>
          <w:szCs w:val="20"/>
        </w:rPr>
        <w:t xml:space="preserve"> như sau:</w:t>
      </w:r>
    </w:p>
    <w:p w14:paraId="0D102A25" w14:textId="75A0BD68" w:rsidR="0024318E" w:rsidRDefault="0024318E" w:rsidP="0024318E">
      <w:pPr>
        <w:jc w:val="both"/>
        <w:rPr>
          <w:rFonts w:ascii="Arial" w:hAnsi="Arial" w:cs="Arial"/>
          <w:sz w:val="20"/>
          <w:szCs w:val="20"/>
        </w:rPr>
      </w:pPr>
      <w:r w:rsidRPr="0024318E">
        <w:rPr>
          <w:rFonts w:ascii="Arial" w:hAnsi="Arial" w:cs="Arial"/>
          <w:sz w:val="20"/>
          <w:szCs w:val="20"/>
        </w:rPr>
        <w:t>[i]</w:t>
      </w:r>
      <w:r>
        <w:rPr>
          <w:rFonts w:ascii="Arial" w:hAnsi="Arial" w:cs="Arial"/>
          <w:b/>
          <w:bCs/>
          <w:i/>
          <w:iCs/>
          <w:sz w:val="20"/>
          <w:szCs w:val="20"/>
        </w:rPr>
        <w:t xml:space="preserve"> </w:t>
      </w:r>
      <w:r w:rsidR="00F16A10" w:rsidRPr="0031525E">
        <w:rPr>
          <w:rFonts w:ascii="Arial" w:hAnsi="Arial" w:cs="Arial"/>
          <w:b/>
          <w:bCs/>
          <w:i/>
          <w:iCs/>
        </w:rPr>
        <w:t>Lợi dụng danh tiếng, uy tín của nhãn hiệu để thu lợi</w:t>
      </w:r>
      <w:r w:rsidR="00F16A10" w:rsidRPr="0024318E">
        <w:rPr>
          <w:rFonts w:ascii="Arial" w:hAnsi="Arial" w:cs="Arial"/>
          <w:sz w:val="20"/>
          <w:szCs w:val="20"/>
        </w:rPr>
        <w:t xml:space="preserve">: </w:t>
      </w:r>
      <w:r w:rsidR="00C46D8B" w:rsidRPr="0024318E">
        <w:rPr>
          <w:rFonts w:ascii="Arial" w:hAnsi="Arial" w:cs="Arial"/>
          <w:sz w:val="20"/>
          <w:szCs w:val="20"/>
        </w:rPr>
        <w:t>V</w:t>
      </w:r>
      <w:r w:rsidR="00F16A10" w:rsidRPr="0024318E">
        <w:rPr>
          <w:rFonts w:ascii="Arial" w:hAnsi="Arial" w:cs="Arial"/>
          <w:sz w:val="20"/>
          <w:szCs w:val="20"/>
        </w:rPr>
        <w:t xml:space="preserve">ệc đăng ký nhãn hiệu với mục đích </w:t>
      </w:r>
      <w:hyperlink r:id="rId7" w:history="1">
        <w:r w:rsidR="00F16A10" w:rsidRPr="002E2FC0">
          <w:rPr>
            <w:rStyle w:val="Hyperlink"/>
            <w:rFonts w:ascii="Arial" w:hAnsi="Arial" w:cs="Arial"/>
            <w:sz w:val="20"/>
            <w:szCs w:val="20"/>
          </w:rPr>
          <w:t>lợi dụng danh tiếng</w:t>
        </w:r>
        <w:r w:rsidR="00C46D8B" w:rsidRPr="002E2FC0">
          <w:rPr>
            <w:rStyle w:val="Hyperlink"/>
            <w:rFonts w:ascii="Arial" w:hAnsi="Arial" w:cs="Arial"/>
            <w:sz w:val="20"/>
            <w:szCs w:val="20"/>
          </w:rPr>
          <w:t>, uy tín</w:t>
        </w:r>
      </w:hyperlink>
      <w:r w:rsidR="00C46D8B" w:rsidRPr="0024318E">
        <w:rPr>
          <w:rFonts w:ascii="Arial" w:hAnsi="Arial" w:cs="Arial"/>
          <w:sz w:val="20"/>
          <w:szCs w:val="20"/>
        </w:rPr>
        <w:t xml:space="preserve"> </w:t>
      </w:r>
      <w:r w:rsidR="00F16A10" w:rsidRPr="0024318E">
        <w:rPr>
          <w:rFonts w:ascii="Arial" w:hAnsi="Arial" w:cs="Arial"/>
          <w:sz w:val="20"/>
          <w:szCs w:val="20"/>
        </w:rPr>
        <w:t xml:space="preserve">của nhãn hiệu của người khác bị coi là có dụng ý xấu. </w:t>
      </w:r>
      <w:r w:rsidR="00C46D8B" w:rsidRPr="0024318E">
        <w:rPr>
          <w:rFonts w:ascii="Arial" w:hAnsi="Arial" w:cs="Arial"/>
          <w:sz w:val="20"/>
          <w:szCs w:val="20"/>
        </w:rPr>
        <w:t>Chủ nhãn hiệu đích thực cần chứng minh được động cơ nộp đơn đăng ký nhãn hiệu của người nộp đơn là thu lợi về mặt tài chính từ thương hiệu đã hiện diện lâu dài trên thị trường, được người tiêu dùng đã tin tưởng và thừa nhận rộng rãi.</w:t>
      </w:r>
    </w:p>
    <w:p w14:paraId="64010670" w14:textId="689FA775" w:rsidR="00C46D8B" w:rsidRPr="0024318E" w:rsidRDefault="0024318E" w:rsidP="0024318E">
      <w:pPr>
        <w:jc w:val="both"/>
        <w:rPr>
          <w:rFonts w:ascii="Arial" w:hAnsi="Arial" w:cs="Arial"/>
          <w:sz w:val="20"/>
          <w:szCs w:val="20"/>
        </w:rPr>
      </w:pPr>
      <w:r>
        <w:rPr>
          <w:rFonts w:ascii="Arial" w:hAnsi="Arial" w:cs="Arial"/>
          <w:sz w:val="20"/>
          <w:szCs w:val="20"/>
        </w:rPr>
        <w:t xml:space="preserve">[ii] </w:t>
      </w:r>
      <w:r w:rsidR="00C46D8B" w:rsidRPr="0031525E">
        <w:rPr>
          <w:rFonts w:ascii="Arial" w:hAnsi="Arial" w:cs="Arial"/>
          <w:b/>
          <w:bCs/>
          <w:i/>
          <w:iCs/>
        </w:rPr>
        <w:t>Bán lại, cấp phép hoặc chuyển nhượng quyền đăng ký</w:t>
      </w:r>
      <w:r w:rsidR="00C46D8B" w:rsidRPr="0024318E">
        <w:rPr>
          <w:rFonts w:ascii="Arial" w:hAnsi="Arial" w:cs="Arial"/>
          <w:sz w:val="20"/>
          <w:szCs w:val="20"/>
        </w:rPr>
        <w:t xml:space="preserve">: Việc đăng ký nhãn hiệu mà không nhằm mục đích sử dụng trong thương mại, thay vào đó, nhằm kiếm lợi bằng cách </w:t>
      </w:r>
      <w:r w:rsidR="00650FC5" w:rsidRPr="0024318E">
        <w:rPr>
          <w:rFonts w:ascii="Arial" w:hAnsi="Arial" w:cs="Arial"/>
          <w:sz w:val="20"/>
          <w:szCs w:val="20"/>
        </w:rPr>
        <w:t xml:space="preserve">giữ nhãn hiệu đó đợi chủ nhãn hiệu mua lại, hoặc </w:t>
      </w:r>
      <w:r w:rsidR="00C46D8B" w:rsidRPr="0024318E">
        <w:rPr>
          <w:rFonts w:ascii="Arial" w:hAnsi="Arial" w:cs="Arial"/>
          <w:sz w:val="20"/>
          <w:szCs w:val="20"/>
        </w:rPr>
        <w:t>bán</w:t>
      </w:r>
      <w:r w:rsidR="00650FC5" w:rsidRPr="0024318E">
        <w:rPr>
          <w:rFonts w:ascii="Arial" w:hAnsi="Arial" w:cs="Arial"/>
          <w:sz w:val="20"/>
          <w:szCs w:val="20"/>
        </w:rPr>
        <w:t xml:space="preserve"> lại cho chủ sở hữu hợp pháp</w:t>
      </w:r>
      <w:r w:rsidR="00C46D8B" w:rsidRPr="0024318E">
        <w:rPr>
          <w:rFonts w:ascii="Arial" w:hAnsi="Arial" w:cs="Arial"/>
          <w:sz w:val="20"/>
          <w:szCs w:val="20"/>
        </w:rPr>
        <w:t xml:space="preserve"> hoặc </w:t>
      </w:r>
      <w:r w:rsidR="00650FC5" w:rsidRPr="0024318E">
        <w:rPr>
          <w:rFonts w:ascii="Arial" w:hAnsi="Arial" w:cs="Arial"/>
          <w:sz w:val="20"/>
          <w:szCs w:val="20"/>
        </w:rPr>
        <w:t xml:space="preserve">cấp phép sử dụng nhãn hiệu đó cho người khác để thu lợi nhuận bị coi là có dụng ý xấu. </w:t>
      </w:r>
    </w:p>
    <w:p w14:paraId="57AAEC4A" w14:textId="36633567" w:rsidR="008A0B1A" w:rsidRPr="0024318E" w:rsidRDefault="0024318E" w:rsidP="0024318E">
      <w:pPr>
        <w:jc w:val="both"/>
        <w:rPr>
          <w:rFonts w:ascii="Arial" w:hAnsi="Arial" w:cs="Arial"/>
          <w:sz w:val="20"/>
          <w:szCs w:val="20"/>
        </w:rPr>
      </w:pPr>
      <w:r w:rsidRPr="0024318E">
        <w:rPr>
          <w:rFonts w:ascii="Arial" w:hAnsi="Arial" w:cs="Arial"/>
          <w:b/>
          <w:bCs/>
          <w:sz w:val="20"/>
          <w:szCs w:val="20"/>
        </w:rPr>
        <w:t>[iii]</w:t>
      </w:r>
      <w:r>
        <w:rPr>
          <w:rFonts w:ascii="Arial" w:hAnsi="Arial" w:cs="Arial"/>
          <w:b/>
          <w:bCs/>
          <w:i/>
          <w:iCs/>
          <w:sz w:val="20"/>
          <w:szCs w:val="20"/>
        </w:rPr>
        <w:t xml:space="preserve"> </w:t>
      </w:r>
      <w:r w:rsidR="00650FC5" w:rsidRPr="0031525E">
        <w:rPr>
          <w:rFonts w:ascii="Arial" w:hAnsi="Arial" w:cs="Arial"/>
          <w:b/>
          <w:bCs/>
          <w:i/>
          <w:iCs/>
        </w:rPr>
        <w:t>Ngăn chặn gia nhập thị trường</w:t>
      </w:r>
      <w:r w:rsidR="00650FC5" w:rsidRPr="0024318E">
        <w:rPr>
          <w:rFonts w:ascii="Arial" w:hAnsi="Arial" w:cs="Arial"/>
          <w:sz w:val="20"/>
          <w:szCs w:val="20"/>
        </w:rPr>
        <w:t xml:space="preserve">: Việc đăng ký nhãn hiệu với mục đích ngăn cản một bên khác tham gia hoặc cạnh tranh trên thị trường là hành vi lạm dụng nhãn hiệu để tạo ra rào cản cạnh tranh. Việc đăng ký nhãn hiệu được sử dụng như một rào cản gia nhập thị trường, trong đó người nộp đơn đăng ký một nhãn hiệu tương tự với một nhãn hiệu nổi tiếng hoặc sắp ra mắt nhằm mục đích ngăn chặn thương hiệu đó gia nhập hoặc mở rộng thị trường. </w:t>
      </w:r>
      <w:r w:rsidR="003F4759" w:rsidRPr="0024318E">
        <w:rPr>
          <w:rFonts w:ascii="Arial" w:hAnsi="Arial" w:cs="Arial"/>
          <w:sz w:val="20"/>
          <w:szCs w:val="20"/>
        </w:rPr>
        <w:t>Hành vi</w:t>
      </w:r>
      <w:r w:rsidR="00650FC5" w:rsidRPr="0024318E">
        <w:rPr>
          <w:rFonts w:ascii="Arial" w:hAnsi="Arial" w:cs="Arial"/>
          <w:sz w:val="20"/>
          <w:szCs w:val="20"/>
        </w:rPr>
        <w:t xml:space="preserve"> đăng ký </w:t>
      </w:r>
      <w:r w:rsidR="003F4759" w:rsidRPr="0024318E">
        <w:rPr>
          <w:rFonts w:ascii="Arial" w:hAnsi="Arial" w:cs="Arial"/>
          <w:sz w:val="20"/>
          <w:szCs w:val="20"/>
        </w:rPr>
        <w:t xml:space="preserve">nhãn hiệu </w:t>
      </w:r>
      <w:r w:rsidR="00650FC5" w:rsidRPr="0024318E">
        <w:rPr>
          <w:rFonts w:ascii="Arial" w:hAnsi="Arial" w:cs="Arial"/>
          <w:sz w:val="20"/>
          <w:szCs w:val="20"/>
        </w:rPr>
        <w:t>có dụng ý xấu này có thể cản trở nghiêm trọng sự cạnh tranh và sự phát triển lành mạnh trên thị trường.</w:t>
      </w:r>
    </w:p>
    <w:p w14:paraId="612CE7F4" w14:textId="1ACDC93E" w:rsidR="00650FC5" w:rsidRPr="0024318E" w:rsidRDefault="0024318E" w:rsidP="0024318E">
      <w:pPr>
        <w:jc w:val="both"/>
        <w:rPr>
          <w:rFonts w:ascii="Arial" w:hAnsi="Arial" w:cs="Arial"/>
          <w:sz w:val="20"/>
          <w:szCs w:val="20"/>
        </w:rPr>
      </w:pPr>
      <w:r w:rsidRPr="0024318E">
        <w:rPr>
          <w:rFonts w:ascii="Arial" w:hAnsi="Arial" w:cs="Arial"/>
          <w:b/>
          <w:bCs/>
          <w:sz w:val="20"/>
          <w:szCs w:val="20"/>
        </w:rPr>
        <w:t>[iv]</w:t>
      </w:r>
      <w:r>
        <w:rPr>
          <w:rFonts w:ascii="Arial" w:hAnsi="Arial" w:cs="Arial"/>
          <w:b/>
          <w:bCs/>
          <w:i/>
          <w:iCs/>
          <w:sz w:val="20"/>
          <w:szCs w:val="20"/>
        </w:rPr>
        <w:t xml:space="preserve"> </w:t>
      </w:r>
      <w:r w:rsidR="00650FC5" w:rsidRPr="0031525E">
        <w:rPr>
          <w:rFonts w:ascii="Arial" w:hAnsi="Arial" w:cs="Arial"/>
          <w:b/>
          <w:bCs/>
          <w:i/>
          <w:iCs/>
        </w:rPr>
        <w:t>Hành vi trái ngược với các tập quán thương mại lành mạnh</w:t>
      </w:r>
      <w:r w:rsidR="003F4759" w:rsidRPr="0031525E">
        <w:rPr>
          <w:rFonts w:ascii="Arial" w:hAnsi="Arial" w:cs="Arial"/>
          <w:b/>
          <w:bCs/>
          <w:i/>
          <w:iCs/>
        </w:rPr>
        <w:t xml:space="preserve"> khác</w:t>
      </w:r>
      <w:r w:rsidR="00650FC5" w:rsidRPr="0024318E">
        <w:rPr>
          <w:rFonts w:ascii="Arial" w:hAnsi="Arial" w:cs="Arial"/>
          <w:sz w:val="20"/>
          <w:szCs w:val="20"/>
        </w:rPr>
        <w:t xml:space="preserve">: Điều này bao gồm mọi hành vi khác được coi là không công bằng, lành mạnh hoặc phi đạo đức trong thương mại. Những hành vi này có thể bao gồm các hành vi lừa đảo, tạo ra sự nhầm lẫn trên thị trường hoặc các chiến thuật khác làm suy yếu các nguyên tắc cạnh tranh </w:t>
      </w:r>
      <w:r w:rsidR="00373711" w:rsidRPr="0024318E">
        <w:rPr>
          <w:rFonts w:ascii="Arial" w:hAnsi="Arial" w:cs="Arial"/>
          <w:sz w:val="20"/>
          <w:szCs w:val="20"/>
        </w:rPr>
        <w:t xml:space="preserve">trung thực </w:t>
      </w:r>
      <w:r w:rsidR="00650FC5" w:rsidRPr="0024318E">
        <w:rPr>
          <w:rFonts w:ascii="Arial" w:hAnsi="Arial" w:cs="Arial"/>
          <w:sz w:val="20"/>
          <w:szCs w:val="20"/>
        </w:rPr>
        <w:t xml:space="preserve">và </w:t>
      </w:r>
      <w:r w:rsidR="00373711" w:rsidRPr="0024318E">
        <w:rPr>
          <w:rFonts w:ascii="Arial" w:hAnsi="Arial" w:cs="Arial"/>
          <w:sz w:val="20"/>
          <w:szCs w:val="20"/>
        </w:rPr>
        <w:t xml:space="preserve">công bằng </w:t>
      </w:r>
      <w:r w:rsidR="00650FC5" w:rsidRPr="0024318E">
        <w:rPr>
          <w:rFonts w:ascii="Arial" w:hAnsi="Arial" w:cs="Arial"/>
          <w:sz w:val="20"/>
          <w:szCs w:val="20"/>
        </w:rPr>
        <w:t>trên thị trường.</w:t>
      </w:r>
    </w:p>
    <w:p w14:paraId="1A2F85C9" w14:textId="79665A5C" w:rsidR="001B7810" w:rsidRPr="001B7810" w:rsidRDefault="001B7810" w:rsidP="00650FC5">
      <w:pPr>
        <w:jc w:val="both"/>
        <w:rPr>
          <w:rFonts w:ascii="Arial" w:hAnsi="Arial" w:cs="Arial"/>
          <w:sz w:val="20"/>
          <w:szCs w:val="20"/>
        </w:rPr>
      </w:pPr>
      <w:r w:rsidRPr="001B7810">
        <w:rPr>
          <w:rFonts w:ascii="Arial" w:hAnsi="Arial" w:cs="Arial"/>
          <w:sz w:val="20"/>
          <w:szCs w:val="20"/>
        </w:rPr>
        <w:t xml:space="preserve">Như vậy, nếu rơi vào </w:t>
      </w:r>
      <w:r w:rsidR="0024318E">
        <w:rPr>
          <w:rFonts w:ascii="Arial" w:hAnsi="Arial" w:cs="Arial"/>
          <w:sz w:val="20"/>
          <w:szCs w:val="20"/>
        </w:rPr>
        <w:t>một</w:t>
      </w:r>
      <w:r w:rsidRPr="001B7810">
        <w:rPr>
          <w:rFonts w:ascii="Arial" w:hAnsi="Arial" w:cs="Arial"/>
          <w:sz w:val="20"/>
          <w:szCs w:val="20"/>
        </w:rPr>
        <w:t xml:space="preserve"> trong </w:t>
      </w:r>
      <w:r w:rsidR="0024318E">
        <w:rPr>
          <w:rFonts w:ascii="Arial" w:hAnsi="Arial" w:cs="Arial"/>
          <w:sz w:val="20"/>
          <w:szCs w:val="20"/>
        </w:rPr>
        <w:t>bốn</w:t>
      </w:r>
      <w:r w:rsidRPr="001B7810">
        <w:rPr>
          <w:rFonts w:ascii="Arial" w:hAnsi="Arial" w:cs="Arial"/>
          <w:sz w:val="20"/>
          <w:szCs w:val="20"/>
        </w:rPr>
        <w:t xml:space="preserve"> trường hợp nêu trên, </w:t>
      </w:r>
      <w:r>
        <w:rPr>
          <w:rFonts w:ascii="Arial" w:hAnsi="Arial" w:cs="Arial"/>
          <w:sz w:val="20"/>
          <w:szCs w:val="20"/>
        </w:rPr>
        <w:t xml:space="preserve">chủ nhãn hiệu đích thực có cơ sở pháp lý để chứng minh rằng </w:t>
      </w:r>
      <w:r w:rsidRPr="001B7810">
        <w:rPr>
          <w:rFonts w:ascii="Arial" w:hAnsi="Arial" w:cs="Arial"/>
          <w:sz w:val="20"/>
          <w:szCs w:val="20"/>
        </w:rPr>
        <w:t xml:space="preserve">ý định, động cơ </w:t>
      </w:r>
      <w:r>
        <w:rPr>
          <w:rFonts w:ascii="Arial" w:hAnsi="Arial" w:cs="Arial"/>
          <w:sz w:val="20"/>
          <w:szCs w:val="20"/>
        </w:rPr>
        <w:t xml:space="preserve">trong việc nộp đơn đăng ký nhãn hiệu của người nộp đơn là </w:t>
      </w:r>
      <w:r w:rsidRPr="001B7810">
        <w:rPr>
          <w:rFonts w:ascii="Arial" w:hAnsi="Arial" w:cs="Arial"/>
          <w:sz w:val="20"/>
          <w:szCs w:val="20"/>
        </w:rPr>
        <w:t xml:space="preserve">không trung thực </w:t>
      </w:r>
      <w:r w:rsidR="00BB78F4">
        <w:rPr>
          <w:rFonts w:ascii="Arial" w:hAnsi="Arial" w:cs="Arial"/>
          <w:sz w:val="20"/>
          <w:szCs w:val="20"/>
        </w:rPr>
        <w:t>hoặc có dụng ý xấu</w:t>
      </w:r>
      <w:r>
        <w:rPr>
          <w:rFonts w:ascii="Arial" w:hAnsi="Arial" w:cs="Arial"/>
          <w:sz w:val="20"/>
          <w:szCs w:val="20"/>
        </w:rPr>
        <w:t xml:space="preserve">. </w:t>
      </w:r>
    </w:p>
    <w:p w14:paraId="34334954" w14:textId="2C559903" w:rsidR="00373711" w:rsidRPr="00FB2AF6" w:rsidRDefault="00FB2AF6" w:rsidP="00650FC5">
      <w:pPr>
        <w:jc w:val="both"/>
        <w:rPr>
          <w:rFonts w:ascii="Arial" w:hAnsi="Arial" w:cs="Arial"/>
          <w:b/>
          <w:bCs/>
          <w:color w:val="2F5496" w:themeColor="accent1" w:themeShade="BF"/>
        </w:rPr>
      </w:pPr>
      <w:r w:rsidRPr="00FB2AF6">
        <w:rPr>
          <w:rFonts w:ascii="Arial" w:hAnsi="Arial" w:cs="Arial"/>
          <w:b/>
          <w:bCs/>
          <w:color w:val="2F5496" w:themeColor="accent1" w:themeShade="BF"/>
        </w:rPr>
        <w:t xml:space="preserve">Chứng minh ý định, động cơ </w:t>
      </w:r>
      <w:r>
        <w:rPr>
          <w:rFonts w:ascii="Arial" w:hAnsi="Arial" w:cs="Arial"/>
          <w:b/>
          <w:bCs/>
          <w:color w:val="2F5496" w:themeColor="accent1" w:themeShade="BF"/>
        </w:rPr>
        <w:t>phía sau việc đăng ký nhãn hiệu trong các vụ đầu cơ nhãn hiệu</w:t>
      </w:r>
      <w:r w:rsidRPr="00FB2AF6">
        <w:rPr>
          <w:rFonts w:ascii="Arial" w:hAnsi="Arial" w:cs="Arial"/>
          <w:b/>
          <w:bCs/>
          <w:color w:val="2F5496" w:themeColor="accent1" w:themeShade="BF"/>
        </w:rPr>
        <w:t>: Dễ hay khó?</w:t>
      </w:r>
    </w:p>
    <w:p w14:paraId="7BFA776D" w14:textId="6E49DDF0" w:rsidR="00A1689A" w:rsidRDefault="00A1689A" w:rsidP="00BB78F4">
      <w:pPr>
        <w:jc w:val="both"/>
        <w:rPr>
          <w:rFonts w:ascii="Arial" w:hAnsi="Arial" w:cs="Arial"/>
          <w:sz w:val="20"/>
          <w:szCs w:val="20"/>
        </w:rPr>
      </w:pPr>
      <w:r>
        <w:rPr>
          <w:rFonts w:ascii="Arial" w:hAnsi="Arial" w:cs="Arial"/>
          <w:sz w:val="20"/>
          <w:szCs w:val="20"/>
        </w:rPr>
        <w:t>Quy định về ý</w:t>
      </w:r>
      <w:r w:rsidR="008330DF">
        <w:rPr>
          <w:rFonts w:ascii="Arial" w:hAnsi="Arial" w:cs="Arial"/>
          <w:sz w:val="20"/>
          <w:szCs w:val="20"/>
        </w:rPr>
        <w:t xml:space="preserve"> định, động cơ </w:t>
      </w:r>
      <w:r>
        <w:rPr>
          <w:rFonts w:ascii="Arial" w:hAnsi="Arial" w:cs="Arial"/>
          <w:sz w:val="20"/>
          <w:szCs w:val="20"/>
        </w:rPr>
        <w:t>để xác định liệu người nộp đơn có dụng ý xấu hay không</w:t>
      </w:r>
      <w:r w:rsidR="008330DF">
        <w:rPr>
          <w:rFonts w:ascii="Arial" w:hAnsi="Arial" w:cs="Arial"/>
          <w:sz w:val="20"/>
          <w:szCs w:val="20"/>
        </w:rPr>
        <w:t xml:space="preserve"> tại Điều 34.2(b) được thiết kế theo hướng mở. Điều luật</w:t>
      </w:r>
      <w:r w:rsidR="00BB78F4">
        <w:rPr>
          <w:rFonts w:ascii="Arial" w:hAnsi="Arial" w:cs="Arial"/>
          <w:sz w:val="20"/>
          <w:szCs w:val="20"/>
        </w:rPr>
        <w:t xml:space="preserve"> này,</w:t>
      </w:r>
      <w:r w:rsidR="008330DF">
        <w:rPr>
          <w:rFonts w:ascii="Arial" w:hAnsi="Arial" w:cs="Arial"/>
          <w:sz w:val="20"/>
          <w:szCs w:val="20"/>
        </w:rPr>
        <w:t xml:space="preserve"> </w:t>
      </w:r>
      <w:r w:rsidR="00BB78F4">
        <w:rPr>
          <w:rFonts w:ascii="Arial" w:hAnsi="Arial" w:cs="Arial"/>
          <w:sz w:val="20"/>
          <w:szCs w:val="20"/>
        </w:rPr>
        <w:t xml:space="preserve">một mặt, </w:t>
      </w:r>
      <w:r>
        <w:rPr>
          <w:rFonts w:ascii="Arial" w:hAnsi="Arial" w:cs="Arial"/>
          <w:sz w:val="20"/>
          <w:szCs w:val="20"/>
        </w:rPr>
        <w:t>liệt kê</w:t>
      </w:r>
      <w:r w:rsidR="008330DF">
        <w:rPr>
          <w:rFonts w:ascii="Arial" w:hAnsi="Arial" w:cs="Arial"/>
          <w:sz w:val="20"/>
          <w:szCs w:val="20"/>
        </w:rPr>
        <w:t xml:space="preserve"> các hành </w:t>
      </w:r>
      <w:r>
        <w:rPr>
          <w:rFonts w:ascii="Arial" w:hAnsi="Arial" w:cs="Arial"/>
          <w:sz w:val="20"/>
          <w:szCs w:val="20"/>
        </w:rPr>
        <w:t>vi</w:t>
      </w:r>
      <w:r w:rsidR="008330DF">
        <w:rPr>
          <w:rFonts w:ascii="Arial" w:hAnsi="Arial" w:cs="Arial"/>
          <w:sz w:val="20"/>
          <w:szCs w:val="20"/>
        </w:rPr>
        <w:t xml:space="preserve"> cụ thể</w:t>
      </w:r>
      <w:r w:rsidR="00BB78F4">
        <w:rPr>
          <w:rFonts w:ascii="Arial" w:hAnsi="Arial" w:cs="Arial"/>
          <w:sz w:val="20"/>
          <w:szCs w:val="20"/>
        </w:rPr>
        <w:t>, rất đặc trưng</w:t>
      </w:r>
      <w:r>
        <w:rPr>
          <w:rFonts w:ascii="Arial" w:hAnsi="Arial" w:cs="Arial"/>
          <w:sz w:val="20"/>
          <w:szCs w:val="20"/>
        </w:rPr>
        <w:t xml:space="preserve"> </w:t>
      </w:r>
      <w:r w:rsidR="00BB78F4">
        <w:rPr>
          <w:rFonts w:ascii="Arial" w:hAnsi="Arial" w:cs="Arial"/>
          <w:sz w:val="20"/>
          <w:szCs w:val="20"/>
        </w:rPr>
        <w:t xml:space="preserve">của hành vi đăng ký nhãn hiệu với dụng ý xấu, giúp chủ nhãn hiệu đích thực có cơ sở pháp lý cụ thể để chứng minh ý định, động cơ không trung thực của người nộp đơn </w:t>
      </w:r>
      <w:r>
        <w:rPr>
          <w:rFonts w:ascii="Arial" w:hAnsi="Arial" w:cs="Arial"/>
          <w:sz w:val="20"/>
          <w:szCs w:val="20"/>
        </w:rPr>
        <w:t>(</w:t>
      </w:r>
      <w:r w:rsidRPr="00A1689A">
        <w:rPr>
          <w:rFonts w:ascii="Arial" w:hAnsi="Arial" w:cs="Arial"/>
          <w:i/>
          <w:iCs/>
          <w:sz w:val="20"/>
          <w:szCs w:val="20"/>
        </w:rPr>
        <w:t>như lợi dụng danh tiếng, uy tín của nhãn hiệu để thu lợi, bán lại, cấp phép hoặc chuyển nhượng quyền đăng ký, ngăn ch</w:t>
      </w:r>
      <w:r w:rsidR="00BD6A48">
        <w:rPr>
          <w:rFonts w:ascii="Arial" w:hAnsi="Arial" w:cs="Arial"/>
          <w:i/>
          <w:iCs/>
          <w:sz w:val="20"/>
          <w:szCs w:val="20"/>
        </w:rPr>
        <w:t>ặ</w:t>
      </w:r>
      <w:r w:rsidRPr="00A1689A">
        <w:rPr>
          <w:rFonts w:ascii="Arial" w:hAnsi="Arial" w:cs="Arial"/>
          <w:i/>
          <w:iCs/>
          <w:sz w:val="20"/>
          <w:szCs w:val="20"/>
        </w:rPr>
        <w:t>n gia nhập thị trường</w:t>
      </w:r>
      <w:r>
        <w:rPr>
          <w:rFonts w:ascii="Arial" w:hAnsi="Arial" w:cs="Arial"/>
          <w:sz w:val="20"/>
          <w:szCs w:val="20"/>
        </w:rPr>
        <w:t xml:space="preserve">), </w:t>
      </w:r>
      <w:r w:rsidR="00BB78F4">
        <w:rPr>
          <w:rFonts w:ascii="Arial" w:hAnsi="Arial" w:cs="Arial"/>
          <w:sz w:val="20"/>
          <w:szCs w:val="20"/>
        </w:rPr>
        <w:t>mặt khác,</w:t>
      </w:r>
      <w:r w:rsidR="008330DF">
        <w:rPr>
          <w:rFonts w:ascii="Arial" w:hAnsi="Arial" w:cs="Arial"/>
          <w:sz w:val="20"/>
          <w:szCs w:val="20"/>
        </w:rPr>
        <w:t xml:space="preserve"> </w:t>
      </w:r>
      <w:r>
        <w:rPr>
          <w:rFonts w:ascii="Arial" w:hAnsi="Arial" w:cs="Arial"/>
          <w:sz w:val="20"/>
          <w:szCs w:val="20"/>
        </w:rPr>
        <w:t>thiết lập</w:t>
      </w:r>
      <w:r w:rsidRPr="00A1689A">
        <w:rPr>
          <w:rFonts w:ascii="Arial" w:hAnsi="Arial" w:cs="Arial"/>
          <w:sz w:val="20"/>
          <w:szCs w:val="20"/>
        </w:rPr>
        <w:t xml:space="preserve"> một </w:t>
      </w:r>
      <w:r>
        <w:rPr>
          <w:rFonts w:ascii="Arial" w:hAnsi="Arial" w:cs="Arial"/>
          <w:sz w:val="20"/>
          <w:szCs w:val="20"/>
        </w:rPr>
        <w:t>quy định</w:t>
      </w:r>
      <w:r w:rsidRPr="00A1689A">
        <w:rPr>
          <w:rFonts w:ascii="Arial" w:hAnsi="Arial" w:cs="Arial"/>
          <w:sz w:val="20"/>
          <w:szCs w:val="20"/>
        </w:rPr>
        <w:t xml:space="preserve"> tổng quát</w:t>
      </w:r>
      <w:r>
        <w:rPr>
          <w:rFonts w:ascii="Arial" w:hAnsi="Arial" w:cs="Arial"/>
          <w:sz w:val="20"/>
          <w:szCs w:val="20"/>
        </w:rPr>
        <w:t>, toàn diện</w:t>
      </w:r>
      <w:r w:rsidRPr="00A1689A">
        <w:rPr>
          <w:rFonts w:ascii="Arial" w:hAnsi="Arial" w:cs="Arial"/>
          <w:sz w:val="20"/>
          <w:szCs w:val="20"/>
        </w:rPr>
        <w:t xml:space="preserve"> hơn bao gồm các hành vi khác trái với các tập quán thương mại lành mạnh</w:t>
      </w:r>
      <w:r w:rsidR="00BB78F4">
        <w:rPr>
          <w:rFonts w:ascii="Arial" w:hAnsi="Arial" w:cs="Arial"/>
          <w:sz w:val="20"/>
          <w:szCs w:val="20"/>
        </w:rPr>
        <w:t xml:space="preserve">, mở ra cơ hội cho chủ nhãn hiệu đích thực chứng </w:t>
      </w:r>
      <w:bookmarkStart w:id="0" w:name="_GoBack"/>
      <w:bookmarkEnd w:id="0"/>
      <w:r w:rsidR="00BB78F4">
        <w:rPr>
          <w:rFonts w:ascii="Arial" w:hAnsi="Arial" w:cs="Arial"/>
          <w:sz w:val="20"/>
          <w:szCs w:val="20"/>
        </w:rPr>
        <w:t xml:space="preserve">minh dụng ý xấu của người nộp đơn để đòi lại </w:t>
      </w:r>
      <w:r w:rsidR="00BB78F4">
        <w:rPr>
          <w:rFonts w:ascii="Arial" w:hAnsi="Arial" w:cs="Arial"/>
          <w:sz w:val="20"/>
          <w:szCs w:val="20"/>
        </w:rPr>
        <w:lastRenderedPageBreak/>
        <w:t xml:space="preserve">quyền nhãn hiệu của mình thông qua thủ tục </w:t>
      </w:r>
      <w:hyperlink r:id="rId8" w:history="1">
        <w:r w:rsidR="00BB78F4" w:rsidRPr="00812DE5">
          <w:rPr>
            <w:rStyle w:val="Hyperlink"/>
            <w:rFonts w:ascii="Arial" w:hAnsi="Arial" w:cs="Arial"/>
            <w:sz w:val="20"/>
            <w:szCs w:val="20"/>
          </w:rPr>
          <w:t>phản đối</w:t>
        </w:r>
      </w:hyperlink>
      <w:r w:rsidR="00BB78F4">
        <w:rPr>
          <w:rFonts w:ascii="Arial" w:hAnsi="Arial" w:cs="Arial"/>
          <w:sz w:val="20"/>
          <w:szCs w:val="20"/>
        </w:rPr>
        <w:t xml:space="preserve">, ý kiến của người thứ ba hoặc </w:t>
      </w:r>
      <w:hyperlink r:id="rId9" w:history="1">
        <w:r w:rsidR="00BB78F4" w:rsidRPr="00C67BC0">
          <w:rPr>
            <w:rStyle w:val="Hyperlink"/>
            <w:rFonts w:ascii="Arial" w:hAnsi="Arial" w:cs="Arial"/>
            <w:sz w:val="20"/>
            <w:szCs w:val="20"/>
          </w:rPr>
          <w:t>hủy bỏ hiệu lực</w:t>
        </w:r>
      </w:hyperlink>
      <w:r w:rsidR="00BB78F4">
        <w:rPr>
          <w:rFonts w:ascii="Arial" w:hAnsi="Arial" w:cs="Arial"/>
          <w:sz w:val="20"/>
          <w:szCs w:val="20"/>
        </w:rPr>
        <w:t xml:space="preserve"> nhãn hiệu.</w:t>
      </w:r>
    </w:p>
    <w:p w14:paraId="13D9EF71" w14:textId="4D1BB270" w:rsidR="0067035F" w:rsidRDefault="00A1689A" w:rsidP="0067035F">
      <w:pPr>
        <w:jc w:val="both"/>
        <w:rPr>
          <w:rFonts w:ascii="Arial" w:hAnsi="Arial" w:cs="Arial"/>
          <w:sz w:val="20"/>
          <w:szCs w:val="20"/>
        </w:rPr>
      </w:pPr>
      <w:r>
        <w:rPr>
          <w:rFonts w:ascii="Arial" w:hAnsi="Arial" w:cs="Arial"/>
          <w:sz w:val="20"/>
          <w:szCs w:val="20"/>
        </w:rPr>
        <w:t xml:space="preserve">Cách thiết kế điều luật theo hướng mở giúp các quy định tại Điều 34.2(b) </w:t>
      </w:r>
      <w:r w:rsidR="00BB78F4">
        <w:rPr>
          <w:rFonts w:ascii="Arial" w:hAnsi="Arial" w:cs="Arial"/>
          <w:sz w:val="20"/>
          <w:szCs w:val="20"/>
        </w:rPr>
        <w:t>nhằm</w:t>
      </w:r>
      <w:r w:rsidR="0067035F">
        <w:rPr>
          <w:rFonts w:ascii="Arial" w:hAnsi="Arial" w:cs="Arial"/>
          <w:sz w:val="20"/>
          <w:szCs w:val="20"/>
        </w:rPr>
        <w:t xml:space="preserve"> chứng minh ý định, động cơ của người nộp đơn không bị bó hẹp trong những hành vi nhất định, giúp Cục SHTT cũng như chủ thể quyền SHTT đích thực linh hoạt hơn trong việc xác định các hành vi không trung thực hay dụng ý xấu có thể chưa </w:t>
      </w:r>
      <w:r w:rsidR="0067035F" w:rsidRPr="00A1689A">
        <w:rPr>
          <w:rFonts w:ascii="Arial" w:hAnsi="Arial" w:cs="Arial"/>
          <w:sz w:val="20"/>
          <w:szCs w:val="20"/>
        </w:rPr>
        <w:t>được dự đoán rõ ràng tại thời điểm ban hành luật</w:t>
      </w:r>
      <w:r w:rsidR="00BB78F4">
        <w:rPr>
          <w:rFonts w:ascii="Arial" w:hAnsi="Arial" w:cs="Arial"/>
          <w:sz w:val="20"/>
          <w:szCs w:val="20"/>
        </w:rPr>
        <w:t>,</w:t>
      </w:r>
      <w:r w:rsidR="0067035F" w:rsidRPr="00A1689A">
        <w:rPr>
          <w:rFonts w:ascii="Arial" w:hAnsi="Arial" w:cs="Arial"/>
          <w:sz w:val="20"/>
          <w:szCs w:val="20"/>
        </w:rPr>
        <w:t xml:space="preserve"> nhưng vẫn nằm trong tinh thần chung của luật.</w:t>
      </w:r>
      <w:r w:rsidR="0067035F">
        <w:rPr>
          <w:rFonts w:ascii="Arial" w:hAnsi="Arial" w:cs="Arial"/>
          <w:sz w:val="20"/>
          <w:szCs w:val="20"/>
        </w:rPr>
        <w:t xml:space="preserve"> </w:t>
      </w:r>
      <w:r w:rsidR="0067035F" w:rsidRPr="00A1689A">
        <w:rPr>
          <w:rFonts w:ascii="Arial" w:hAnsi="Arial" w:cs="Arial"/>
          <w:sz w:val="20"/>
          <w:szCs w:val="20"/>
        </w:rPr>
        <w:t>Điều khoản về</w:t>
      </w:r>
      <w:r w:rsidR="0067035F">
        <w:rPr>
          <w:rFonts w:ascii="Arial" w:hAnsi="Arial" w:cs="Arial"/>
          <w:sz w:val="20"/>
          <w:szCs w:val="20"/>
        </w:rPr>
        <w:t xml:space="preserve"> t</w:t>
      </w:r>
      <w:r w:rsidR="0067035F" w:rsidRPr="00A1689A">
        <w:rPr>
          <w:rFonts w:ascii="Arial" w:hAnsi="Arial" w:cs="Arial"/>
          <w:sz w:val="20"/>
          <w:szCs w:val="20"/>
        </w:rPr>
        <w:t xml:space="preserve">hực hiện </w:t>
      </w:r>
      <w:r w:rsidR="0067035F">
        <w:rPr>
          <w:rFonts w:ascii="Arial" w:hAnsi="Arial" w:cs="Arial"/>
          <w:sz w:val="20"/>
          <w:szCs w:val="20"/>
        </w:rPr>
        <w:t>“</w:t>
      </w:r>
      <w:r w:rsidR="0067035F" w:rsidRPr="0067035F">
        <w:rPr>
          <w:rFonts w:ascii="Arial" w:hAnsi="Arial" w:cs="Arial"/>
          <w:i/>
          <w:iCs/>
          <w:sz w:val="20"/>
          <w:szCs w:val="20"/>
        </w:rPr>
        <w:t>hành vi trái ngược với các tập quán thương mại lành mạnh khác</w:t>
      </w:r>
      <w:r w:rsidR="0067035F" w:rsidRPr="00A1689A">
        <w:rPr>
          <w:rFonts w:ascii="Arial" w:hAnsi="Arial" w:cs="Arial"/>
          <w:sz w:val="20"/>
          <w:szCs w:val="20"/>
        </w:rPr>
        <w:t>” đóng vai trò như một</w:t>
      </w:r>
      <w:r w:rsidR="0067035F">
        <w:rPr>
          <w:rFonts w:ascii="Arial" w:hAnsi="Arial" w:cs="Arial"/>
          <w:sz w:val="20"/>
          <w:szCs w:val="20"/>
        </w:rPr>
        <w:t xml:space="preserve"> quy định</w:t>
      </w:r>
      <w:r w:rsidR="0067035F" w:rsidRPr="00A1689A">
        <w:rPr>
          <w:rFonts w:ascii="Arial" w:hAnsi="Arial" w:cs="Arial"/>
          <w:sz w:val="20"/>
          <w:szCs w:val="20"/>
        </w:rPr>
        <w:t xml:space="preserve"> tổng </w:t>
      </w:r>
      <w:r w:rsidR="0067035F">
        <w:rPr>
          <w:rFonts w:ascii="Arial" w:hAnsi="Arial" w:cs="Arial"/>
          <w:sz w:val="20"/>
          <w:szCs w:val="20"/>
        </w:rPr>
        <w:t>quát</w:t>
      </w:r>
      <w:r w:rsidR="0067035F" w:rsidRPr="00A1689A">
        <w:rPr>
          <w:rFonts w:ascii="Arial" w:hAnsi="Arial" w:cs="Arial"/>
          <w:sz w:val="20"/>
          <w:szCs w:val="20"/>
        </w:rPr>
        <w:t xml:space="preserve"> bao hàm </w:t>
      </w:r>
      <w:r w:rsidR="0067035F">
        <w:rPr>
          <w:rFonts w:ascii="Arial" w:hAnsi="Arial" w:cs="Arial"/>
          <w:sz w:val="20"/>
          <w:szCs w:val="20"/>
        </w:rPr>
        <w:t xml:space="preserve">tất cả các </w:t>
      </w:r>
      <w:r w:rsidR="0067035F" w:rsidRPr="00A1689A">
        <w:rPr>
          <w:rFonts w:ascii="Arial" w:hAnsi="Arial" w:cs="Arial"/>
          <w:sz w:val="20"/>
          <w:szCs w:val="20"/>
        </w:rPr>
        <w:t>hình thức lạm dụng khác nhau làm suy yếu tính toàn vẹn của hệ thống</w:t>
      </w:r>
      <w:r w:rsidR="0067035F">
        <w:rPr>
          <w:rFonts w:ascii="Arial" w:hAnsi="Arial" w:cs="Arial"/>
          <w:sz w:val="20"/>
          <w:szCs w:val="20"/>
        </w:rPr>
        <w:t xml:space="preserve"> bảo hộ</w:t>
      </w:r>
      <w:r w:rsidR="0067035F" w:rsidRPr="00A1689A">
        <w:rPr>
          <w:rFonts w:ascii="Arial" w:hAnsi="Arial" w:cs="Arial"/>
          <w:sz w:val="20"/>
          <w:szCs w:val="20"/>
        </w:rPr>
        <w:t xml:space="preserve"> nhãn hiệu và sự công bằng trong thương mại.</w:t>
      </w:r>
    </w:p>
    <w:p w14:paraId="137FE3DF" w14:textId="5C4A827B" w:rsidR="00D57012" w:rsidRPr="00D57012" w:rsidRDefault="00D57012" w:rsidP="00FB2AF6">
      <w:pPr>
        <w:jc w:val="both"/>
        <w:rPr>
          <w:rFonts w:ascii="Arial" w:hAnsi="Arial" w:cs="Arial"/>
          <w:b/>
          <w:bCs/>
          <w:color w:val="2F5496" w:themeColor="accent1" w:themeShade="BF"/>
        </w:rPr>
      </w:pPr>
      <w:r w:rsidRPr="00D57012">
        <w:rPr>
          <w:rFonts w:ascii="Arial" w:hAnsi="Arial" w:cs="Arial"/>
          <w:b/>
          <w:bCs/>
          <w:color w:val="2F5496" w:themeColor="accent1" w:themeShade="BF"/>
        </w:rPr>
        <w:t>Lời kết</w:t>
      </w:r>
    </w:p>
    <w:p w14:paraId="5F3D9242" w14:textId="18767554" w:rsidR="0024318E" w:rsidRDefault="00FB2AF6" w:rsidP="00FB2AF6">
      <w:pPr>
        <w:jc w:val="both"/>
        <w:rPr>
          <w:rFonts w:ascii="Arial" w:hAnsi="Arial" w:cs="Arial"/>
          <w:sz w:val="20"/>
          <w:szCs w:val="20"/>
        </w:rPr>
      </w:pPr>
      <w:r>
        <w:rPr>
          <w:rFonts w:ascii="Arial" w:hAnsi="Arial" w:cs="Arial"/>
          <w:sz w:val="20"/>
          <w:szCs w:val="20"/>
        </w:rPr>
        <w:t xml:space="preserve">Mặc dù được thiết kế theo hướng mở, việc chứng minh ý định, động cơ phía sau việc đăng ký nhãn hiệu, trong bối cảnh nạn đầu cơ nhãn hiệu ngày càng trở nên tinh vi, biến đối không ngừng tại Việt Nam, </w:t>
      </w:r>
      <w:r w:rsidR="0067035F">
        <w:rPr>
          <w:rFonts w:ascii="Arial" w:hAnsi="Arial" w:cs="Arial"/>
          <w:sz w:val="20"/>
          <w:szCs w:val="20"/>
        </w:rPr>
        <w:t xml:space="preserve">được dự đoán </w:t>
      </w:r>
      <w:r>
        <w:rPr>
          <w:rFonts w:ascii="Arial" w:hAnsi="Arial" w:cs="Arial"/>
          <w:sz w:val="20"/>
          <w:szCs w:val="20"/>
        </w:rPr>
        <w:t>là một thách thức không nhỏ.</w:t>
      </w:r>
      <w:r w:rsidR="0067035F">
        <w:rPr>
          <w:rFonts w:ascii="Arial" w:hAnsi="Arial" w:cs="Arial"/>
          <w:sz w:val="20"/>
          <w:szCs w:val="20"/>
        </w:rPr>
        <w:t xml:space="preserve"> </w:t>
      </w:r>
      <w:r w:rsidR="0067035F" w:rsidRPr="005461DF">
        <w:rPr>
          <w:rFonts w:ascii="Arial" w:hAnsi="Arial" w:cs="Arial"/>
          <w:sz w:val="20"/>
          <w:szCs w:val="20"/>
        </w:rPr>
        <w:t xml:space="preserve">Ý định vốn mang tính chủ quan và có thể khó chứng minh nếu không có những tuyên bố hoặc hành động rõ ràng </w:t>
      </w:r>
      <w:r w:rsidR="0067035F">
        <w:rPr>
          <w:rFonts w:ascii="Arial" w:hAnsi="Arial" w:cs="Arial"/>
          <w:sz w:val="20"/>
          <w:szCs w:val="20"/>
        </w:rPr>
        <w:t>cho thấy</w:t>
      </w:r>
      <w:r w:rsidR="0067035F" w:rsidRPr="005461DF">
        <w:rPr>
          <w:rFonts w:ascii="Arial" w:hAnsi="Arial" w:cs="Arial"/>
          <w:sz w:val="20"/>
          <w:szCs w:val="20"/>
        </w:rPr>
        <w:t xml:space="preserve"> động cơ của người nộp đơn.</w:t>
      </w:r>
      <w:r w:rsidR="001B7810">
        <w:rPr>
          <w:rFonts w:ascii="Arial" w:hAnsi="Arial" w:cs="Arial"/>
          <w:sz w:val="20"/>
          <w:szCs w:val="20"/>
        </w:rPr>
        <w:t xml:space="preserve"> Mà thực tế hiện nay, việc đăng ký nhãn hiệu có uy tín danh tiếng </w:t>
      </w:r>
      <w:r w:rsidR="00D57012">
        <w:rPr>
          <w:rFonts w:ascii="Arial" w:hAnsi="Arial" w:cs="Arial"/>
          <w:sz w:val="20"/>
          <w:szCs w:val="20"/>
        </w:rPr>
        <w:t xml:space="preserve">thường </w:t>
      </w:r>
      <w:r w:rsidR="001B7810">
        <w:rPr>
          <w:rFonts w:ascii="Arial" w:hAnsi="Arial" w:cs="Arial"/>
          <w:sz w:val="20"/>
          <w:szCs w:val="20"/>
        </w:rPr>
        <w:t>“</w:t>
      </w:r>
      <w:r w:rsidR="001B7810" w:rsidRPr="0031525E">
        <w:rPr>
          <w:rFonts w:ascii="Arial" w:hAnsi="Arial" w:cs="Arial"/>
          <w:b/>
          <w:bCs/>
          <w:sz w:val="20"/>
          <w:szCs w:val="20"/>
          <w:u w:val="single"/>
        </w:rPr>
        <w:t>núp bóng</w:t>
      </w:r>
      <w:r w:rsidR="001B7810">
        <w:rPr>
          <w:rFonts w:ascii="Arial" w:hAnsi="Arial" w:cs="Arial"/>
          <w:sz w:val="20"/>
          <w:szCs w:val="20"/>
        </w:rPr>
        <w:t xml:space="preserve">” dưới </w:t>
      </w:r>
      <w:r w:rsidR="00BD6A48">
        <w:rPr>
          <w:rFonts w:ascii="Arial" w:hAnsi="Arial" w:cs="Arial"/>
          <w:sz w:val="20"/>
          <w:szCs w:val="20"/>
        </w:rPr>
        <w:t xml:space="preserve">tên </w:t>
      </w:r>
      <w:r w:rsidR="001B7810">
        <w:rPr>
          <w:rFonts w:ascii="Arial" w:hAnsi="Arial" w:cs="Arial"/>
          <w:sz w:val="20"/>
          <w:szCs w:val="20"/>
        </w:rPr>
        <w:t>các tổ chức, cá nhân không liên quan</w:t>
      </w:r>
      <w:r w:rsidR="00BB78F4">
        <w:rPr>
          <w:rFonts w:ascii="Arial" w:hAnsi="Arial" w:cs="Arial"/>
          <w:sz w:val="20"/>
          <w:szCs w:val="20"/>
        </w:rPr>
        <w:t xml:space="preserve"> với chủ nhãn hiệu đích thực</w:t>
      </w:r>
      <w:r w:rsidR="00D57012">
        <w:rPr>
          <w:rFonts w:ascii="Arial" w:hAnsi="Arial" w:cs="Arial"/>
          <w:sz w:val="20"/>
          <w:szCs w:val="20"/>
        </w:rPr>
        <w:t>. Đây được xem</w:t>
      </w:r>
      <w:r w:rsidR="001B7810">
        <w:rPr>
          <w:rFonts w:ascii="Arial" w:hAnsi="Arial" w:cs="Arial"/>
          <w:sz w:val="20"/>
          <w:szCs w:val="20"/>
        </w:rPr>
        <w:t xml:space="preserve"> là thủ đoạn tinh vi</w:t>
      </w:r>
      <w:r w:rsidR="00D57012">
        <w:rPr>
          <w:rFonts w:ascii="Arial" w:hAnsi="Arial" w:cs="Arial"/>
          <w:sz w:val="20"/>
          <w:szCs w:val="20"/>
        </w:rPr>
        <w:t xml:space="preserve"> và việc</w:t>
      </w:r>
      <w:r w:rsidR="001B7810">
        <w:rPr>
          <w:rFonts w:ascii="Arial" w:hAnsi="Arial" w:cs="Arial"/>
          <w:sz w:val="20"/>
          <w:szCs w:val="20"/>
        </w:rPr>
        <w:t xml:space="preserve"> đối phó chưa bao giờ đơn giản. </w:t>
      </w:r>
      <w:r w:rsidR="00BD6A48">
        <w:rPr>
          <w:rFonts w:ascii="Arial" w:hAnsi="Arial" w:cs="Arial"/>
          <w:sz w:val="20"/>
          <w:szCs w:val="20"/>
        </w:rPr>
        <w:t xml:space="preserve">Ngoài ra, nếu người nộp đơn chỉ lợi dụng nguyên tắc nộp đơn đầu tiên để đăng ký sớm nhất nhãn hiệu của chủ nhãn hiệu đích thực và </w:t>
      </w:r>
      <w:r w:rsidR="00BD6A48" w:rsidRPr="00D57012">
        <w:rPr>
          <w:rFonts w:ascii="Arial" w:hAnsi="Arial" w:cs="Arial"/>
          <w:sz w:val="20"/>
          <w:szCs w:val="20"/>
          <w:u w:val="single"/>
        </w:rPr>
        <w:t>không thực hiện hành vi chào bán nhãn hiệu để trục lợi</w:t>
      </w:r>
      <w:r w:rsidR="00980B03">
        <w:rPr>
          <w:rFonts w:ascii="Arial" w:hAnsi="Arial" w:cs="Arial"/>
          <w:sz w:val="20"/>
          <w:szCs w:val="20"/>
        </w:rPr>
        <w:t xml:space="preserve">, việc chứng minh dụng ý xấu </w:t>
      </w:r>
      <w:r w:rsidR="00D57012">
        <w:rPr>
          <w:rFonts w:ascii="Arial" w:hAnsi="Arial" w:cs="Arial"/>
          <w:sz w:val="20"/>
          <w:szCs w:val="20"/>
        </w:rPr>
        <w:t xml:space="preserve">cũng </w:t>
      </w:r>
      <w:r w:rsidR="00980B03">
        <w:rPr>
          <w:rFonts w:ascii="Arial" w:hAnsi="Arial" w:cs="Arial"/>
          <w:sz w:val="20"/>
          <w:szCs w:val="20"/>
        </w:rPr>
        <w:t xml:space="preserve">gần như bất khả thi. </w:t>
      </w:r>
      <w:r w:rsidR="0024318E">
        <w:rPr>
          <w:rFonts w:ascii="Arial" w:hAnsi="Arial" w:cs="Arial"/>
          <w:sz w:val="20"/>
          <w:szCs w:val="20"/>
        </w:rPr>
        <w:t>Càng t</w:t>
      </w:r>
      <w:r w:rsidR="00980B03">
        <w:rPr>
          <w:rFonts w:ascii="Arial" w:hAnsi="Arial" w:cs="Arial"/>
          <w:sz w:val="20"/>
          <w:szCs w:val="20"/>
        </w:rPr>
        <w:t>inh vi</w:t>
      </w:r>
      <w:r w:rsidR="0024318E">
        <w:rPr>
          <w:rFonts w:ascii="Arial" w:hAnsi="Arial" w:cs="Arial"/>
          <w:sz w:val="20"/>
          <w:szCs w:val="20"/>
        </w:rPr>
        <w:t xml:space="preserve"> và phức tạp</w:t>
      </w:r>
      <w:r w:rsidR="00980B03">
        <w:rPr>
          <w:rFonts w:ascii="Arial" w:hAnsi="Arial" w:cs="Arial"/>
          <w:sz w:val="20"/>
          <w:szCs w:val="20"/>
        </w:rPr>
        <w:t xml:space="preserve"> hơn nếu bên thứ ba </w:t>
      </w:r>
      <w:r w:rsidR="0024318E" w:rsidRPr="009D7C73">
        <w:rPr>
          <w:rFonts w:ascii="Arial" w:hAnsi="Arial" w:cs="Arial"/>
          <w:sz w:val="20"/>
          <w:szCs w:val="20"/>
        </w:rPr>
        <w:t xml:space="preserve">đăng ký các nhãn hiệu </w:t>
      </w:r>
      <w:r w:rsidR="00D57012">
        <w:rPr>
          <w:rFonts w:ascii="Arial" w:hAnsi="Arial" w:cs="Arial"/>
          <w:sz w:val="20"/>
          <w:szCs w:val="20"/>
        </w:rPr>
        <w:t>“</w:t>
      </w:r>
      <w:r w:rsidR="0024318E" w:rsidRPr="0031525E">
        <w:rPr>
          <w:rFonts w:ascii="Arial" w:hAnsi="Arial" w:cs="Arial"/>
          <w:i/>
          <w:iCs/>
          <w:sz w:val="20"/>
          <w:szCs w:val="20"/>
          <w:u w:val="single"/>
        </w:rPr>
        <w:t>tương tự nhưng không trùng hoàn toàn</w:t>
      </w:r>
      <w:r w:rsidR="00D57012">
        <w:rPr>
          <w:rFonts w:ascii="Arial" w:hAnsi="Arial" w:cs="Arial"/>
          <w:sz w:val="20"/>
          <w:szCs w:val="20"/>
        </w:rPr>
        <w:t>”</w:t>
      </w:r>
      <w:r w:rsidR="0024318E" w:rsidRPr="009D7C73">
        <w:rPr>
          <w:rFonts w:ascii="Arial" w:hAnsi="Arial" w:cs="Arial"/>
          <w:sz w:val="20"/>
          <w:szCs w:val="20"/>
        </w:rPr>
        <w:t xml:space="preserve">, hoặc chỉ cho những sản phẩm gần giống với các sản phẩm đã có uy tín và danh tiếng nhưng chưa được đăng ký tại Việt Nam, khiến cho chủ nhãn hiệu </w:t>
      </w:r>
      <w:r w:rsidR="00D57012">
        <w:rPr>
          <w:rFonts w:ascii="Arial" w:hAnsi="Arial" w:cs="Arial"/>
          <w:sz w:val="20"/>
          <w:szCs w:val="20"/>
        </w:rPr>
        <w:t>đích thực</w:t>
      </w:r>
      <w:r w:rsidR="0024318E" w:rsidRPr="009D7C73">
        <w:rPr>
          <w:rFonts w:ascii="Arial" w:hAnsi="Arial" w:cs="Arial"/>
          <w:sz w:val="20"/>
          <w:szCs w:val="20"/>
        </w:rPr>
        <w:t xml:space="preserve"> gần như không có cách nào để ngăn chặn hay đòi lại quyền của mình.</w:t>
      </w:r>
    </w:p>
    <w:p w14:paraId="3FC2859B" w14:textId="2FAA118C" w:rsidR="0024318E" w:rsidRDefault="00980B03" w:rsidP="0024318E">
      <w:pPr>
        <w:spacing w:after="0" w:line="240" w:lineRule="auto"/>
        <w:jc w:val="both"/>
        <w:rPr>
          <w:rFonts w:ascii="Arial" w:hAnsi="Arial" w:cs="Arial"/>
          <w:sz w:val="20"/>
          <w:szCs w:val="20"/>
        </w:rPr>
      </w:pPr>
      <w:r w:rsidRPr="00D024EE">
        <w:rPr>
          <w:rFonts w:ascii="Arial" w:hAnsi="Arial" w:cs="Arial"/>
          <w:sz w:val="20"/>
          <w:szCs w:val="20"/>
        </w:rPr>
        <w:t xml:space="preserve">Hãy liên hệ với KENFOX IP &amp; Law Office để được tư vấn chuyên sâu </w:t>
      </w:r>
      <w:r w:rsidR="0024318E">
        <w:rPr>
          <w:rFonts w:ascii="Arial" w:hAnsi="Arial" w:cs="Arial"/>
          <w:sz w:val="20"/>
          <w:szCs w:val="20"/>
        </w:rPr>
        <w:t xml:space="preserve">về các </w:t>
      </w:r>
      <w:r w:rsidRPr="0024318E">
        <w:rPr>
          <w:rFonts w:ascii="Arial" w:hAnsi="Arial" w:cs="Arial"/>
          <w:sz w:val="20"/>
          <w:szCs w:val="20"/>
        </w:rPr>
        <w:t xml:space="preserve">giải pháp hiệu quả nhất cho các vấn đề sở hữu trí tuệ, nhất là trong các trường hợp đăng ký nhãn hiệu </w:t>
      </w:r>
      <w:r w:rsidR="0024318E" w:rsidRPr="00D024EE">
        <w:rPr>
          <w:rFonts w:ascii="Arial" w:hAnsi="Arial" w:cs="Arial"/>
          <w:sz w:val="20"/>
          <w:szCs w:val="20"/>
        </w:rPr>
        <w:t xml:space="preserve">dụng ý xấu </w:t>
      </w:r>
      <w:r w:rsidRPr="0024318E">
        <w:rPr>
          <w:rFonts w:ascii="Arial" w:hAnsi="Arial" w:cs="Arial"/>
          <w:sz w:val="20"/>
          <w:szCs w:val="20"/>
        </w:rPr>
        <w:t xml:space="preserve">tại Việt Nam. </w:t>
      </w:r>
      <w:r w:rsidR="0024318E" w:rsidRPr="00D024EE">
        <w:rPr>
          <w:rFonts w:ascii="Arial" w:hAnsi="Arial" w:cs="Arial"/>
          <w:sz w:val="20"/>
          <w:szCs w:val="20"/>
        </w:rPr>
        <w:t xml:space="preserve">Với </w:t>
      </w:r>
      <w:r w:rsidR="0024318E">
        <w:rPr>
          <w:rFonts w:ascii="Arial" w:hAnsi="Arial" w:cs="Arial"/>
          <w:sz w:val="20"/>
          <w:szCs w:val="20"/>
        </w:rPr>
        <w:t>với kinh nghiệm thực tế sâu rộng</w:t>
      </w:r>
      <w:r w:rsidR="0024318E" w:rsidRPr="00D024EE">
        <w:rPr>
          <w:rFonts w:ascii="Arial" w:hAnsi="Arial" w:cs="Arial"/>
          <w:sz w:val="20"/>
          <w:szCs w:val="20"/>
        </w:rPr>
        <w:t xml:space="preserve"> và đã thành công trong việc giải quyết nhiều vụ tranh chấp nhãn hiệu</w:t>
      </w:r>
      <w:r w:rsidRPr="0024318E">
        <w:rPr>
          <w:rFonts w:ascii="Arial" w:hAnsi="Arial" w:cs="Arial"/>
          <w:sz w:val="20"/>
          <w:szCs w:val="20"/>
        </w:rPr>
        <w:t>, cả trên phương diện hành</w:t>
      </w:r>
      <w:r>
        <w:rPr>
          <w:rFonts w:ascii="Segoe UI" w:hAnsi="Segoe UI" w:cs="Segoe UI"/>
          <w:color w:val="0D0D0D"/>
          <w:shd w:val="clear" w:color="auto" w:fill="FFFFFF"/>
        </w:rPr>
        <w:t xml:space="preserve"> chính lẫn </w:t>
      </w:r>
      <w:hyperlink r:id="rId10" w:history="1">
        <w:r w:rsidR="0024318E" w:rsidRPr="00CB3F14">
          <w:rPr>
            <w:rStyle w:val="Hyperlink"/>
            <w:rFonts w:ascii="Arial" w:hAnsi="Arial" w:cs="Arial"/>
            <w:sz w:val="20"/>
            <w:szCs w:val="20"/>
          </w:rPr>
          <w:t>tố tụng tại tòa án</w:t>
        </w:r>
      </w:hyperlink>
      <w:r>
        <w:rPr>
          <w:rFonts w:ascii="Segoe UI" w:hAnsi="Segoe UI" w:cs="Segoe UI"/>
          <w:color w:val="0D0D0D"/>
          <w:shd w:val="clear" w:color="auto" w:fill="FFFFFF"/>
        </w:rPr>
        <w:t xml:space="preserve">, </w:t>
      </w:r>
      <w:r w:rsidR="0024318E" w:rsidRPr="00D024EE">
        <w:rPr>
          <w:rFonts w:ascii="Arial" w:hAnsi="Arial" w:cs="Arial"/>
          <w:sz w:val="20"/>
          <w:szCs w:val="20"/>
        </w:rPr>
        <w:t xml:space="preserve">KENFOX sẵn sàng đồng hành cùng bạn để bảo vệ quyền lợi </w:t>
      </w:r>
      <w:r w:rsidR="0024318E">
        <w:rPr>
          <w:rFonts w:ascii="Arial" w:hAnsi="Arial" w:cs="Arial"/>
          <w:sz w:val="20"/>
          <w:szCs w:val="20"/>
        </w:rPr>
        <w:t xml:space="preserve">của bạn </w:t>
      </w:r>
      <w:r w:rsidR="0024318E" w:rsidRPr="00D024EE">
        <w:rPr>
          <w:rFonts w:ascii="Arial" w:hAnsi="Arial" w:cs="Arial"/>
          <w:sz w:val="20"/>
          <w:szCs w:val="20"/>
        </w:rPr>
        <w:t>một cách hiệu quả nhất.</w:t>
      </w:r>
    </w:p>
    <w:p w14:paraId="3A2D6E9A" w14:textId="77777777" w:rsidR="00980B03" w:rsidRDefault="00980B03" w:rsidP="00980B03">
      <w:pPr>
        <w:spacing w:after="0" w:line="240" w:lineRule="auto"/>
        <w:jc w:val="both"/>
        <w:rPr>
          <w:rFonts w:ascii="Arial" w:hAnsi="Arial" w:cs="Arial"/>
          <w:sz w:val="20"/>
          <w:szCs w:val="20"/>
        </w:rPr>
      </w:pPr>
    </w:p>
    <w:p w14:paraId="5D3F9FD2" w14:textId="77777777" w:rsidR="00C4046E" w:rsidRDefault="00C4046E" w:rsidP="00C4046E">
      <w:pPr>
        <w:spacing w:after="0" w:line="240" w:lineRule="auto"/>
        <w:jc w:val="both"/>
        <w:rPr>
          <w:rFonts w:ascii="Arial" w:hAnsi="Arial" w:cs="Arial"/>
          <w:color w:val="000000"/>
          <w:sz w:val="20"/>
          <w:szCs w:val="20"/>
          <w:shd w:val="clear" w:color="auto" w:fill="FFFFFF"/>
        </w:rPr>
      </w:pPr>
    </w:p>
    <w:p w14:paraId="6CE327B5" w14:textId="77777777" w:rsidR="00C4046E" w:rsidRPr="001F4D5E" w:rsidRDefault="00C4046E" w:rsidP="00C4046E">
      <w:pPr>
        <w:spacing w:after="0" w:line="240" w:lineRule="auto"/>
        <w:jc w:val="both"/>
        <w:rPr>
          <w:rFonts w:ascii="Arial" w:hAnsi="Arial" w:cs="Arial"/>
          <w:color w:val="000000"/>
          <w:sz w:val="20"/>
          <w:szCs w:val="20"/>
          <w:shd w:val="clear" w:color="auto" w:fill="FFFFFF"/>
        </w:rPr>
      </w:pPr>
    </w:p>
    <w:p w14:paraId="06F9BA13" w14:textId="77777777" w:rsidR="00373711" w:rsidRPr="005461DF" w:rsidRDefault="00373711" w:rsidP="00650FC5">
      <w:pPr>
        <w:jc w:val="both"/>
        <w:rPr>
          <w:rFonts w:ascii="Arial" w:hAnsi="Arial" w:cs="Arial"/>
          <w:sz w:val="20"/>
          <w:szCs w:val="20"/>
        </w:rPr>
      </w:pPr>
    </w:p>
    <w:sectPr w:rsidR="00373711" w:rsidRPr="005461DF" w:rsidSect="0058574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603E9"/>
    <w:multiLevelType w:val="hybridMultilevel"/>
    <w:tmpl w:val="868E6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21AB0"/>
    <w:multiLevelType w:val="hybridMultilevel"/>
    <w:tmpl w:val="00561A04"/>
    <w:lvl w:ilvl="0" w:tplc="787A6840">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B3A57"/>
    <w:multiLevelType w:val="hybridMultilevel"/>
    <w:tmpl w:val="A5308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44"/>
    <w:rsid w:val="000F2353"/>
    <w:rsid w:val="001B7810"/>
    <w:rsid w:val="0024318E"/>
    <w:rsid w:val="002C3429"/>
    <w:rsid w:val="002E2FC0"/>
    <w:rsid w:val="0031525E"/>
    <w:rsid w:val="00373711"/>
    <w:rsid w:val="003F4759"/>
    <w:rsid w:val="005461DF"/>
    <w:rsid w:val="00585744"/>
    <w:rsid w:val="00650FC5"/>
    <w:rsid w:val="0067035F"/>
    <w:rsid w:val="00735939"/>
    <w:rsid w:val="00812DE5"/>
    <w:rsid w:val="008330DF"/>
    <w:rsid w:val="008A0B1A"/>
    <w:rsid w:val="0096594C"/>
    <w:rsid w:val="00980B03"/>
    <w:rsid w:val="009D7C73"/>
    <w:rsid w:val="009F6790"/>
    <w:rsid w:val="00A1689A"/>
    <w:rsid w:val="00A71735"/>
    <w:rsid w:val="00AD33B3"/>
    <w:rsid w:val="00BB78F4"/>
    <w:rsid w:val="00BD6A48"/>
    <w:rsid w:val="00C4046E"/>
    <w:rsid w:val="00C46D8B"/>
    <w:rsid w:val="00C67BC0"/>
    <w:rsid w:val="00D57012"/>
    <w:rsid w:val="00F16A10"/>
    <w:rsid w:val="00FB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7BA5"/>
  <w15:chartTrackingRefBased/>
  <w15:docId w15:val="{FCEDF5C2-8078-4AE7-8CDB-9AD90950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A10"/>
    <w:pPr>
      <w:ind w:left="720"/>
      <w:contextualSpacing/>
    </w:pPr>
  </w:style>
  <w:style w:type="character" w:styleId="Hyperlink">
    <w:name w:val="Hyperlink"/>
    <w:basedOn w:val="DefaultParagraphFont"/>
    <w:uiPriority w:val="99"/>
    <w:unhideWhenUsed/>
    <w:rsid w:val="00980B03"/>
    <w:rPr>
      <w:color w:val="0563C1" w:themeColor="hyperlink"/>
      <w:u w:val="single"/>
    </w:rPr>
  </w:style>
  <w:style w:type="character" w:styleId="UnresolvedMention">
    <w:name w:val="Unresolved Mention"/>
    <w:basedOn w:val="DefaultParagraphFont"/>
    <w:uiPriority w:val="99"/>
    <w:semiHidden/>
    <w:unhideWhenUsed/>
    <w:rsid w:val="00C67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han-doi-nhan-hieu-hay-y-kien-cua-nguoi-thu-ba-lua-chon-nao-tot-hon" TargetMode="External"/><Relationship Id="rId3" Type="http://schemas.openxmlformats.org/officeDocument/2006/relationships/settings" Target="settings.xml"/><Relationship Id="rId7" Type="http://schemas.openxmlformats.org/officeDocument/2006/relationships/hyperlink" Target="https://kenfoxlaw.com/vi/loi-dung-uy-tin-danh-tieng-cua-chu-nhan-hieu-dich-thuc-chung-minh-the-n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vi/chung-minh-nguoi-nop-don-biet-hoac-co-co-so-de-biet-trong-cac-vu-viec-dang-ky-nhan-hieu-voi-dung-y-xau-nhu-the-nao" TargetMode="External"/><Relationship Id="rId11" Type="http://schemas.openxmlformats.org/officeDocument/2006/relationships/fontTable" Target="fontTable.xml"/><Relationship Id="rId5" Type="http://schemas.openxmlformats.org/officeDocument/2006/relationships/hyperlink" Target="https://kenfoxlaw.com/dung-y-xau-bi-quyet-chung-minh-dung-y-xau-va-gianh-lai-nhan-hieu" TargetMode="External"/><Relationship Id="rId10" Type="http://schemas.openxmlformats.org/officeDocument/2006/relationships/hyperlink" Target="https://kenfoxlaw.com/vi/nhan-hieu-va-ten-thuong-mai-bai-hoc-nao-tu-vu-kien-nhan-hieu-duoc-pham-gan-day-tai-viet-nam" TargetMode="External"/><Relationship Id="rId4" Type="http://schemas.openxmlformats.org/officeDocument/2006/relationships/webSettings" Target="webSettings.xml"/><Relationship Id="rId9" Type="http://schemas.openxmlformats.org/officeDocument/2006/relationships/hyperlink" Target="https://kenfoxlaw.com/vi/huy-bo-hieu-luc-dang-ky-nhan-hieu-khong-trung-thuc-o-viet-na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5</cp:revision>
  <dcterms:created xsi:type="dcterms:W3CDTF">2024-04-25T07:14:00Z</dcterms:created>
  <dcterms:modified xsi:type="dcterms:W3CDTF">2024-05-06T07:42:00Z</dcterms:modified>
</cp:coreProperties>
</file>