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340A2" w14:textId="699AB964" w:rsidR="00C61EDD" w:rsidRDefault="00C61EDD" w:rsidP="00C61EDD">
      <w:pPr>
        <w:spacing w:after="0" w:line="240" w:lineRule="auto"/>
        <w:jc w:val="center"/>
        <w:rPr>
          <w:rFonts w:ascii="Arial" w:hAnsi="Arial" w:cs="Arial"/>
          <w:b/>
          <w:bCs/>
          <w:color w:val="C00000"/>
          <w:sz w:val="24"/>
          <w:szCs w:val="24"/>
          <w:shd w:val="clear" w:color="auto" w:fill="FFFFFF"/>
        </w:rPr>
      </w:pPr>
      <w:r>
        <w:rPr>
          <w:rFonts w:ascii="Arial" w:hAnsi="Arial" w:cs="Arial"/>
          <w:b/>
          <w:bCs/>
          <w:color w:val="C00000"/>
          <w:sz w:val="24"/>
          <w:szCs w:val="24"/>
          <w:shd w:val="clear" w:color="auto" w:fill="FFFFFF"/>
        </w:rPr>
        <w:t>Dụng Ý Xấu – Bí Quyết Chứng Minh Dụng Ý Xấu Và Giành Lại Nhãn Hiệu?</w:t>
      </w:r>
    </w:p>
    <w:p w14:paraId="7BA08D4A" w14:textId="77777777" w:rsidR="001F4D5E" w:rsidRDefault="001F4D5E" w:rsidP="001269C7">
      <w:pPr>
        <w:spacing w:after="0" w:line="240" w:lineRule="auto"/>
        <w:jc w:val="both"/>
        <w:rPr>
          <w:rFonts w:ascii="Arial" w:hAnsi="Arial" w:cs="Arial"/>
          <w:color w:val="000000"/>
          <w:sz w:val="20"/>
          <w:szCs w:val="20"/>
          <w:shd w:val="clear" w:color="auto" w:fill="FFFFFF"/>
        </w:rPr>
      </w:pPr>
    </w:p>
    <w:p w14:paraId="4F3CBF18" w14:textId="1ABC7E0D" w:rsidR="00F30527" w:rsidRPr="001269C7" w:rsidRDefault="00524E5A" w:rsidP="001269C7">
      <w:pPr>
        <w:spacing w:after="0" w:line="240" w:lineRule="auto"/>
        <w:jc w:val="both"/>
        <w:rPr>
          <w:rFonts w:ascii="Arial" w:hAnsi="Arial" w:cs="Arial"/>
          <w:i/>
          <w:iCs/>
          <w:color w:val="000000"/>
          <w:sz w:val="20"/>
          <w:szCs w:val="20"/>
          <w:shd w:val="clear" w:color="auto" w:fill="FFFFFF"/>
        </w:rPr>
      </w:pPr>
      <w:r w:rsidRPr="001269C7">
        <w:rPr>
          <w:rFonts w:ascii="Arial" w:hAnsi="Arial" w:cs="Arial"/>
          <w:i/>
          <w:iCs/>
          <w:color w:val="000000"/>
          <w:sz w:val="20"/>
          <w:szCs w:val="20"/>
          <w:shd w:val="clear" w:color="auto" w:fill="FFFFFF"/>
        </w:rPr>
        <w:t xml:space="preserve">Việc nộp đơn đăng ký nhãn hiệu thường được cho là mặc nhiên mang tính thiện chí và tạo ra quyền độc quyền cho chủ sở hữu. Tuy nhiên, khi việc nộp đơn </w:t>
      </w:r>
      <w:r w:rsidR="00F30527" w:rsidRPr="001269C7">
        <w:rPr>
          <w:rFonts w:ascii="Arial" w:hAnsi="Arial" w:cs="Arial"/>
          <w:i/>
          <w:iCs/>
          <w:color w:val="000000"/>
          <w:sz w:val="20"/>
          <w:szCs w:val="20"/>
          <w:shd w:val="clear" w:color="auto" w:fill="FFFFFF"/>
        </w:rPr>
        <w:t xml:space="preserve">nhằm </w:t>
      </w:r>
      <w:r w:rsidRPr="001269C7">
        <w:rPr>
          <w:rFonts w:ascii="Arial" w:hAnsi="Arial" w:cs="Arial"/>
          <w:i/>
          <w:iCs/>
          <w:color w:val="000000"/>
          <w:sz w:val="20"/>
          <w:szCs w:val="20"/>
          <w:shd w:val="clear" w:color="auto" w:fill="FFFFFF"/>
        </w:rPr>
        <w:t xml:space="preserve">mục đích tước đi lợi ích của nhãn hiệu hiện có của </w:t>
      </w:r>
      <w:r w:rsidR="00F30527" w:rsidRPr="001269C7">
        <w:rPr>
          <w:rFonts w:ascii="Arial" w:hAnsi="Arial" w:cs="Arial"/>
          <w:i/>
          <w:iCs/>
          <w:color w:val="000000"/>
          <w:sz w:val="20"/>
          <w:szCs w:val="20"/>
          <w:shd w:val="clear" w:color="auto" w:fill="FFFFFF"/>
        </w:rPr>
        <w:t>chủ nhãn hiệu đích thực</w:t>
      </w:r>
      <w:r w:rsidRPr="001269C7">
        <w:rPr>
          <w:rFonts w:ascii="Arial" w:hAnsi="Arial" w:cs="Arial"/>
          <w:i/>
          <w:iCs/>
          <w:color w:val="000000"/>
          <w:sz w:val="20"/>
          <w:szCs w:val="20"/>
          <w:shd w:val="clear" w:color="auto" w:fill="FFFFFF"/>
        </w:rPr>
        <w:t xml:space="preserve"> và gây nhầm lẫn cho người tiêu dùng, điều đó sẽ phá vỡ các mục tiêu</w:t>
      </w:r>
      <w:r w:rsidR="00F30527" w:rsidRPr="001269C7">
        <w:rPr>
          <w:rFonts w:ascii="Arial" w:hAnsi="Arial" w:cs="Arial"/>
          <w:i/>
          <w:iCs/>
          <w:color w:val="000000"/>
          <w:sz w:val="20"/>
          <w:szCs w:val="20"/>
          <w:shd w:val="clear" w:color="auto" w:fill="FFFFFF"/>
        </w:rPr>
        <w:t>, nguyên tắc</w:t>
      </w:r>
      <w:r w:rsidRPr="001269C7">
        <w:rPr>
          <w:rFonts w:ascii="Arial" w:hAnsi="Arial" w:cs="Arial"/>
          <w:i/>
          <w:iCs/>
          <w:color w:val="000000"/>
          <w:sz w:val="20"/>
          <w:szCs w:val="20"/>
          <w:shd w:val="clear" w:color="auto" w:fill="FFFFFF"/>
        </w:rPr>
        <w:t xml:space="preserve"> căn bản của </w:t>
      </w:r>
      <w:r w:rsidR="00F30527" w:rsidRPr="001269C7">
        <w:rPr>
          <w:rFonts w:ascii="Arial" w:hAnsi="Arial" w:cs="Arial"/>
          <w:i/>
          <w:iCs/>
          <w:color w:val="000000"/>
          <w:sz w:val="20"/>
          <w:szCs w:val="20"/>
          <w:shd w:val="clear" w:color="auto" w:fill="FFFFFF"/>
        </w:rPr>
        <w:t xml:space="preserve">pháp </w:t>
      </w:r>
      <w:r w:rsidRPr="001269C7">
        <w:rPr>
          <w:rFonts w:ascii="Arial" w:hAnsi="Arial" w:cs="Arial"/>
          <w:i/>
          <w:iCs/>
          <w:color w:val="000000"/>
          <w:sz w:val="20"/>
          <w:szCs w:val="20"/>
          <w:shd w:val="clear" w:color="auto" w:fill="FFFFFF"/>
        </w:rPr>
        <w:t>luật</w:t>
      </w:r>
      <w:r w:rsidR="00F30527" w:rsidRPr="001269C7">
        <w:rPr>
          <w:rFonts w:ascii="Arial" w:hAnsi="Arial" w:cs="Arial"/>
          <w:i/>
          <w:iCs/>
          <w:color w:val="000000"/>
          <w:sz w:val="20"/>
          <w:szCs w:val="20"/>
          <w:shd w:val="clear" w:color="auto" w:fill="FFFFFF"/>
        </w:rPr>
        <w:t xml:space="preserve"> về bảo hộ</w:t>
      </w:r>
      <w:r w:rsidRPr="001269C7">
        <w:rPr>
          <w:rFonts w:ascii="Arial" w:hAnsi="Arial" w:cs="Arial"/>
          <w:i/>
          <w:iCs/>
          <w:color w:val="000000"/>
          <w:sz w:val="20"/>
          <w:szCs w:val="20"/>
          <w:shd w:val="clear" w:color="auto" w:fill="FFFFFF"/>
        </w:rPr>
        <w:t xml:space="preserve"> </w:t>
      </w:r>
      <w:r w:rsidR="00F30527" w:rsidRPr="001269C7">
        <w:rPr>
          <w:rFonts w:ascii="Arial" w:hAnsi="Arial" w:cs="Arial"/>
          <w:i/>
          <w:iCs/>
          <w:color w:val="000000"/>
          <w:sz w:val="20"/>
          <w:szCs w:val="20"/>
          <w:shd w:val="clear" w:color="auto" w:fill="FFFFFF"/>
        </w:rPr>
        <w:t>quyền SHTT. Việc nộp đơn đăng ký nhãn hiệu</w:t>
      </w:r>
      <w:r w:rsidR="001B25F1">
        <w:rPr>
          <w:rFonts w:ascii="Arial" w:hAnsi="Arial" w:cs="Arial"/>
          <w:i/>
          <w:iCs/>
          <w:color w:val="000000"/>
          <w:sz w:val="20"/>
          <w:szCs w:val="20"/>
          <w:shd w:val="clear" w:color="auto" w:fill="FFFFFF"/>
        </w:rPr>
        <w:t xml:space="preserve"> với</w:t>
      </w:r>
      <w:r w:rsidR="00F30527" w:rsidRPr="001269C7">
        <w:rPr>
          <w:rFonts w:ascii="Arial" w:hAnsi="Arial" w:cs="Arial"/>
          <w:i/>
          <w:iCs/>
          <w:color w:val="000000"/>
          <w:sz w:val="20"/>
          <w:szCs w:val="20"/>
          <w:shd w:val="clear" w:color="auto" w:fill="FFFFFF"/>
        </w:rPr>
        <w:t xml:space="preserve"> </w:t>
      </w:r>
      <w:r w:rsidR="004E06A4" w:rsidRPr="001269C7">
        <w:rPr>
          <w:rFonts w:ascii="Arial" w:hAnsi="Arial" w:cs="Arial"/>
          <w:i/>
          <w:iCs/>
          <w:color w:val="000000"/>
          <w:sz w:val="20"/>
          <w:szCs w:val="20"/>
          <w:shd w:val="clear" w:color="auto" w:fill="FFFFFF"/>
        </w:rPr>
        <w:t>động cơ nêu trên</w:t>
      </w:r>
      <w:r w:rsidR="00F30527" w:rsidRPr="001269C7">
        <w:rPr>
          <w:rFonts w:ascii="Arial" w:hAnsi="Arial" w:cs="Arial"/>
          <w:i/>
          <w:iCs/>
          <w:color w:val="000000"/>
          <w:sz w:val="20"/>
          <w:szCs w:val="20"/>
          <w:shd w:val="clear" w:color="auto" w:fill="FFFFFF"/>
        </w:rPr>
        <w:t xml:space="preserve"> bị coi là có “dụng ý xấu”. </w:t>
      </w:r>
    </w:p>
    <w:p w14:paraId="2EFF076F" w14:textId="08CCFF60" w:rsidR="001269C7" w:rsidRDefault="001269C7" w:rsidP="001269C7">
      <w:pPr>
        <w:spacing w:after="0" w:line="240" w:lineRule="auto"/>
        <w:jc w:val="both"/>
        <w:rPr>
          <w:rFonts w:ascii="Arial" w:hAnsi="Arial" w:cs="Arial"/>
          <w:color w:val="000000"/>
          <w:sz w:val="20"/>
          <w:szCs w:val="20"/>
          <w:shd w:val="clear" w:color="auto" w:fill="FFFFFF"/>
        </w:rPr>
      </w:pPr>
    </w:p>
    <w:p w14:paraId="3B6DB561" w14:textId="76F2CD8F" w:rsidR="001269C7" w:rsidRDefault="001269C7" w:rsidP="00D05B74">
      <w:pPr>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KENFOX IP &amp; Law Office cung cấp các phân tích</w:t>
      </w:r>
      <w:r w:rsidR="00D05B74">
        <w:rPr>
          <w:rFonts w:ascii="Arial" w:hAnsi="Arial" w:cs="Arial"/>
          <w:color w:val="000000"/>
          <w:sz w:val="20"/>
          <w:szCs w:val="20"/>
          <w:shd w:val="clear" w:color="auto" w:fill="FFFFFF"/>
        </w:rPr>
        <w:t xml:space="preserve"> chi tiết</w:t>
      </w:r>
      <w:r>
        <w:rPr>
          <w:rFonts w:ascii="Arial" w:hAnsi="Arial" w:cs="Arial"/>
          <w:color w:val="000000"/>
          <w:sz w:val="20"/>
          <w:szCs w:val="20"/>
          <w:shd w:val="clear" w:color="auto" w:fill="FFFFFF"/>
        </w:rPr>
        <w:t xml:space="preserve"> về các quy định xung quanh vấn đề “dụng ý xấu” tại </w:t>
      </w:r>
      <w:r w:rsidRPr="001F4D5E">
        <w:rPr>
          <w:rFonts w:ascii="Arial" w:hAnsi="Arial" w:cs="Arial"/>
          <w:color w:val="000000"/>
          <w:sz w:val="20"/>
          <w:szCs w:val="20"/>
          <w:shd w:val="clear" w:color="auto" w:fill="FFFFFF"/>
        </w:rPr>
        <w:t>Điều 34.2 Thông tư 23/2023/TT-BKHCN</w:t>
      </w:r>
      <w:r>
        <w:rPr>
          <w:rFonts w:ascii="Arial" w:hAnsi="Arial" w:cs="Arial"/>
          <w:color w:val="000000"/>
          <w:sz w:val="20"/>
          <w:szCs w:val="20"/>
          <w:shd w:val="clear" w:color="auto" w:fill="FFFFFF"/>
        </w:rPr>
        <w:t xml:space="preserve"> để chủ sở hữu nhãn hiệu đích thực </w:t>
      </w:r>
      <w:r w:rsidR="00D05B74" w:rsidRPr="00D05B74">
        <w:rPr>
          <w:rFonts w:ascii="Arial" w:hAnsi="Arial" w:cs="Arial"/>
          <w:color w:val="000000"/>
          <w:sz w:val="20"/>
          <w:szCs w:val="20"/>
          <w:shd w:val="clear" w:color="auto" w:fill="FFFFFF"/>
        </w:rPr>
        <w:t>hiểu rõ hơn về cách thức bảo vệ và đòi lại quyền nhãn hiệu của mình</w:t>
      </w:r>
      <w:r>
        <w:rPr>
          <w:rFonts w:ascii="Arial" w:hAnsi="Arial" w:cs="Arial"/>
          <w:color w:val="000000"/>
          <w:sz w:val="20"/>
          <w:szCs w:val="20"/>
          <w:shd w:val="clear" w:color="auto" w:fill="FFFFFF"/>
        </w:rPr>
        <w:t xml:space="preserve"> khi bị bên thứ ba đăng ký với </w:t>
      </w:r>
      <w:r w:rsidR="00D05B74">
        <w:rPr>
          <w:rFonts w:ascii="Arial" w:hAnsi="Arial" w:cs="Arial"/>
          <w:color w:val="000000"/>
          <w:sz w:val="20"/>
          <w:szCs w:val="20"/>
          <w:shd w:val="clear" w:color="auto" w:fill="FFFFFF"/>
        </w:rPr>
        <w:t>“</w:t>
      </w:r>
      <w:hyperlink r:id="rId5" w:history="1">
        <w:r w:rsidRPr="00955AC3">
          <w:rPr>
            <w:rStyle w:val="Hyperlink"/>
            <w:rFonts w:ascii="Arial" w:hAnsi="Arial" w:cs="Arial"/>
            <w:sz w:val="20"/>
            <w:szCs w:val="20"/>
            <w:shd w:val="clear" w:color="auto" w:fill="FFFFFF"/>
          </w:rPr>
          <w:t>dụng ý xấu</w:t>
        </w:r>
      </w:hyperlink>
      <w:bookmarkStart w:id="0" w:name="_GoBack"/>
      <w:bookmarkEnd w:id="0"/>
      <w:r w:rsidR="00D05B74">
        <w:rPr>
          <w:rFonts w:ascii="Arial" w:hAnsi="Arial" w:cs="Arial"/>
          <w:color w:val="000000"/>
          <w:sz w:val="20"/>
          <w:szCs w:val="20"/>
          <w:shd w:val="clear" w:color="auto" w:fill="FFFFFF"/>
        </w:rPr>
        <w:t>”</w:t>
      </w:r>
      <w:r>
        <w:rPr>
          <w:rFonts w:ascii="Arial" w:hAnsi="Arial" w:cs="Arial"/>
          <w:color w:val="000000"/>
          <w:sz w:val="20"/>
          <w:szCs w:val="20"/>
          <w:shd w:val="clear" w:color="auto" w:fill="FFFFFF"/>
        </w:rPr>
        <w:t>.</w:t>
      </w:r>
    </w:p>
    <w:p w14:paraId="63DCC871" w14:textId="77777777" w:rsidR="001F4D5E" w:rsidRPr="001F4D5E" w:rsidRDefault="001F4D5E" w:rsidP="001269C7">
      <w:pPr>
        <w:spacing w:after="0" w:line="240" w:lineRule="auto"/>
        <w:jc w:val="both"/>
        <w:rPr>
          <w:rFonts w:ascii="Arial" w:hAnsi="Arial" w:cs="Arial"/>
          <w:color w:val="000000"/>
          <w:sz w:val="20"/>
          <w:szCs w:val="20"/>
          <w:shd w:val="clear" w:color="auto" w:fill="FFFFFF"/>
        </w:rPr>
      </w:pPr>
    </w:p>
    <w:p w14:paraId="06C526FC" w14:textId="342B632F" w:rsidR="00233B02" w:rsidRPr="001269C7" w:rsidRDefault="00425F1D" w:rsidP="001269C7">
      <w:pPr>
        <w:spacing w:after="0" w:line="240" w:lineRule="auto"/>
        <w:jc w:val="both"/>
        <w:rPr>
          <w:rFonts w:ascii="Arial" w:hAnsi="Arial" w:cs="Arial"/>
          <w:b/>
          <w:bCs/>
          <w:color w:val="2F5496" w:themeColor="accent1" w:themeShade="BF"/>
          <w:shd w:val="clear" w:color="auto" w:fill="FFFFFF"/>
        </w:rPr>
      </w:pPr>
      <w:r w:rsidRPr="001269C7">
        <w:rPr>
          <w:rFonts w:ascii="Arial" w:hAnsi="Arial" w:cs="Arial"/>
          <w:b/>
          <w:bCs/>
          <w:color w:val="2F5496" w:themeColor="accent1" w:themeShade="BF"/>
          <w:shd w:val="clear" w:color="auto" w:fill="FFFFFF"/>
        </w:rPr>
        <w:t xml:space="preserve">1. </w:t>
      </w:r>
      <w:r w:rsidR="00233B02" w:rsidRPr="001269C7">
        <w:rPr>
          <w:rFonts w:ascii="Arial" w:hAnsi="Arial" w:cs="Arial"/>
          <w:b/>
          <w:bCs/>
          <w:color w:val="2F5496" w:themeColor="accent1" w:themeShade="BF"/>
          <w:shd w:val="clear" w:color="auto" w:fill="FFFFFF"/>
        </w:rPr>
        <w:t>Cơ sở pháp lý: Được quy định ở đâu</w:t>
      </w:r>
      <w:r w:rsidR="00FB3B36" w:rsidRPr="001269C7">
        <w:rPr>
          <w:rFonts w:ascii="Arial" w:hAnsi="Arial" w:cs="Arial"/>
          <w:b/>
          <w:bCs/>
          <w:color w:val="2F5496" w:themeColor="accent1" w:themeShade="BF"/>
          <w:shd w:val="clear" w:color="auto" w:fill="FFFFFF"/>
        </w:rPr>
        <w:t>?</w:t>
      </w:r>
    </w:p>
    <w:p w14:paraId="0554D718" w14:textId="77777777" w:rsidR="001F4D5E" w:rsidRDefault="001F4D5E" w:rsidP="001269C7">
      <w:pPr>
        <w:spacing w:after="0" w:line="240" w:lineRule="auto"/>
        <w:jc w:val="both"/>
        <w:rPr>
          <w:rFonts w:ascii="Arial" w:hAnsi="Arial" w:cs="Arial"/>
          <w:color w:val="000000"/>
          <w:sz w:val="20"/>
          <w:szCs w:val="20"/>
          <w:shd w:val="clear" w:color="auto" w:fill="FFFFFF"/>
        </w:rPr>
      </w:pPr>
    </w:p>
    <w:p w14:paraId="3F273D22" w14:textId="0D12732F" w:rsidR="00C33423" w:rsidRDefault="004D3848" w:rsidP="001269C7">
      <w:pPr>
        <w:spacing w:after="0" w:line="240" w:lineRule="auto"/>
        <w:jc w:val="both"/>
        <w:rPr>
          <w:rFonts w:ascii="Arial" w:hAnsi="Arial" w:cs="Arial"/>
          <w:color w:val="000000"/>
          <w:sz w:val="20"/>
          <w:szCs w:val="20"/>
          <w:shd w:val="clear" w:color="auto" w:fill="FFFFFF"/>
        </w:rPr>
      </w:pPr>
      <w:r w:rsidRPr="001F4D5E">
        <w:rPr>
          <w:rFonts w:ascii="Arial" w:hAnsi="Arial" w:cs="Arial"/>
          <w:color w:val="000000"/>
          <w:sz w:val="20"/>
          <w:szCs w:val="20"/>
          <w:shd w:val="clear" w:color="auto" w:fill="FFFFFF"/>
        </w:rPr>
        <w:t xml:space="preserve">Quy định về “dụng ý xấu” </w:t>
      </w:r>
      <w:r w:rsidR="00F2696A" w:rsidRPr="001F4D5E">
        <w:rPr>
          <w:rFonts w:ascii="Arial" w:hAnsi="Arial" w:cs="Arial"/>
          <w:color w:val="000000"/>
          <w:sz w:val="20"/>
          <w:szCs w:val="20"/>
          <w:shd w:val="clear" w:color="auto" w:fill="FFFFFF"/>
        </w:rPr>
        <w:t>là cơ sở pháp lý quan trọng để từ chối bảo hộ nhãn hiệu xin đăng ký, phản đối ký nhãn</w:t>
      </w:r>
      <w:r w:rsidR="001B7510" w:rsidRPr="001F4D5E">
        <w:rPr>
          <w:rFonts w:ascii="Arial" w:hAnsi="Arial" w:cs="Arial"/>
          <w:color w:val="000000"/>
          <w:sz w:val="20"/>
          <w:szCs w:val="20"/>
          <w:shd w:val="clear" w:color="auto" w:fill="FFFFFF"/>
        </w:rPr>
        <w:t xml:space="preserve"> hiệu</w:t>
      </w:r>
      <w:r w:rsidR="00F2696A" w:rsidRPr="001F4D5E">
        <w:rPr>
          <w:rFonts w:ascii="Arial" w:hAnsi="Arial" w:cs="Arial"/>
          <w:color w:val="000000"/>
          <w:sz w:val="20"/>
          <w:szCs w:val="20"/>
          <w:shd w:val="clear" w:color="auto" w:fill="FFFFFF"/>
        </w:rPr>
        <w:t xml:space="preserve"> đang được thẩm định</w:t>
      </w:r>
      <w:r w:rsidR="00D05B74">
        <w:rPr>
          <w:rFonts w:ascii="Arial" w:hAnsi="Arial" w:cs="Arial"/>
          <w:color w:val="000000"/>
          <w:sz w:val="20"/>
          <w:szCs w:val="20"/>
          <w:shd w:val="clear" w:color="auto" w:fill="FFFFFF"/>
        </w:rPr>
        <w:t>,</w:t>
      </w:r>
      <w:r w:rsidR="00F2696A" w:rsidRPr="001F4D5E">
        <w:rPr>
          <w:rFonts w:ascii="Arial" w:hAnsi="Arial" w:cs="Arial"/>
          <w:color w:val="000000"/>
          <w:sz w:val="20"/>
          <w:szCs w:val="20"/>
          <w:shd w:val="clear" w:color="auto" w:fill="FFFFFF"/>
        </w:rPr>
        <w:t xml:space="preserve"> hoặc hủy bỏ hiệu lực nhãn hiệu</w:t>
      </w:r>
      <w:r w:rsidR="001B7510" w:rsidRPr="001F4D5E">
        <w:rPr>
          <w:rFonts w:ascii="Arial" w:hAnsi="Arial" w:cs="Arial"/>
          <w:color w:val="000000"/>
          <w:sz w:val="20"/>
          <w:szCs w:val="20"/>
          <w:shd w:val="clear" w:color="auto" w:fill="FFFFFF"/>
        </w:rPr>
        <w:t xml:space="preserve"> đã đăng ký</w:t>
      </w:r>
      <w:r w:rsidR="007D1E31" w:rsidRPr="001F4D5E">
        <w:rPr>
          <w:rFonts w:ascii="Arial" w:hAnsi="Arial" w:cs="Arial"/>
          <w:color w:val="000000"/>
          <w:sz w:val="20"/>
          <w:szCs w:val="20"/>
          <w:shd w:val="clear" w:color="auto" w:fill="FFFFFF"/>
        </w:rPr>
        <w:t xml:space="preserve"> tại Việt Nam</w:t>
      </w:r>
      <w:r w:rsidR="001B7510" w:rsidRPr="001F4D5E">
        <w:rPr>
          <w:rFonts w:ascii="Arial" w:hAnsi="Arial" w:cs="Arial"/>
          <w:color w:val="000000"/>
          <w:sz w:val="20"/>
          <w:szCs w:val="20"/>
          <w:shd w:val="clear" w:color="auto" w:fill="FFFFFF"/>
        </w:rPr>
        <w:t xml:space="preserve">. </w:t>
      </w:r>
      <w:r w:rsidR="007D1E31" w:rsidRPr="001F4D5E">
        <w:rPr>
          <w:rFonts w:ascii="Arial" w:hAnsi="Arial" w:cs="Arial"/>
          <w:color w:val="000000"/>
          <w:sz w:val="20"/>
          <w:szCs w:val="20"/>
          <w:shd w:val="clear" w:color="auto" w:fill="FFFFFF"/>
        </w:rPr>
        <w:t>Cụ thể, “</w:t>
      </w:r>
      <w:r w:rsidR="00C33423">
        <w:rPr>
          <w:rFonts w:ascii="Arial" w:hAnsi="Arial" w:cs="Arial"/>
          <w:b/>
          <w:bCs/>
          <w:color w:val="000000"/>
          <w:sz w:val="20"/>
          <w:szCs w:val="20"/>
          <w:shd w:val="clear" w:color="auto" w:fill="FFFFFF"/>
        </w:rPr>
        <w:t>d</w:t>
      </w:r>
      <w:r w:rsidR="007D1E31" w:rsidRPr="001269C7">
        <w:rPr>
          <w:rFonts w:ascii="Arial" w:hAnsi="Arial" w:cs="Arial"/>
          <w:b/>
          <w:bCs/>
          <w:color w:val="000000"/>
          <w:sz w:val="20"/>
          <w:szCs w:val="20"/>
          <w:shd w:val="clear" w:color="auto" w:fill="FFFFFF"/>
        </w:rPr>
        <w:t>ụng ý xấu</w:t>
      </w:r>
      <w:r w:rsidR="007D1E31" w:rsidRPr="001F4D5E">
        <w:rPr>
          <w:rFonts w:ascii="Arial" w:hAnsi="Arial" w:cs="Arial"/>
          <w:color w:val="000000"/>
          <w:sz w:val="20"/>
          <w:szCs w:val="20"/>
          <w:shd w:val="clear" w:color="auto" w:fill="FFFFFF"/>
        </w:rPr>
        <w:t xml:space="preserve">” là căn cứ pháp lý lần đầu tiên được đưa vào Điều 117.1(b) và Điều 96.1(a) Luật </w:t>
      </w:r>
      <w:r w:rsidR="001269C7">
        <w:rPr>
          <w:rFonts w:ascii="Arial" w:hAnsi="Arial" w:cs="Arial"/>
          <w:color w:val="000000"/>
          <w:sz w:val="20"/>
          <w:szCs w:val="20"/>
          <w:shd w:val="clear" w:color="auto" w:fill="FFFFFF"/>
        </w:rPr>
        <w:t>SHTT</w:t>
      </w:r>
      <w:r w:rsidR="007D1E31" w:rsidRPr="001F4D5E">
        <w:rPr>
          <w:rFonts w:ascii="Arial" w:hAnsi="Arial" w:cs="Arial"/>
          <w:color w:val="000000"/>
          <w:sz w:val="20"/>
          <w:szCs w:val="20"/>
          <w:shd w:val="clear" w:color="auto" w:fill="FFFFFF"/>
        </w:rPr>
        <w:t xml:space="preserve"> sửa đổi năm 2022. Theo đó</w:t>
      </w:r>
      <w:r w:rsidR="00C33423">
        <w:rPr>
          <w:rFonts w:ascii="Arial" w:hAnsi="Arial" w:cs="Arial"/>
          <w:color w:val="000000"/>
          <w:sz w:val="20"/>
          <w:szCs w:val="20"/>
          <w:shd w:val="clear" w:color="auto" w:fill="FFFFFF"/>
        </w:rPr>
        <w:t>:</w:t>
      </w:r>
    </w:p>
    <w:p w14:paraId="487C5F04" w14:textId="77777777" w:rsidR="00C33423" w:rsidRDefault="00C33423" w:rsidP="001269C7">
      <w:pPr>
        <w:spacing w:after="0" w:line="240" w:lineRule="auto"/>
        <w:jc w:val="both"/>
        <w:rPr>
          <w:rFonts w:ascii="Arial" w:hAnsi="Arial" w:cs="Arial"/>
          <w:color w:val="000000"/>
          <w:sz w:val="20"/>
          <w:szCs w:val="20"/>
          <w:shd w:val="clear" w:color="auto" w:fill="FFFFFF"/>
        </w:rPr>
      </w:pPr>
    </w:p>
    <w:p w14:paraId="3DDC6495" w14:textId="2C8CDCD7" w:rsidR="00C33423" w:rsidRPr="00C33423" w:rsidRDefault="00C33423" w:rsidP="00C33423">
      <w:pPr>
        <w:pStyle w:val="ListParagraph"/>
        <w:numPr>
          <w:ilvl w:val="0"/>
          <w:numId w:val="6"/>
        </w:numPr>
        <w:spacing w:after="0" w:line="240" w:lineRule="auto"/>
        <w:ind w:left="360"/>
        <w:jc w:val="both"/>
        <w:rPr>
          <w:rFonts w:ascii="Arial" w:hAnsi="Arial" w:cs="Arial"/>
          <w:sz w:val="20"/>
          <w:szCs w:val="20"/>
        </w:rPr>
      </w:pPr>
      <w:r w:rsidRPr="00C33423">
        <w:rPr>
          <w:rFonts w:ascii="Arial" w:hAnsi="Arial" w:cs="Arial"/>
          <w:color w:val="000000"/>
          <w:sz w:val="20"/>
          <w:szCs w:val="20"/>
          <w:shd w:val="clear" w:color="auto" w:fill="FFFFFF"/>
        </w:rPr>
        <w:t>B</w:t>
      </w:r>
      <w:r w:rsidR="007D1E31" w:rsidRPr="00C33423">
        <w:rPr>
          <w:rFonts w:ascii="Arial" w:hAnsi="Arial" w:cs="Arial"/>
          <w:color w:val="000000"/>
          <w:sz w:val="20"/>
          <w:szCs w:val="20"/>
          <w:shd w:val="clear" w:color="auto" w:fill="FFFFFF"/>
        </w:rPr>
        <w:t xml:space="preserve">ất kỳ tổ chức, cá nhân nào cũng có quyền yêu cầu </w:t>
      </w:r>
      <w:r w:rsidR="007D1E31" w:rsidRPr="00C33423">
        <w:rPr>
          <w:rFonts w:ascii="Arial" w:hAnsi="Arial" w:cs="Arial"/>
          <w:sz w:val="20"/>
          <w:szCs w:val="20"/>
        </w:rPr>
        <w:t xml:space="preserve">Cục SHTT từ chối cấp Văn bằng bảo hộ cho sáng chế, kiểu dáng công nghiệp, nhãn hiệu, chỉ dẫn địa lý </w:t>
      </w:r>
      <w:r w:rsidR="00233B02" w:rsidRPr="00C33423">
        <w:rPr>
          <w:rFonts w:ascii="Arial" w:hAnsi="Arial" w:cs="Arial"/>
          <w:sz w:val="20"/>
          <w:szCs w:val="20"/>
        </w:rPr>
        <w:t>thông qua thủ tục “</w:t>
      </w:r>
      <w:hyperlink r:id="rId6" w:history="1">
        <w:r w:rsidR="00233B02" w:rsidRPr="00D44F2C">
          <w:rPr>
            <w:rStyle w:val="Hyperlink"/>
            <w:rFonts w:ascii="Arial" w:hAnsi="Arial" w:cs="Arial"/>
            <w:b/>
            <w:bCs/>
            <w:sz w:val="20"/>
            <w:szCs w:val="20"/>
          </w:rPr>
          <w:t>phản đối</w:t>
        </w:r>
      </w:hyperlink>
      <w:r w:rsidR="00233B02" w:rsidRPr="00C33423">
        <w:rPr>
          <w:rFonts w:ascii="Arial" w:hAnsi="Arial" w:cs="Arial"/>
          <w:sz w:val="20"/>
          <w:szCs w:val="20"/>
        </w:rPr>
        <w:t>” hoặc “</w:t>
      </w:r>
      <w:hyperlink r:id="rId7" w:history="1">
        <w:r w:rsidR="00233B02" w:rsidRPr="00D44F2C">
          <w:rPr>
            <w:rStyle w:val="Hyperlink"/>
            <w:rFonts w:ascii="Arial" w:hAnsi="Arial" w:cs="Arial"/>
            <w:b/>
            <w:bCs/>
            <w:sz w:val="20"/>
            <w:szCs w:val="20"/>
          </w:rPr>
          <w:t>ý kiến của người thứ ba</w:t>
        </w:r>
      </w:hyperlink>
      <w:r w:rsidR="00233B02" w:rsidRPr="00C33423">
        <w:rPr>
          <w:rFonts w:ascii="Arial" w:hAnsi="Arial" w:cs="Arial"/>
          <w:sz w:val="20"/>
          <w:szCs w:val="20"/>
        </w:rPr>
        <w:t xml:space="preserve">” </w:t>
      </w:r>
      <w:r w:rsidR="007D1E31" w:rsidRPr="00C33423">
        <w:rPr>
          <w:rFonts w:ascii="Arial" w:hAnsi="Arial" w:cs="Arial"/>
          <w:sz w:val="20"/>
          <w:szCs w:val="20"/>
        </w:rPr>
        <w:t xml:space="preserve">nếu có cơ sở để khẳng định rằng người nộp đơn đăng ký nhãn hiệu với dụng ý xấu (Điều 117.1(b)). </w:t>
      </w:r>
    </w:p>
    <w:p w14:paraId="12EA9FC1" w14:textId="77777777" w:rsidR="00C33423" w:rsidRDefault="00C33423" w:rsidP="00C33423">
      <w:pPr>
        <w:spacing w:after="0" w:line="240" w:lineRule="auto"/>
        <w:ind w:left="360" w:hanging="360"/>
        <w:jc w:val="both"/>
        <w:rPr>
          <w:rFonts w:ascii="Arial" w:hAnsi="Arial" w:cs="Arial"/>
          <w:sz w:val="20"/>
          <w:szCs w:val="20"/>
        </w:rPr>
      </w:pPr>
    </w:p>
    <w:p w14:paraId="1DEEC804" w14:textId="5CDB8A78" w:rsidR="00FB3B36" w:rsidRPr="00C33423" w:rsidRDefault="007D1E31" w:rsidP="00C33423">
      <w:pPr>
        <w:pStyle w:val="ListParagraph"/>
        <w:numPr>
          <w:ilvl w:val="0"/>
          <w:numId w:val="6"/>
        </w:numPr>
        <w:spacing w:after="0" w:line="240" w:lineRule="auto"/>
        <w:ind w:left="360"/>
        <w:jc w:val="both"/>
        <w:rPr>
          <w:rFonts w:ascii="Arial" w:hAnsi="Arial" w:cs="Arial"/>
          <w:color w:val="000000"/>
          <w:sz w:val="20"/>
          <w:szCs w:val="20"/>
          <w:shd w:val="clear" w:color="auto" w:fill="FFFFFF"/>
        </w:rPr>
      </w:pPr>
      <w:r w:rsidRPr="00C33423">
        <w:rPr>
          <w:rFonts w:ascii="Arial" w:hAnsi="Arial" w:cs="Arial"/>
          <w:sz w:val="20"/>
          <w:szCs w:val="20"/>
        </w:rPr>
        <w:t>Kể cả khi các đối tượng SHCN đó đã được cấp Văn bằng bảo hộ, chủ thể quyền SHTT đích thực vẫn còn cơ hội để thách thức hiệu lực thông qua thủ tục “</w:t>
      </w:r>
      <w:hyperlink r:id="rId8" w:history="1">
        <w:r w:rsidRPr="000C198B">
          <w:rPr>
            <w:rStyle w:val="Hyperlink"/>
            <w:rFonts w:ascii="Arial" w:hAnsi="Arial" w:cs="Arial"/>
            <w:b/>
            <w:bCs/>
            <w:sz w:val="20"/>
            <w:szCs w:val="20"/>
          </w:rPr>
          <w:t>hủy bỏ hiệu lực</w:t>
        </w:r>
      </w:hyperlink>
      <w:r w:rsidRPr="00C33423">
        <w:rPr>
          <w:rFonts w:ascii="Arial" w:hAnsi="Arial" w:cs="Arial"/>
          <w:sz w:val="20"/>
          <w:szCs w:val="20"/>
        </w:rPr>
        <w:t xml:space="preserve">” </w:t>
      </w:r>
      <w:r w:rsidR="00425F1D" w:rsidRPr="00C33423">
        <w:rPr>
          <w:rFonts w:ascii="Arial" w:hAnsi="Arial" w:cs="Arial"/>
          <w:sz w:val="20"/>
          <w:szCs w:val="20"/>
        </w:rPr>
        <w:t>(</w:t>
      </w:r>
      <w:r w:rsidRPr="00C33423">
        <w:rPr>
          <w:rFonts w:ascii="Arial" w:hAnsi="Arial" w:cs="Arial"/>
          <w:color w:val="000000"/>
          <w:sz w:val="20"/>
          <w:szCs w:val="20"/>
          <w:shd w:val="clear" w:color="auto" w:fill="FFFFFF"/>
        </w:rPr>
        <w:t>Điều 96.1(a)</w:t>
      </w:r>
      <w:r w:rsidR="00425F1D" w:rsidRPr="00C33423">
        <w:rPr>
          <w:rFonts w:ascii="Arial" w:hAnsi="Arial" w:cs="Arial"/>
          <w:color w:val="000000"/>
          <w:sz w:val="20"/>
          <w:szCs w:val="20"/>
          <w:shd w:val="clear" w:color="auto" w:fill="FFFFFF"/>
        </w:rPr>
        <w:t>)</w:t>
      </w:r>
      <w:r w:rsidRPr="00C33423">
        <w:rPr>
          <w:rFonts w:ascii="Arial" w:hAnsi="Arial" w:cs="Arial"/>
          <w:color w:val="000000"/>
          <w:sz w:val="20"/>
          <w:szCs w:val="20"/>
          <w:shd w:val="clear" w:color="auto" w:fill="FFFFFF"/>
        </w:rPr>
        <w:t xml:space="preserve">. </w:t>
      </w:r>
    </w:p>
    <w:p w14:paraId="1474F3CC" w14:textId="77777777" w:rsidR="001F4D5E" w:rsidRPr="001F4D5E" w:rsidRDefault="001F4D5E" w:rsidP="001269C7">
      <w:pPr>
        <w:spacing w:after="0" w:line="240" w:lineRule="auto"/>
        <w:jc w:val="both"/>
        <w:rPr>
          <w:rFonts w:ascii="Arial" w:hAnsi="Arial" w:cs="Arial"/>
          <w:color w:val="000000"/>
          <w:sz w:val="20"/>
          <w:szCs w:val="20"/>
          <w:shd w:val="clear" w:color="auto" w:fill="FFFFFF"/>
        </w:rPr>
      </w:pPr>
    </w:p>
    <w:p w14:paraId="6AD79B7A" w14:textId="7407D3F5" w:rsidR="00FB3B36" w:rsidRPr="001269C7" w:rsidRDefault="00425F1D" w:rsidP="001269C7">
      <w:pPr>
        <w:spacing w:after="0" w:line="240" w:lineRule="auto"/>
        <w:jc w:val="both"/>
        <w:rPr>
          <w:rFonts w:ascii="Arial" w:hAnsi="Arial" w:cs="Arial"/>
          <w:b/>
          <w:bCs/>
          <w:color w:val="2F5496" w:themeColor="accent1" w:themeShade="BF"/>
          <w:shd w:val="clear" w:color="auto" w:fill="FFFFFF"/>
        </w:rPr>
      </w:pPr>
      <w:r w:rsidRPr="001269C7">
        <w:rPr>
          <w:rFonts w:ascii="Arial" w:hAnsi="Arial" w:cs="Arial"/>
          <w:b/>
          <w:bCs/>
          <w:color w:val="2F5496" w:themeColor="accent1" w:themeShade="BF"/>
          <w:shd w:val="clear" w:color="auto" w:fill="FFFFFF"/>
        </w:rPr>
        <w:t xml:space="preserve">2. </w:t>
      </w:r>
      <w:r w:rsidR="00FB3B36" w:rsidRPr="001269C7">
        <w:rPr>
          <w:rFonts w:ascii="Arial" w:hAnsi="Arial" w:cs="Arial"/>
          <w:b/>
          <w:bCs/>
          <w:color w:val="2F5496" w:themeColor="accent1" w:themeShade="BF"/>
          <w:shd w:val="clear" w:color="auto" w:fill="FFFFFF"/>
        </w:rPr>
        <w:t>Tài liệu cần cung cấp: Là gì?</w:t>
      </w:r>
    </w:p>
    <w:p w14:paraId="1E77D872" w14:textId="77777777" w:rsidR="001F4D5E" w:rsidRDefault="001F4D5E" w:rsidP="001269C7">
      <w:pPr>
        <w:spacing w:after="0" w:line="240" w:lineRule="auto"/>
        <w:jc w:val="both"/>
        <w:rPr>
          <w:rFonts w:ascii="Arial" w:hAnsi="Arial" w:cs="Arial"/>
          <w:color w:val="000000"/>
          <w:sz w:val="20"/>
          <w:szCs w:val="20"/>
          <w:shd w:val="clear" w:color="auto" w:fill="FFFFFF"/>
        </w:rPr>
      </w:pPr>
    </w:p>
    <w:p w14:paraId="1BA1B71C" w14:textId="6F36F5BD" w:rsidR="00FB3B36" w:rsidRDefault="00233B02" w:rsidP="001269C7">
      <w:pPr>
        <w:spacing w:after="0" w:line="240" w:lineRule="auto"/>
        <w:jc w:val="both"/>
        <w:rPr>
          <w:rFonts w:ascii="Arial" w:hAnsi="Arial" w:cs="Arial"/>
          <w:color w:val="000000"/>
          <w:sz w:val="20"/>
          <w:szCs w:val="20"/>
          <w:shd w:val="clear" w:color="auto" w:fill="FFFFFF"/>
        </w:rPr>
      </w:pPr>
      <w:r w:rsidRPr="001F4D5E">
        <w:rPr>
          <w:rFonts w:ascii="Arial" w:hAnsi="Arial" w:cs="Arial"/>
          <w:color w:val="000000"/>
          <w:sz w:val="20"/>
          <w:szCs w:val="20"/>
          <w:shd w:val="clear" w:color="auto" w:fill="FFFFFF"/>
        </w:rPr>
        <w:t xml:space="preserve">Khi phát hiện việc bên thứ ba nộp đơn </w:t>
      </w:r>
      <w:r w:rsidR="00FB3B36" w:rsidRPr="001F4D5E">
        <w:rPr>
          <w:rFonts w:ascii="Arial" w:hAnsi="Arial" w:cs="Arial"/>
          <w:color w:val="000000"/>
          <w:sz w:val="20"/>
          <w:szCs w:val="20"/>
          <w:shd w:val="clear" w:color="auto" w:fill="FFFFFF"/>
        </w:rPr>
        <w:t>đăng ký các đối tượng SHCN với dụng ý xấu, chủ thể quyền SHTT đích thực cần cung cấp các tài liệu, bằng chứng quy định tại Điều 34.2 Thông tư 23/2023/TT-BKHCN. Cụ thể, các tài liệu</w:t>
      </w:r>
      <w:r w:rsidR="00425F1D" w:rsidRPr="001F4D5E">
        <w:rPr>
          <w:rFonts w:ascii="Arial" w:hAnsi="Arial" w:cs="Arial"/>
          <w:color w:val="000000"/>
          <w:sz w:val="20"/>
          <w:szCs w:val="20"/>
          <w:shd w:val="clear" w:color="auto" w:fill="FFFFFF"/>
        </w:rPr>
        <w:t>, thông tin</w:t>
      </w:r>
      <w:r w:rsidR="00FB3B36" w:rsidRPr="001F4D5E">
        <w:rPr>
          <w:rFonts w:ascii="Arial" w:hAnsi="Arial" w:cs="Arial"/>
          <w:color w:val="000000"/>
          <w:sz w:val="20"/>
          <w:szCs w:val="20"/>
          <w:shd w:val="clear" w:color="auto" w:fill="FFFFFF"/>
        </w:rPr>
        <w:t xml:space="preserve"> sau đây cần cung cấp trong đơn phản đối hoặc đề nghị hủy bỏ hiệu lực:</w:t>
      </w:r>
    </w:p>
    <w:p w14:paraId="2A7E4135" w14:textId="4898574F" w:rsidR="00D05B74" w:rsidRDefault="00D05B74" w:rsidP="001269C7">
      <w:pPr>
        <w:spacing w:after="0" w:line="240" w:lineRule="auto"/>
        <w:jc w:val="both"/>
        <w:rPr>
          <w:rFonts w:ascii="Arial" w:hAnsi="Arial" w:cs="Arial"/>
          <w:color w:val="000000"/>
          <w:sz w:val="20"/>
          <w:szCs w:val="20"/>
          <w:shd w:val="clear" w:color="auto" w:fill="FFFFFF"/>
        </w:rPr>
      </w:pPr>
    </w:p>
    <w:tbl>
      <w:tblPr>
        <w:tblW w:w="9360" w:type="dxa"/>
        <w:tblInd w:w="-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shd w:val="clear" w:color="auto" w:fill="E2F0EE"/>
        <w:tblLook w:val="04A0" w:firstRow="1" w:lastRow="0" w:firstColumn="1" w:lastColumn="0" w:noHBand="0" w:noVBand="1"/>
      </w:tblPr>
      <w:tblGrid>
        <w:gridCol w:w="9360"/>
      </w:tblGrid>
      <w:tr w:rsidR="00D05B74" w:rsidRPr="00A442BB" w14:paraId="731587BE" w14:textId="77777777" w:rsidTr="00D05B74">
        <w:tc>
          <w:tcPr>
            <w:tcW w:w="9360" w:type="dxa"/>
            <w:shd w:val="clear" w:color="auto" w:fill="E2F0EE"/>
          </w:tcPr>
          <w:p w14:paraId="426EA464" w14:textId="74B4AA07" w:rsidR="00D05B74" w:rsidRPr="00D05B74" w:rsidRDefault="00D05B74" w:rsidP="00D05B74">
            <w:pPr>
              <w:pStyle w:val="NormalWeb"/>
              <w:spacing w:after="0"/>
              <w:ind w:right="-68"/>
              <w:jc w:val="both"/>
              <w:rPr>
                <w:rFonts w:ascii="Arial" w:hAnsi="Arial" w:cs="Arial"/>
                <w:i/>
                <w:iCs/>
                <w:sz w:val="20"/>
                <w:szCs w:val="20"/>
              </w:rPr>
            </w:pPr>
            <w:bookmarkStart w:id="1" w:name="_Hlk77691850"/>
            <w:r w:rsidRPr="00C33423">
              <w:rPr>
                <w:rFonts w:ascii="Arial" w:hAnsi="Arial" w:cs="Arial"/>
                <w:b/>
                <w:bCs/>
                <w:i/>
                <w:iCs/>
                <w:sz w:val="20"/>
                <w:szCs w:val="20"/>
              </w:rPr>
              <w:t>(a)</w:t>
            </w:r>
            <w:r w:rsidRPr="00D05B74">
              <w:rPr>
                <w:rFonts w:ascii="Arial" w:hAnsi="Arial" w:cs="Arial"/>
                <w:i/>
                <w:iCs/>
                <w:sz w:val="20"/>
                <w:szCs w:val="20"/>
              </w:rPr>
              <w:t xml:space="preserve"> Tài liệu chứng minh rằng, tại thời điểm nộp đơn, người nộp đơn biết hoặc có cơ sở để biết nhãn hiệu mình đăng ký trùng hoặc tương tự đến mức khó phân biệt với một nhãn hiệu đang được sử dụng rộng rãi tại Việt Nam hoặc nhãn hiệu nổi tiếng tại các nước khác cho hàng hóa, dịch vụ trùng hoặc tương tự; và</w:t>
            </w:r>
          </w:p>
          <w:p w14:paraId="0BA27956" w14:textId="469D6EF4" w:rsidR="00D05B74" w:rsidRPr="00A442BB" w:rsidRDefault="00D05B74" w:rsidP="00D05B74">
            <w:pPr>
              <w:pStyle w:val="NormalWeb"/>
              <w:spacing w:before="0" w:beforeAutospacing="0" w:after="0" w:afterAutospacing="0"/>
              <w:ind w:right="-68"/>
              <w:jc w:val="both"/>
              <w:rPr>
                <w:rFonts w:ascii="Arial" w:hAnsi="Arial" w:cs="Arial"/>
                <w:color w:val="B35639"/>
                <w:sz w:val="20"/>
                <w:szCs w:val="20"/>
              </w:rPr>
            </w:pPr>
            <w:r w:rsidRPr="00C33423">
              <w:rPr>
                <w:rFonts w:ascii="Arial" w:hAnsi="Arial" w:cs="Arial"/>
                <w:b/>
                <w:bCs/>
                <w:i/>
                <w:iCs/>
                <w:sz w:val="20"/>
                <w:szCs w:val="20"/>
              </w:rPr>
              <w:t>(b)</w:t>
            </w:r>
            <w:r w:rsidRPr="00D05B74">
              <w:rPr>
                <w:rFonts w:ascii="Arial" w:hAnsi="Arial" w:cs="Arial"/>
                <w:i/>
                <w:iCs/>
                <w:sz w:val="20"/>
                <w:szCs w:val="20"/>
              </w:rPr>
              <w:t xml:space="preserve"> Việc đăng ký này nhằm </w:t>
            </w:r>
            <w:hyperlink r:id="rId9" w:history="1">
              <w:r w:rsidRPr="002D7562">
                <w:rPr>
                  <w:rStyle w:val="Hyperlink"/>
                  <w:rFonts w:ascii="Arial" w:hAnsi="Arial" w:cs="Arial"/>
                  <w:i/>
                  <w:iCs/>
                  <w:sz w:val="20"/>
                  <w:szCs w:val="20"/>
                </w:rPr>
                <w:t>lợi dụng danh tiếng</w:t>
              </w:r>
            </w:hyperlink>
            <w:r w:rsidRPr="00D05B74">
              <w:rPr>
                <w:rFonts w:ascii="Arial" w:hAnsi="Arial" w:cs="Arial"/>
                <w:i/>
                <w:iCs/>
                <w:sz w:val="20"/>
                <w:szCs w:val="20"/>
              </w:rPr>
              <w:t>, uy tín của nhãn hiệu đó để thu lợi; hoặc chủ yếu nhằm mục tiêu bán lại, cấp phép hoặc chuyển giao quyền đăng ký cho người có các nhãn hiệu nêu tại điểm a khoản này; hoặc nhằm mục tiêu ngăn chặn khả năng gia nhập thị trường của người có các nhãn hiệu nêu tại điểm a khoản này để hạn chế cạnh tranh; hoặc các hành vi trái với tập quán thương mại lành mạnh khác.</w:t>
            </w:r>
          </w:p>
        </w:tc>
      </w:tr>
      <w:bookmarkEnd w:id="1"/>
    </w:tbl>
    <w:p w14:paraId="175A4F5D" w14:textId="77777777" w:rsidR="00D05B74" w:rsidRDefault="00D05B74" w:rsidP="001269C7">
      <w:pPr>
        <w:spacing w:after="0" w:line="240" w:lineRule="auto"/>
        <w:jc w:val="both"/>
        <w:rPr>
          <w:rFonts w:ascii="Arial" w:hAnsi="Arial" w:cs="Arial"/>
          <w:color w:val="000000"/>
          <w:sz w:val="20"/>
          <w:szCs w:val="20"/>
          <w:shd w:val="clear" w:color="auto" w:fill="FFFFFF"/>
        </w:rPr>
      </w:pPr>
    </w:p>
    <w:p w14:paraId="320AFBA3" w14:textId="0157683A" w:rsidR="00F2696A" w:rsidRPr="001269C7" w:rsidRDefault="00425F1D" w:rsidP="001269C7">
      <w:pPr>
        <w:spacing w:after="0" w:line="240" w:lineRule="auto"/>
        <w:jc w:val="both"/>
        <w:rPr>
          <w:rFonts w:ascii="Arial" w:hAnsi="Arial" w:cs="Arial"/>
          <w:b/>
          <w:bCs/>
          <w:color w:val="2F5496" w:themeColor="accent1" w:themeShade="BF"/>
          <w:shd w:val="clear" w:color="auto" w:fill="FFFFFF"/>
        </w:rPr>
      </w:pPr>
      <w:r w:rsidRPr="001269C7">
        <w:rPr>
          <w:rFonts w:ascii="Arial" w:hAnsi="Arial" w:cs="Arial"/>
          <w:b/>
          <w:bCs/>
          <w:color w:val="2F5496" w:themeColor="accent1" w:themeShade="BF"/>
          <w:shd w:val="clear" w:color="auto" w:fill="FFFFFF"/>
        </w:rPr>
        <w:t>3. Chứng minh “dụng ý xấu”: Cần thỏa mãn các tiêu chí nào?</w:t>
      </w:r>
    </w:p>
    <w:p w14:paraId="187AC3DD" w14:textId="77777777" w:rsidR="001269C7" w:rsidRDefault="001269C7" w:rsidP="001269C7">
      <w:pPr>
        <w:spacing w:after="0" w:line="240" w:lineRule="auto"/>
        <w:jc w:val="both"/>
        <w:rPr>
          <w:rFonts w:ascii="Arial" w:hAnsi="Arial" w:cs="Arial"/>
          <w:color w:val="000000"/>
          <w:sz w:val="20"/>
          <w:szCs w:val="20"/>
          <w:shd w:val="clear" w:color="auto" w:fill="FFFFFF"/>
        </w:rPr>
      </w:pPr>
      <w:bookmarkStart w:id="2" w:name="_Hlk164351934"/>
    </w:p>
    <w:p w14:paraId="79067EA6" w14:textId="38B8C4A3" w:rsidR="00745110" w:rsidRDefault="00425F1D" w:rsidP="001269C7">
      <w:pPr>
        <w:spacing w:after="0" w:line="240" w:lineRule="auto"/>
        <w:jc w:val="both"/>
        <w:rPr>
          <w:rFonts w:ascii="Arial" w:hAnsi="Arial" w:cs="Arial"/>
          <w:color w:val="000000"/>
          <w:sz w:val="20"/>
          <w:szCs w:val="20"/>
          <w:shd w:val="clear" w:color="auto" w:fill="FFFFFF"/>
        </w:rPr>
      </w:pPr>
      <w:r w:rsidRPr="001F4D5E">
        <w:rPr>
          <w:rFonts w:ascii="Arial" w:hAnsi="Arial" w:cs="Arial"/>
          <w:color w:val="000000"/>
          <w:sz w:val="20"/>
          <w:szCs w:val="20"/>
          <w:shd w:val="clear" w:color="auto" w:fill="FFFFFF"/>
        </w:rPr>
        <w:t xml:space="preserve">Để chứng minh “dụng ý xấu”, </w:t>
      </w:r>
      <w:r w:rsidR="002D59ED" w:rsidRPr="001F4D5E">
        <w:rPr>
          <w:rFonts w:ascii="Arial" w:hAnsi="Arial" w:cs="Arial"/>
          <w:color w:val="000000"/>
          <w:sz w:val="20"/>
          <w:szCs w:val="20"/>
          <w:shd w:val="clear" w:color="auto" w:fill="FFFFFF"/>
        </w:rPr>
        <w:t>căn cứ</w:t>
      </w:r>
      <w:r w:rsidR="00745110" w:rsidRPr="001F4D5E">
        <w:rPr>
          <w:rFonts w:ascii="Arial" w:hAnsi="Arial" w:cs="Arial"/>
          <w:color w:val="000000"/>
          <w:sz w:val="20"/>
          <w:szCs w:val="20"/>
          <w:shd w:val="clear" w:color="auto" w:fill="FFFFFF"/>
        </w:rPr>
        <w:t xml:space="preserve"> Điều 34.2 Thông tư 23/2023/TT-BKHCN, </w:t>
      </w:r>
      <w:r w:rsidRPr="001F4D5E">
        <w:rPr>
          <w:rFonts w:ascii="Arial" w:hAnsi="Arial" w:cs="Arial"/>
          <w:color w:val="000000"/>
          <w:sz w:val="20"/>
          <w:szCs w:val="20"/>
          <w:shd w:val="clear" w:color="auto" w:fill="FFFFFF"/>
        </w:rPr>
        <w:t xml:space="preserve">cần </w:t>
      </w:r>
      <w:r w:rsidRPr="001F4D5E">
        <w:rPr>
          <w:rFonts w:ascii="Arial" w:hAnsi="Arial" w:cs="Arial"/>
          <w:color w:val="000000"/>
          <w:sz w:val="20"/>
          <w:szCs w:val="20"/>
          <w:u w:val="single"/>
          <w:shd w:val="clear" w:color="auto" w:fill="FFFFFF"/>
        </w:rPr>
        <w:t>thỏa mãn đồng thời</w:t>
      </w:r>
      <w:r w:rsidRPr="001F4D5E">
        <w:rPr>
          <w:rFonts w:ascii="Arial" w:hAnsi="Arial" w:cs="Arial"/>
          <w:color w:val="000000"/>
          <w:sz w:val="20"/>
          <w:szCs w:val="20"/>
          <w:shd w:val="clear" w:color="auto" w:fill="FFFFFF"/>
        </w:rPr>
        <w:t xml:space="preserve"> cả 2 điều kiện</w:t>
      </w:r>
      <w:r w:rsidR="00745110" w:rsidRPr="001F4D5E">
        <w:rPr>
          <w:rFonts w:ascii="Arial" w:hAnsi="Arial" w:cs="Arial"/>
          <w:color w:val="000000"/>
          <w:sz w:val="20"/>
          <w:szCs w:val="20"/>
          <w:shd w:val="clear" w:color="auto" w:fill="FFFFFF"/>
        </w:rPr>
        <w:t xml:space="preserve"> sau đây:</w:t>
      </w:r>
    </w:p>
    <w:p w14:paraId="235C6268" w14:textId="77777777" w:rsidR="001269C7" w:rsidRPr="001F4D5E" w:rsidRDefault="001269C7" w:rsidP="001269C7">
      <w:pPr>
        <w:spacing w:after="0" w:line="240" w:lineRule="auto"/>
        <w:jc w:val="both"/>
        <w:rPr>
          <w:rFonts w:ascii="Arial" w:hAnsi="Arial" w:cs="Arial"/>
          <w:color w:val="000000"/>
          <w:sz w:val="20"/>
          <w:szCs w:val="20"/>
          <w:shd w:val="clear" w:color="auto" w:fill="FFFFFF"/>
        </w:rPr>
      </w:pPr>
    </w:p>
    <w:bookmarkEnd w:id="2"/>
    <w:p w14:paraId="345FBCF8" w14:textId="77777777" w:rsidR="001269C7" w:rsidRDefault="00745110" w:rsidP="001269C7">
      <w:pPr>
        <w:spacing w:after="0" w:line="240" w:lineRule="auto"/>
        <w:jc w:val="both"/>
        <w:rPr>
          <w:rFonts w:ascii="Arial" w:hAnsi="Arial" w:cs="Arial"/>
          <w:color w:val="000000"/>
          <w:sz w:val="20"/>
          <w:szCs w:val="20"/>
          <w:shd w:val="clear" w:color="auto" w:fill="FFFFFF"/>
        </w:rPr>
      </w:pPr>
      <w:r w:rsidRPr="001F4D5E">
        <w:rPr>
          <w:rFonts w:ascii="Arial" w:hAnsi="Arial" w:cs="Arial"/>
          <w:color w:val="000000"/>
          <w:sz w:val="20"/>
          <w:szCs w:val="20"/>
          <w:shd w:val="clear" w:color="auto" w:fill="FFFFFF"/>
        </w:rPr>
        <w:t xml:space="preserve">[i] </w:t>
      </w:r>
      <w:r w:rsidRPr="001269C7">
        <w:rPr>
          <w:rFonts w:ascii="Arial" w:hAnsi="Arial" w:cs="Arial"/>
          <w:b/>
          <w:bCs/>
          <w:color w:val="000000"/>
          <w:shd w:val="clear" w:color="auto" w:fill="FFFFFF"/>
        </w:rPr>
        <w:t>Biết hoặc có cơ sở để biết</w:t>
      </w:r>
      <w:r w:rsidRPr="001F4D5E">
        <w:rPr>
          <w:rFonts w:ascii="Arial" w:hAnsi="Arial" w:cs="Arial"/>
          <w:color w:val="000000"/>
          <w:sz w:val="20"/>
          <w:szCs w:val="20"/>
          <w:shd w:val="clear" w:color="auto" w:fill="FFFFFF"/>
        </w:rPr>
        <w:t xml:space="preserve">: </w:t>
      </w:r>
    </w:p>
    <w:p w14:paraId="7A990BEC" w14:textId="77777777" w:rsidR="001269C7" w:rsidRDefault="001269C7" w:rsidP="001269C7">
      <w:pPr>
        <w:spacing w:after="0" w:line="240" w:lineRule="auto"/>
        <w:jc w:val="both"/>
        <w:rPr>
          <w:rFonts w:ascii="Arial" w:hAnsi="Arial" w:cs="Arial"/>
          <w:color w:val="000000"/>
          <w:sz w:val="20"/>
          <w:szCs w:val="20"/>
          <w:shd w:val="clear" w:color="auto" w:fill="FFFFFF"/>
        </w:rPr>
      </w:pPr>
    </w:p>
    <w:p w14:paraId="07C3F81F" w14:textId="1874EEBC" w:rsidR="00745110" w:rsidRPr="001F4D5E" w:rsidRDefault="00745110" w:rsidP="001269C7">
      <w:pPr>
        <w:spacing w:after="0" w:line="240" w:lineRule="auto"/>
        <w:jc w:val="both"/>
        <w:rPr>
          <w:rFonts w:ascii="Arial" w:hAnsi="Arial" w:cs="Arial"/>
          <w:color w:val="000000"/>
          <w:sz w:val="20"/>
          <w:szCs w:val="20"/>
          <w:shd w:val="clear" w:color="auto" w:fill="FFFFFF"/>
        </w:rPr>
      </w:pPr>
      <w:r w:rsidRPr="001F4D5E">
        <w:rPr>
          <w:rFonts w:ascii="Arial" w:hAnsi="Arial" w:cs="Arial"/>
          <w:color w:val="000000"/>
          <w:sz w:val="20"/>
          <w:szCs w:val="20"/>
          <w:shd w:val="clear" w:color="auto" w:fill="FFFFFF"/>
        </w:rPr>
        <w:t xml:space="preserve">Tiêu chí này nhấn mạnh đến việc người nộp đơn đã </w:t>
      </w:r>
      <w:r w:rsidR="00D05B74">
        <w:rPr>
          <w:rFonts w:ascii="Arial" w:hAnsi="Arial" w:cs="Arial"/>
          <w:color w:val="000000"/>
          <w:sz w:val="20"/>
          <w:szCs w:val="20"/>
          <w:shd w:val="clear" w:color="auto" w:fill="FFFFFF"/>
        </w:rPr>
        <w:t>“</w:t>
      </w:r>
      <w:r w:rsidRPr="001F4D5E">
        <w:rPr>
          <w:rFonts w:ascii="Arial" w:hAnsi="Arial" w:cs="Arial"/>
          <w:color w:val="000000"/>
          <w:sz w:val="20"/>
          <w:szCs w:val="20"/>
          <w:shd w:val="clear" w:color="auto" w:fill="FFFFFF"/>
        </w:rPr>
        <w:t>biết</w:t>
      </w:r>
      <w:r w:rsidR="00D05B74">
        <w:rPr>
          <w:rFonts w:ascii="Arial" w:hAnsi="Arial" w:cs="Arial"/>
          <w:color w:val="000000"/>
          <w:sz w:val="20"/>
          <w:szCs w:val="20"/>
          <w:shd w:val="clear" w:color="auto" w:fill="FFFFFF"/>
        </w:rPr>
        <w:t>”</w:t>
      </w:r>
      <w:r w:rsidRPr="001F4D5E">
        <w:rPr>
          <w:rFonts w:ascii="Arial" w:hAnsi="Arial" w:cs="Arial"/>
          <w:color w:val="000000"/>
          <w:sz w:val="20"/>
          <w:szCs w:val="20"/>
          <w:shd w:val="clear" w:color="auto" w:fill="FFFFFF"/>
        </w:rPr>
        <w:t xml:space="preserve"> hoặc </w:t>
      </w:r>
      <w:r w:rsidR="00D05B74">
        <w:rPr>
          <w:rFonts w:ascii="Arial" w:hAnsi="Arial" w:cs="Arial"/>
          <w:color w:val="000000"/>
          <w:sz w:val="20"/>
          <w:szCs w:val="20"/>
          <w:shd w:val="clear" w:color="auto" w:fill="FFFFFF"/>
        </w:rPr>
        <w:t>“</w:t>
      </w:r>
      <w:r w:rsidRPr="001F4D5E">
        <w:rPr>
          <w:rFonts w:ascii="Arial" w:hAnsi="Arial" w:cs="Arial"/>
          <w:color w:val="000000"/>
          <w:sz w:val="20"/>
          <w:szCs w:val="20"/>
          <w:shd w:val="clear" w:color="auto" w:fill="FFFFFF"/>
        </w:rPr>
        <w:t>có có sở để biết</w:t>
      </w:r>
      <w:r w:rsidR="00D05B74">
        <w:rPr>
          <w:rFonts w:ascii="Arial" w:hAnsi="Arial" w:cs="Arial"/>
          <w:color w:val="000000"/>
          <w:sz w:val="20"/>
          <w:szCs w:val="20"/>
          <w:shd w:val="clear" w:color="auto" w:fill="FFFFFF"/>
        </w:rPr>
        <w:t>”</w:t>
      </w:r>
      <w:r w:rsidRPr="001F4D5E">
        <w:rPr>
          <w:rFonts w:ascii="Arial" w:hAnsi="Arial" w:cs="Arial"/>
          <w:color w:val="000000"/>
          <w:sz w:val="20"/>
          <w:szCs w:val="20"/>
          <w:shd w:val="clear" w:color="auto" w:fill="FFFFFF"/>
        </w:rPr>
        <w:t xml:space="preserve"> đến nhãn hiệu của người khác</w:t>
      </w:r>
      <w:r w:rsidR="008B7102" w:rsidRPr="001F4D5E">
        <w:rPr>
          <w:rFonts w:ascii="Arial" w:hAnsi="Arial" w:cs="Arial"/>
          <w:color w:val="000000"/>
          <w:sz w:val="20"/>
          <w:szCs w:val="20"/>
          <w:shd w:val="clear" w:color="auto" w:fill="FFFFFF"/>
        </w:rPr>
        <w:t>. Ngoài việc “biết” hoặc “có cơ sở để biết”, tiêu chí này chỉ được coi là đáp ứng đầy đủ khi</w:t>
      </w:r>
      <w:r w:rsidRPr="001F4D5E">
        <w:rPr>
          <w:rFonts w:ascii="Arial" w:hAnsi="Arial" w:cs="Arial"/>
          <w:color w:val="000000"/>
          <w:sz w:val="20"/>
          <w:szCs w:val="20"/>
          <w:shd w:val="clear" w:color="auto" w:fill="FFFFFF"/>
        </w:rPr>
        <w:t xml:space="preserve"> nhãn hiệu</w:t>
      </w:r>
      <w:r w:rsidR="008B7102" w:rsidRPr="001F4D5E">
        <w:rPr>
          <w:rFonts w:ascii="Arial" w:hAnsi="Arial" w:cs="Arial"/>
          <w:color w:val="000000"/>
          <w:sz w:val="20"/>
          <w:szCs w:val="20"/>
          <w:shd w:val="clear" w:color="auto" w:fill="FFFFFF"/>
        </w:rPr>
        <w:t xml:space="preserve"> của chủ sở hữu đích thực</w:t>
      </w:r>
      <w:r w:rsidRPr="001F4D5E">
        <w:rPr>
          <w:rFonts w:ascii="Arial" w:hAnsi="Arial" w:cs="Arial"/>
          <w:color w:val="000000"/>
          <w:sz w:val="20"/>
          <w:szCs w:val="20"/>
          <w:shd w:val="clear" w:color="auto" w:fill="FFFFFF"/>
        </w:rPr>
        <w:t xml:space="preserve"> đang được </w:t>
      </w:r>
      <w:r w:rsidR="008B7102" w:rsidRPr="001F4D5E">
        <w:rPr>
          <w:rFonts w:ascii="Arial" w:hAnsi="Arial" w:cs="Arial"/>
          <w:color w:val="000000"/>
          <w:sz w:val="20"/>
          <w:szCs w:val="20"/>
          <w:shd w:val="clear" w:color="auto" w:fill="FFFFFF"/>
        </w:rPr>
        <w:t>“</w:t>
      </w:r>
      <w:r w:rsidRPr="001F4D5E">
        <w:rPr>
          <w:rFonts w:ascii="Arial" w:hAnsi="Arial" w:cs="Arial"/>
          <w:color w:val="000000"/>
          <w:sz w:val="20"/>
          <w:szCs w:val="20"/>
          <w:shd w:val="clear" w:color="auto" w:fill="FFFFFF"/>
        </w:rPr>
        <w:t>sử dụng rộng rãi</w:t>
      </w:r>
      <w:r w:rsidR="008B7102" w:rsidRPr="001F4D5E">
        <w:rPr>
          <w:rFonts w:ascii="Arial" w:hAnsi="Arial" w:cs="Arial"/>
          <w:color w:val="000000"/>
          <w:sz w:val="20"/>
          <w:szCs w:val="20"/>
          <w:shd w:val="clear" w:color="auto" w:fill="FFFFFF"/>
        </w:rPr>
        <w:t>”</w:t>
      </w:r>
      <w:r w:rsidRPr="001F4D5E">
        <w:rPr>
          <w:rFonts w:ascii="Arial" w:hAnsi="Arial" w:cs="Arial"/>
          <w:color w:val="000000"/>
          <w:sz w:val="20"/>
          <w:szCs w:val="20"/>
          <w:shd w:val="clear" w:color="auto" w:fill="FFFFFF"/>
        </w:rPr>
        <w:t xml:space="preserve"> tại Việt Nam hoặc nhãn hiệu </w:t>
      </w:r>
      <w:r w:rsidR="008B7102" w:rsidRPr="001F4D5E">
        <w:rPr>
          <w:rFonts w:ascii="Arial" w:hAnsi="Arial" w:cs="Arial"/>
          <w:color w:val="000000"/>
          <w:sz w:val="20"/>
          <w:szCs w:val="20"/>
          <w:shd w:val="clear" w:color="auto" w:fill="FFFFFF"/>
        </w:rPr>
        <w:t>đó đã “</w:t>
      </w:r>
      <w:r w:rsidRPr="001F4D5E">
        <w:rPr>
          <w:rFonts w:ascii="Arial" w:hAnsi="Arial" w:cs="Arial"/>
          <w:color w:val="000000"/>
          <w:sz w:val="20"/>
          <w:szCs w:val="20"/>
          <w:shd w:val="clear" w:color="auto" w:fill="FFFFFF"/>
        </w:rPr>
        <w:t>nổi tiếng</w:t>
      </w:r>
      <w:r w:rsidR="008B7102" w:rsidRPr="001F4D5E">
        <w:rPr>
          <w:rFonts w:ascii="Arial" w:hAnsi="Arial" w:cs="Arial"/>
          <w:color w:val="000000"/>
          <w:sz w:val="20"/>
          <w:szCs w:val="20"/>
          <w:shd w:val="clear" w:color="auto" w:fill="FFFFFF"/>
        </w:rPr>
        <w:t>”</w:t>
      </w:r>
      <w:r w:rsidRPr="001F4D5E">
        <w:rPr>
          <w:rFonts w:ascii="Arial" w:hAnsi="Arial" w:cs="Arial"/>
          <w:color w:val="000000"/>
          <w:sz w:val="20"/>
          <w:szCs w:val="20"/>
          <w:shd w:val="clear" w:color="auto" w:fill="FFFFFF"/>
        </w:rPr>
        <w:t xml:space="preserve"> tại các nước khác cho hàng hóa, dịch vụ trùng hoặc tương tự</w:t>
      </w:r>
      <w:r w:rsidR="008B7102" w:rsidRPr="001F4D5E">
        <w:rPr>
          <w:rFonts w:ascii="Arial" w:hAnsi="Arial" w:cs="Arial"/>
          <w:color w:val="000000"/>
          <w:sz w:val="20"/>
          <w:szCs w:val="20"/>
          <w:shd w:val="clear" w:color="auto" w:fill="FFFFFF"/>
        </w:rPr>
        <w:t>.</w:t>
      </w:r>
    </w:p>
    <w:p w14:paraId="2A702CC0" w14:textId="77777777" w:rsidR="001269C7" w:rsidRDefault="001269C7" w:rsidP="001269C7">
      <w:pPr>
        <w:spacing w:after="0" w:line="240" w:lineRule="auto"/>
        <w:jc w:val="both"/>
        <w:rPr>
          <w:rFonts w:ascii="Arial" w:hAnsi="Arial" w:cs="Arial"/>
          <w:color w:val="000000"/>
          <w:sz w:val="20"/>
          <w:szCs w:val="20"/>
          <w:shd w:val="clear" w:color="auto" w:fill="FFFFFF"/>
        </w:rPr>
      </w:pPr>
    </w:p>
    <w:p w14:paraId="1E12B25A" w14:textId="77777777" w:rsidR="001269C7" w:rsidRDefault="008B7102" w:rsidP="001269C7">
      <w:pPr>
        <w:spacing w:after="0" w:line="240" w:lineRule="auto"/>
        <w:jc w:val="both"/>
        <w:rPr>
          <w:rFonts w:ascii="Arial" w:hAnsi="Arial" w:cs="Arial"/>
          <w:color w:val="000000"/>
          <w:sz w:val="20"/>
          <w:szCs w:val="20"/>
          <w:shd w:val="clear" w:color="auto" w:fill="FFFFFF"/>
        </w:rPr>
      </w:pPr>
      <w:r w:rsidRPr="001F4D5E">
        <w:rPr>
          <w:rFonts w:ascii="Arial" w:hAnsi="Arial" w:cs="Arial"/>
          <w:color w:val="000000"/>
          <w:sz w:val="20"/>
          <w:szCs w:val="20"/>
          <w:shd w:val="clear" w:color="auto" w:fill="FFFFFF"/>
        </w:rPr>
        <w:lastRenderedPageBreak/>
        <w:t>[i</w:t>
      </w:r>
      <w:r w:rsidR="00767523" w:rsidRPr="001F4D5E">
        <w:rPr>
          <w:rFonts w:ascii="Arial" w:hAnsi="Arial" w:cs="Arial"/>
          <w:color w:val="000000"/>
          <w:sz w:val="20"/>
          <w:szCs w:val="20"/>
          <w:shd w:val="clear" w:color="auto" w:fill="FFFFFF"/>
        </w:rPr>
        <w:t>i</w:t>
      </w:r>
      <w:r w:rsidRPr="001F4D5E">
        <w:rPr>
          <w:rFonts w:ascii="Arial" w:hAnsi="Arial" w:cs="Arial"/>
          <w:color w:val="000000"/>
          <w:sz w:val="20"/>
          <w:szCs w:val="20"/>
          <w:shd w:val="clear" w:color="auto" w:fill="FFFFFF"/>
        </w:rPr>
        <w:t xml:space="preserve">] </w:t>
      </w:r>
      <w:r w:rsidRPr="001269C7">
        <w:rPr>
          <w:rFonts w:ascii="Arial" w:hAnsi="Arial" w:cs="Arial"/>
          <w:b/>
          <w:bCs/>
          <w:color w:val="000000"/>
          <w:shd w:val="clear" w:color="auto" w:fill="FFFFFF"/>
        </w:rPr>
        <w:t>Ý định</w:t>
      </w:r>
      <w:r w:rsidR="00394F39" w:rsidRPr="001269C7">
        <w:rPr>
          <w:rFonts w:ascii="Arial" w:hAnsi="Arial" w:cs="Arial"/>
          <w:b/>
          <w:bCs/>
          <w:color w:val="000000"/>
          <w:shd w:val="clear" w:color="auto" w:fill="FFFFFF"/>
        </w:rPr>
        <w:t>/</w:t>
      </w:r>
      <w:r w:rsidRPr="001269C7">
        <w:rPr>
          <w:rFonts w:ascii="Arial" w:hAnsi="Arial" w:cs="Arial"/>
          <w:b/>
          <w:bCs/>
          <w:color w:val="000000"/>
          <w:shd w:val="clear" w:color="auto" w:fill="FFFFFF"/>
        </w:rPr>
        <w:t>động cơ của việc đăng ký</w:t>
      </w:r>
      <w:r w:rsidR="00767523" w:rsidRPr="001269C7">
        <w:rPr>
          <w:rFonts w:ascii="Arial" w:hAnsi="Arial" w:cs="Arial"/>
          <w:b/>
          <w:bCs/>
          <w:color w:val="000000"/>
          <w:shd w:val="clear" w:color="auto" w:fill="FFFFFF"/>
        </w:rPr>
        <w:t xml:space="preserve"> nhãn hiệu</w:t>
      </w:r>
      <w:r w:rsidRPr="001F4D5E">
        <w:rPr>
          <w:rFonts w:ascii="Arial" w:hAnsi="Arial" w:cs="Arial"/>
          <w:color w:val="000000"/>
          <w:sz w:val="20"/>
          <w:szCs w:val="20"/>
          <w:shd w:val="clear" w:color="auto" w:fill="FFFFFF"/>
        </w:rPr>
        <w:t xml:space="preserve">: </w:t>
      </w:r>
    </w:p>
    <w:p w14:paraId="0EEE3A3D" w14:textId="77777777" w:rsidR="001269C7" w:rsidRDefault="001269C7" w:rsidP="001269C7">
      <w:pPr>
        <w:spacing w:after="0" w:line="240" w:lineRule="auto"/>
        <w:jc w:val="both"/>
        <w:rPr>
          <w:rFonts w:ascii="Arial" w:hAnsi="Arial" w:cs="Arial"/>
          <w:color w:val="000000"/>
          <w:sz w:val="20"/>
          <w:szCs w:val="20"/>
          <w:shd w:val="clear" w:color="auto" w:fill="FFFFFF"/>
        </w:rPr>
      </w:pPr>
    </w:p>
    <w:p w14:paraId="0F69116B" w14:textId="4296E842" w:rsidR="008B7102" w:rsidRDefault="008B7102" w:rsidP="001269C7">
      <w:pPr>
        <w:spacing w:after="0" w:line="240" w:lineRule="auto"/>
        <w:jc w:val="both"/>
        <w:rPr>
          <w:rFonts w:ascii="Arial" w:hAnsi="Arial" w:cs="Arial"/>
          <w:color w:val="000000"/>
          <w:sz w:val="20"/>
          <w:szCs w:val="20"/>
          <w:shd w:val="clear" w:color="auto" w:fill="FFFFFF"/>
        </w:rPr>
      </w:pPr>
      <w:r w:rsidRPr="001F4D5E">
        <w:rPr>
          <w:rFonts w:ascii="Arial" w:hAnsi="Arial" w:cs="Arial"/>
          <w:color w:val="000000"/>
          <w:sz w:val="20"/>
          <w:szCs w:val="20"/>
          <w:shd w:val="clear" w:color="auto" w:fill="FFFFFF"/>
        </w:rPr>
        <w:t xml:space="preserve">Tiêu chí này </w:t>
      </w:r>
      <w:r w:rsidR="00290811" w:rsidRPr="001F4D5E">
        <w:rPr>
          <w:rFonts w:ascii="Arial" w:hAnsi="Arial" w:cs="Arial"/>
          <w:color w:val="000000"/>
          <w:sz w:val="20"/>
          <w:szCs w:val="20"/>
          <w:shd w:val="clear" w:color="auto" w:fill="FFFFFF"/>
        </w:rPr>
        <w:t xml:space="preserve">đòi hỏi phải </w:t>
      </w:r>
      <w:hyperlink r:id="rId10" w:history="1">
        <w:r w:rsidR="00290811" w:rsidRPr="00D44F2C">
          <w:rPr>
            <w:rStyle w:val="Hyperlink"/>
            <w:rFonts w:ascii="Arial" w:hAnsi="Arial" w:cs="Arial"/>
            <w:sz w:val="20"/>
            <w:szCs w:val="20"/>
            <w:shd w:val="clear" w:color="auto" w:fill="FFFFFF"/>
          </w:rPr>
          <w:t xml:space="preserve">chứng minh </w:t>
        </w:r>
        <w:r w:rsidRPr="00D44F2C">
          <w:rPr>
            <w:rStyle w:val="Hyperlink"/>
            <w:rFonts w:ascii="Arial" w:hAnsi="Arial" w:cs="Arial"/>
            <w:sz w:val="20"/>
            <w:szCs w:val="20"/>
            <w:shd w:val="clear" w:color="auto" w:fill="FFFFFF"/>
          </w:rPr>
          <w:t>ý định, động cơ</w:t>
        </w:r>
      </w:hyperlink>
      <w:r w:rsidRPr="001F4D5E">
        <w:rPr>
          <w:rFonts w:ascii="Arial" w:hAnsi="Arial" w:cs="Arial"/>
          <w:color w:val="000000"/>
          <w:sz w:val="20"/>
          <w:szCs w:val="20"/>
          <w:shd w:val="clear" w:color="auto" w:fill="FFFFFF"/>
        </w:rPr>
        <w:t xml:space="preserve"> gây phương hại đến quyền và lợi ích hợp pháp của chủ sở hữu nhãn hiệu đích thực. </w:t>
      </w:r>
      <w:r w:rsidR="00767523" w:rsidRPr="001F4D5E">
        <w:rPr>
          <w:rFonts w:ascii="Arial" w:hAnsi="Arial" w:cs="Arial"/>
          <w:color w:val="000000"/>
          <w:sz w:val="20"/>
          <w:szCs w:val="20"/>
          <w:shd w:val="clear" w:color="auto" w:fill="FFFFFF"/>
        </w:rPr>
        <w:t>Tiêu chí này được coi là đáp ứng khi chủ sở hữu nhãn hiệu đích thực có cơ sở để chứng minh rằng</w:t>
      </w:r>
      <w:r w:rsidRPr="001F4D5E">
        <w:rPr>
          <w:rFonts w:ascii="Arial" w:hAnsi="Arial" w:cs="Arial"/>
          <w:color w:val="000000"/>
          <w:sz w:val="20"/>
          <w:szCs w:val="20"/>
          <w:shd w:val="clear" w:color="auto" w:fill="FFFFFF"/>
        </w:rPr>
        <w:t xml:space="preserve"> ý định/động cơ phía sau việc đăng ký nhãn hiệu là nhằm</w:t>
      </w:r>
      <w:r w:rsidR="00767523" w:rsidRPr="001F4D5E">
        <w:rPr>
          <w:rFonts w:ascii="Arial" w:hAnsi="Arial" w:cs="Arial"/>
          <w:color w:val="000000"/>
          <w:sz w:val="20"/>
          <w:szCs w:val="20"/>
          <w:shd w:val="clear" w:color="auto" w:fill="FFFFFF"/>
        </w:rPr>
        <w:t xml:space="preserve"> thực hiện một trong số các hành vi như:</w:t>
      </w:r>
      <w:r w:rsidRPr="001F4D5E">
        <w:rPr>
          <w:rFonts w:ascii="Arial" w:hAnsi="Arial" w:cs="Arial"/>
          <w:color w:val="000000"/>
          <w:sz w:val="20"/>
          <w:szCs w:val="20"/>
          <w:shd w:val="clear" w:color="auto" w:fill="FFFFFF"/>
        </w:rPr>
        <w:t xml:space="preserve"> lợi dụng, bán lại, cấp phép, chuyển giao, ngăn chặn khả năng gia nhập thị trường để hạn chế cạnh tranh</w:t>
      </w:r>
      <w:r w:rsidR="00767523" w:rsidRPr="001F4D5E">
        <w:rPr>
          <w:rFonts w:ascii="Arial" w:hAnsi="Arial" w:cs="Arial"/>
          <w:color w:val="000000"/>
          <w:sz w:val="20"/>
          <w:szCs w:val="20"/>
          <w:shd w:val="clear" w:color="auto" w:fill="FFFFFF"/>
        </w:rPr>
        <w:t>,</w:t>
      </w:r>
      <w:r w:rsidRPr="001F4D5E">
        <w:rPr>
          <w:rFonts w:ascii="Arial" w:hAnsi="Arial" w:cs="Arial"/>
          <w:color w:val="000000"/>
          <w:sz w:val="20"/>
          <w:szCs w:val="20"/>
          <w:shd w:val="clear" w:color="auto" w:fill="FFFFFF"/>
        </w:rPr>
        <w:t xml:space="preserve"> hoặc các hành vi trái với tập quán thương mại lành mạnh khác.</w:t>
      </w:r>
    </w:p>
    <w:p w14:paraId="4C27E59F" w14:textId="77777777" w:rsidR="001269C7" w:rsidRPr="001F4D5E" w:rsidRDefault="001269C7" w:rsidP="001269C7">
      <w:pPr>
        <w:spacing w:after="0" w:line="240" w:lineRule="auto"/>
        <w:jc w:val="both"/>
        <w:rPr>
          <w:rFonts w:ascii="Arial" w:hAnsi="Arial" w:cs="Arial"/>
          <w:color w:val="000000"/>
          <w:sz w:val="20"/>
          <w:szCs w:val="20"/>
          <w:shd w:val="clear" w:color="auto" w:fill="FFFFFF"/>
        </w:rPr>
      </w:pPr>
    </w:p>
    <w:p w14:paraId="534005EB" w14:textId="643CE237" w:rsidR="00CF0C69" w:rsidRDefault="00767523" w:rsidP="001269C7">
      <w:pPr>
        <w:spacing w:after="0" w:line="240" w:lineRule="auto"/>
        <w:jc w:val="both"/>
        <w:rPr>
          <w:rFonts w:ascii="Arial" w:hAnsi="Arial" w:cs="Arial"/>
          <w:color w:val="000000"/>
          <w:sz w:val="20"/>
          <w:szCs w:val="20"/>
          <w:shd w:val="clear" w:color="auto" w:fill="FFFFFF"/>
        </w:rPr>
      </w:pPr>
      <w:r w:rsidRPr="001F4D5E">
        <w:rPr>
          <w:rFonts w:ascii="Arial" w:hAnsi="Arial" w:cs="Arial"/>
          <w:color w:val="000000"/>
          <w:sz w:val="20"/>
          <w:szCs w:val="20"/>
          <w:shd w:val="clear" w:color="auto" w:fill="FFFFFF"/>
        </w:rPr>
        <w:t xml:space="preserve">Như vậy, chỉ khi cả hai </w:t>
      </w:r>
      <w:r w:rsidR="00CF0C69" w:rsidRPr="001F4D5E">
        <w:rPr>
          <w:rFonts w:ascii="Arial" w:hAnsi="Arial" w:cs="Arial"/>
          <w:color w:val="000000"/>
          <w:sz w:val="20"/>
          <w:szCs w:val="20"/>
          <w:shd w:val="clear" w:color="auto" w:fill="FFFFFF"/>
        </w:rPr>
        <w:t>điều kiện</w:t>
      </w:r>
      <w:r w:rsidRPr="001F4D5E">
        <w:rPr>
          <w:rFonts w:ascii="Arial" w:hAnsi="Arial" w:cs="Arial"/>
          <w:color w:val="000000"/>
          <w:sz w:val="20"/>
          <w:szCs w:val="20"/>
          <w:shd w:val="clear" w:color="auto" w:fill="FFFFFF"/>
        </w:rPr>
        <w:t xml:space="preserve"> </w:t>
      </w:r>
      <w:r w:rsidR="00394F39" w:rsidRPr="001F4D5E">
        <w:rPr>
          <w:rFonts w:ascii="Arial" w:hAnsi="Arial" w:cs="Arial"/>
          <w:color w:val="000000"/>
          <w:sz w:val="20"/>
          <w:szCs w:val="20"/>
          <w:shd w:val="clear" w:color="auto" w:fill="FFFFFF"/>
        </w:rPr>
        <w:t xml:space="preserve">(sự </w:t>
      </w:r>
      <w:r w:rsidR="00CF0C69" w:rsidRPr="001F4D5E">
        <w:rPr>
          <w:rFonts w:ascii="Arial" w:hAnsi="Arial" w:cs="Arial"/>
          <w:color w:val="000000"/>
          <w:sz w:val="20"/>
          <w:szCs w:val="20"/>
          <w:shd w:val="clear" w:color="auto" w:fill="FFFFFF"/>
        </w:rPr>
        <w:t>nhận</w:t>
      </w:r>
      <w:r w:rsidRPr="001F4D5E">
        <w:rPr>
          <w:rFonts w:ascii="Arial" w:hAnsi="Arial" w:cs="Arial"/>
          <w:color w:val="000000"/>
          <w:sz w:val="20"/>
          <w:szCs w:val="20"/>
          <w:shd w:val="clear" w:color="auto" w:fill="FFFFFF"/>
        </w:rPr>
        <w:t xml:space="preserve"> </w:t>
      </w:r>
      <w:r w:rsidR="00394F39" w:rsidRPr="001F4D5E">
        <w:rPr>
          <w:rFonts w:ascii="Arial" w:hAnsi="Arial" w:cs="Arial"/>
          <w:color w:val="000000"/>
          <w:sz w:val="20"/>
          <w:szCs w:val="20"/>
          <w:shd w:val="clear" w:color="auto" w:fill="FFFFFF"/>
        </w:rPr>
        <w:t>biết</w:t>
      </w:r>
      <w:r w:rsidRPr="001F4D5E">
        <w:rPr>
          <w:rFonts w:ascii="Arial" w:hAnsi="Arial" w:cs="Arial"/>
          <w:color w:val="000000"/>
          <w:sz w:val="20"/>
          <w:szCs w:val="20"/>
          <w:shd w:val="clear" w:color="auto" w:fill="FFFFFF"/>
        </w:rPr>
        <w:t xml:space="preserve"> và động cơ của người nộp đơn</w:t>
      </w:r>
      <w:r w:rsidR="00CF0C69" w:rsidRPr="001F4D5E">
        <w:rPr>
          <w:rFonts w:ascii="Arial" w:hAnsi="Arial" w:cs="Arial"/>
          <w:color w:val="000000"/>
          <w:sz w:val="20"/>
          <w:szCs w:val="20"/>
          <w:shd w:val="clear" w:color="auto" w:fill="FFFFFF"/>
        </w:rPr>
        <w:t xml:space="preserve"> đăng ký nhãn hiệu</w:t>
      </w:r>
      <w:r w:rsidR="00394F39" w:rsidRPr="001F4D5E">
        <w:rPr>
          <w:rFonts w:ascii="Arial" w:hAnsi="Arial" w:cs="Arial"/>
          <w:color w:val="000000"/>
          <w:sz w:val="20"/>
          <w:szCs w:val="20"/>
          <w:shd w:val="clear" w:color="auto" w:fill="FFFFFF"/>
        </w:rPr>
        <w:t>)</w:t>
      </w:r>
      <w:r w:rsidRPr="001F4D5E">
        <w:rPr>
          <w:rFonts w:ascii="Arial" w:hAnsi="Arial" w:cs="Arial"/>
          <w:color w:val="000000"/>
          <w:sz w:val="20"/>
          <w:szCs w:val="20"/>
          <w:shd w:val="clear" w:color="auto" w:fill="FFFFFF"/>
        </w:rPr>
        <w:t xml:space="preserve"> được đáp ứng</w:t>
      </w:r>
      <w:r w:rsidR="00394F39" w:rsidRPr="001F4D5E">
        <w:rPr>
          <w:rFonts w:ascii="Arial" w:hAnsi="Arial" w:cs="Arial"/>
          <w:color w:val="000000"/>
          <w:sz w:val="20"/>
          <w:szCs w:val="20"/>
          <w:shd w:val="clear" w:color="auto" w:fill="FFFFFF"/>
        </w:rPr>
        <w:t xml:space="preserve"> theo Điều 34.2 Thông tư 23/2023/TT-BKHCN</w:t>
      </w:r>
      <w:r w:rsidRPr="001F4D5E">
        <w:rPr>
          <w:rFonts w:ascii="Arial" w:hAnsi="Arial" w:cs="Arial"/>
          <w:color w:val="000000"/>
          <w:sz w:val="20"/>
          <w:szCs w:val="20"/>
          <w:shd w:val="clear" w:color="auto" w:fill="FFFFFF"/>
        </w:rPr>
        <w:t xml:space="preserve">, </w:t>
      </w:r>
      <w:r w:rsidR="00CF0C69" w:rsidRPr="001F4D5E">
        <w:rPr>
          <w:rFonts w:ascii="Arial" w:hAnsi="Arial" w:cs="Arial"/>
          <w:color w:val="000000"/>
          <w:sz w:val="20"/>
          <w:szCs w:val="20"/>
          <w:shd w:val="clear" w:color="auto" w:fill="FFFFFF"/>
        </w:rPr>
        <w:t xml:space="preserve">mới có đủ cơ sở để kết luận </w:t>
      </w:r>
      <w:r w:rsidR="00394F39" w:rsidRPr="001F4D5E">
        <w:rPr>
          <w:rFonts w:ascii="Arial" w:hAnsi="Arial" w:cs="Arial"/>
          <w:color w:val="000000"/>
          <w:sz w:val="20"/>
          <w:szCs w:val="20"/>
          <w:shd w:val="clear" w:color="auto" w:fill="FFFFFF"/>
        </w:rPr>
        <w:t xml:space="preserve">rằng, </w:t>
      </w:r>
      <w:r w:rsidR="00CF0C69" w:rsidRPr="001F4D5E">
        <w:rPr>
          <w:rFonts w:ascii="Arial" w:hAnsi="Arial" w:cs="Arial"/>
          <w:color w:val="000000"/>
          <w:sz w:val="20"/>
          <w:szCs w:val="20"/>
          <w:shd w:val="clear" w:color="auto" w:fill="FFFFFF"/>
        </w:rPr>
        <w:t xml:space="preserve">người nộp đơn đã đăng ký nhãn hiệu với </w:t>
      </w:r>
      <w:r w:rsidR="00394F39" w:rsidRPr="001F4D5E">
        <w:rPr>
          <w:rFonts w:ascii="Arial" w:hAnsi="Arial" w:cs="Arial"/>
          <w:color w:val="000000"/>
          <w:sz w:val="20"/>
          <w:szCs w:val="20"/>
          <w:shd w:val="clear" w:color="auto" w:fill="FFFFFF"/>
        </w:rPr>
        <w:t>“</w:t>
      </w:r>
      <w:r w:rsidR="00CF0C69" w:rsidRPr="001F4D5E">
        <w:rPr>
          <w:rFonts w:ascii="Arial" w:hAnsi="Arial" w:cs="Arial"/>
          <w:color w:val="000000"/>
          <w:sz w:val="20"/>
          <w:szCs w:val="20"/>
          <w:shd w:val="clear" w:color="auto" w:fill="FFFFFF"/>
        </w:rPr>
        <w:t>dụng ý xấu</w:t>
      </w:r>
      <w:r w:rsidR="00394F39" w:rsidRPr="001F4D5E">
        <w:rPr>
          <w:rFonts w:ascii="Arial" w:hAnsi="Arial" w:cs="Arial"/>
          <w:color w:val="000000"/>
          <w:sz w:val="20"/>
          <w:szCs w:val="20"/>
          <w:shd w:val="clear" w:color="auto" w:fill="FFFFFF"/>
        </w:rPr>
        <w:t>”</w:t>
      </w:r>
      <w:r w:rsidR="00CF0C69" w:rsidRPr="001F4D5E">
        <w:rPr>
          <w:rFonts w:ascii="Arial" w:hAnsi="Arial" w:cs="Arial"/>
          <w:color w:val="000000"/>
          <w:sz w:val="20"/>
          <w:szCs w:val="20"/>
          <w:shd w:val="clear" w:color="auto" w:fill="FFFFFF"/>
        </w:rPr>
        <w:t>. Nói cách khác, nếu chỉ chứng minh được một trong hai tiêu chí nêu trên, đơn phản đối hay hủy bỏ hiệu lực nhãn hiệu sẽ bị coi là không đủ cơ sở và bị bác bỏ.</w:t>
      </w:r>
    </w:p>
    <w:p w14:paraId="0EBF50B1" w14:textId="77777777" w:rsidR="001269C7" w:rsidRPr="001F4D5E" w:rsidRDefault="001269C7" w:rsidP="001269C7">
      <w:pPr>
        <w:spacing w:after="0" w:line="240" w:lineRule="auto"/>
        <w:jc w:val="both"/>
        <w:rPr>
          <w:rFonts w:ascii="Arial" w:hAnsi="Arial" w:cs="Arial"/>
          <w:color w:val="000000"/>
          <w:sz w:val="20"/>
          <w:szCs w:val="20"/>
          <w:shd w:val="clear" w:color="auto" w:fill="FFFFFF"/>
        </w:rPr>
      </w:pPr>
    </w:p>
    <w:p w14:paraId="2E32B63B" w14:textId="54630139" w:rsidR="00394F39" w:rsidRDefault="00CF0C69" w:rsidP="001269C7">
      <w:pPr>
        <w:spacing w:after="0" w:line="240" w:lineRule="auto"/>
        <w:jc w:val="both"/>
        <w:rPr>
          <w:rFonts w:ascii="Arial" w:hAnsi="Arial" w:cs="Arial"/>
          <w:color w:val="000000"/>
          <w:sz w:val="20"/>
          <w:szCs w:val="20"/>
          <w:shd w:val="clear" w:color="auto" w:fill="FFFFFF"/>
        </w:rPr>
      </w:pPr>
      <w:r w:rsidRPr="001F4D5E">
        <w:rPr>
          <w:rFonts w:ascii="Arial" w:hAnsi="Arial" w:cs="Arial"/>
          <w:color w:val="000000"/>
          <w:sz w:val="20"/>
          <w:szCs w:val="20"/>
          <w:shd w:val="clear" w:color="auto" w:fill="FFFFFF"/>
        </w:rPr>
        <w:t xml:space="preserve">Yêu cầu phải đáp ứng </w:t>
      </w:r>
      <w:r w:rsidR="00394F39" w:rsidRPr="001F4D5E">
        <w:rPr>
          <w:rFonts w:ascii="Arial" w:hAnsi="Arial" w:cs="Arial"/>
          <w:color w:val="000000"/>
          <w:sz w:val="20"/>
          <w:szCs w:val="20"/>
          <w:shd w:val="clear" w:color="auto" w:fill="FFFFFF"/>
        </w:rPr>
        <w:t xml:space="preserve">đồng thời </w:t>
      </w:r>
      <w:r w:rsidRPr="001F4D5E">
        <w:rPr>
          <w:rFonts w:ascii="Arial" w:hAnsi="Arial" w:cs="Arial"/>
          <w:color w:val="000000"/>
          <w:sz w:val="20"/>
          <w:szCs w:val="20"/>
          <w:shd w:val="clear" w:color="auto" w:fill="FFFFFF"/>
        </w:rPr>
        <w:t>hai điều kiện</w:t>
      </w:r>
      <w:r w:rsidR="00394F39" w:rsidRPr="001F4D5E">
        <w:rPr>
          <w:rFonts w:ascii="Arial" w:hAnsi="Arial" w:cs="Arial"/>
          <w:color w:val="000000"/>
          <w:sz w:val="20"/>
          <w:szCs w:val="20"/>
          <w:shd w:val="clear" w:color="auto" w:fill="FFFFFF"/>
        </w:rPr>
        <w:t xml:space="preserve"> theo quy định tại Điều 34.2 Thông tư 23/2023/TT-BKHCN</w:t>
      </w:r>
      <w:r w:rsidRPr="001F4D5E">
        <w:rPr>
          <w:rFonts w:ascii="Arial" w:hAnsi="Arial" w:cs="Arial"/>
          <w:color w:val="000000"/>
          <w:sz w:val="20"/>
          <w:szCs w:val="20"/>
          <w:shd w:val="clear" w:color="auto" w:fill="FFFFFF"/>
        </w:rPr>
        <w:t xml:space="preserve"> khiến</w:t>
      </w:r>
      <w:r w:rsidR="00394F39" w:rsidRPr="001F4D5E">
        <w:rPr>
          <w:rFonts w:ascii="Arial" w:hAnsi="Arial" w:cs="Arial"/>
          <w:color w:val="000000"/>
          <w:sz w:val="20"/>
          <w:szCs w:val="20"/>
          <w:shd w:val="clear" w:color="auto" w:fill="FFFFFF"/>
        </w:rPr>
        <w:t xml:space="preserve"> </w:t>
      </w:r>
      <w:r w:rsidRPr="001F4D5E">
        <w:rPr>
          <w:rFonts w:ascii="Arial" w:hAnsi="Arial" w:cs="Arial"/>
          <w:color w:val="000000"/>
          <w:sz w:val="20"/>
          <w:szCs w:val="20"/>
          <w:shd w:val="clear" w:color="auto" w:fill="FFFFFF"/>
        </w:rPr>
        <w:t xml:space="preserve">việc chứng minh </w:t>
      </w:r>
      <w:r w:rsidR="00394F39" w:rsidRPr="001F4D5E">
        <w:rPr>
          <w:rFonts w:ascii="Arial" w:hAnsi="Arial" w:cs="Arial"/>
          <w:color w:val="000000"/>
          <w:sz w:val="20"/>
          <w:szCs w:val="20"/>
          <w:shd w:val="clear" w:color="auto" w:fill="FFFFFF"/>
        </w:rPr>
        <w:t>dụng</w:t>
      </w:r>
      <w:r w:rsidRPr="001F4D5E">
        <w:rPr>
          <w:rFonts w:ascii="Arial" w:hAnsi="Arial" w:cs="Arial"/>
          <w:color w:val="000000"/>
          <w:sz w:val="20"/>
          <w:szCs w:val="20"/>
          <w:shd w:val="clear" w:color="auto" w:fill="FFFFFF"/>
        </w:rPr>
        <w:t xml:space="preserve"> </w:t>
      </w:r>
      <w:r w:rsidR="002D59ED" w:rsidRPr="001F4D5E">
        <w:rPr>
          <w:rFonts w:ascii="Arial" w:hAnsi="Arial" w:cs="Arial"/>
          <w:color w:val="000000"/>
          <w:sz w:val="20"/>
          <w:szCs w:val="20"/>
          <w:shd w:val="clear" w:color="auto" w:fill="FFFFFF"/>
        </w:rPr>
        <w:t xml:space="preserve">ý </w:t>
      </w:r>
      <w:r w:rsidRPr="001F4D5E">
        <w:rPr>
          <w:rFonts w:ascii="Arial" w:hAnsi="Arial" w:cs="Arial"/>
          <w:color w:val="000000"/>
          <w:sz w:val="20"/>
          <w:szCs w:val="20"/>
          <w:shd w:val="clear" w:color="auto" w:fill="FFFFFF"/>
        </w:rPr>
        <w:t xml:space="preserve">xấu </w:t>
      </w:r>
      <w:r w:rsidRPr="001269C7">
        <w:rPr>
          <w:rFonts w:ascii="Arial" w:hAnsi="Arial" w:cs="Arial"/>
          <w:color w:val="000000"/>
          <w:sz w:val="20"/>
          <w:szCs w:val="20"/>
          <w:u w:val="single"/>
          <w:shd w:val="clear" w:color="auto" w:fill="FFFFFF"/>
        </w:rPr>
        <w:t>trở nên khó khăn</w:t>
      </w:r>
      <w:r w:rsidR="00394F39" w:rsidRPr="001F4D5E">
        <w:rPr>
          <w:rFonts w:ascii="Arial" w:hAnsi="Arial" w:cs="Arial"/>
          <w:color w:val="000000"/>
          <w:sz w:val="20"/>
          <w:szCs w:val="20"/>
          <w:shd w:val="clear" w:color="auto" w:fill="FFFFFF"/>
        </w:rPr>
        <w:t xml:space="preserve"> và </w:t>
      </w:r>
      <w:r w:rsidR="00394F39" w:rsidRPr="001269C7">
        <w:rPr>
          <w:rFonts w:ascii="Arial" w:hAnsi="Arial" w:cs="Arial"/>
          <w:color w:val="000000"/>
          <w:sz w:val="20"/>
          <w:szCs w:val="20"/>
          <w:u w:val="single"/>
          <w:shd w:val="clear" w:color="auto" w:fill="FFFFFF"/>
        </w:rPr>
        <w:t>thách thức</w:t>
      </w:r>
      <w:r w:rsidRPr="001269C7">
        <w:rPr>
          <w:rFonts w:ascii="Arial" w:hAnsi="Arial" w:cs="Arial"/>
          <w:color w:val="000000"/>
          <w:sz w:val="20"/>
          <w:szCs w:val="20"/>
          <w:u w:val="single"/>
          <w:shd w:val="clear" w:color="auto" w:fill="FFFFFF"/>
        </w:rPr>
        <w:t xml:space="preserve"> hơn</w:t>
      </w:r>
      <w:r w:rsidRPr="001F4D5E">
        <w:rPr>
          <w:rFonts w:ascii="Arial" w:hAnsi="Arial" w:cs="Arial"/>
          <w:color w:val="000000"/>
          <w:sz w:val="20"/>
          <w:szCs w:val="20"/>
          <w:shd w:val="clear" w:color="auto" w:fill="FFFFFF"/>
        </w:rPr>
        <w:t xml:space="preserve">, vì </w:t>
      </w:r>
      <w:r w:rsidR="00394F39" w:rsidRPr="001F4D5E">
        <w:rPr>
          <w:rFonts w:ascii="Arial" w:hAnsi="Arial" w:cs="Arial"/>
          <w:color w:val="000000"/>
          <w:sz w:val="20"/>
          <w:szCs w:val="20"/>
          <w:shd w:val="clear" w:color="auto" w:fill="FFFFFF"/>
        </w:rPr>
        <w:t>chủ sở hữu nhãn hiệu đích thực</w:t>
      </w:r>
      <w:r w:rsidRPr="001F4D5E">
        <w:rPr>
          <w:rFonts w:ascii="Arial" w:hAnsi="Arial" w:cs="Arial"/>
          <w:color w:val="000000"/>
          <w:sz w:val="20"/>
          <w:szCs w:val="20"/>
          <w:shd w:val="clear" w:color="auto" w:fill="FFFFFF"/>
        </w:rPr>
        <w:t xml:space="preserve"> phải cung cấp bằng chứng cho thấy </w:t>
      </w:r>
      <w:r w:rsidRPr="001269C7">
        <w:rPr>
          <w:rFonts w:ascii="Arial" w:hAnsi="Arial" w:cs="Arial"/>
          <w:color w:val="000000"/>
          <w:sz w:val="20"/>
          <w:szCs w:val="20"/>
          <w:u w:val="single"/>
          <w:shd w:val="clear" w:color="auto" w:fill="FFFFFF"/>
        </w:rPr>
        <w:t xml:space="preserve">người nộp đơn không chỉ </w:t>
      </w:r>
      <w:hyperlink r:id="rId11" w:history="1">
        <w:r w:rsidR="001269C7" w:rsidRPr="00553893">
          <w:rPr>
            <w:rStyle w:val="Hyperlink"/>
            <w:rFonts w:ascii="Arial" w:hAnsi="Arial" w:cs="Arial"/>
            <w:sz w:val="20"/>
            <w:szCs w:val="20"/>
            <w:shd w:val="clear" w:color="auto" w:fill="FFFFFF"/>
          </w:rPr>
          <w:t>“</w:t>
        </w:r>
        <w:r w:rsidRPr="00553893">
          <w:rPr>
            <w:rStyle w:val="Hyperlink"/>
            <w:rFonts w:ascii="Arial" w:hAnsi="Arial" w:cs="Arial"/>
            <w:sz w:val="20"/>
            <w:szCs w:val="20"/>
            <w:shd w:val="clear" w:color="auto" w:fill="FFFFFF"/>
          </w:rPr>
          <w:t>biết</w:t>
        </w:r>
        <w:r w:rsidR="001269C7" w:rsidRPr="00553893">
          <w:rPr>
            <w:rStyle w:val="Hyperlink"/>
            <w:rFonts w:ascii="Arial" w:hAnsi="Arial" w:cs="Arial"/>
            <w:sz w:val="20"/>
            <w:szCs w:val="20"/>
            <w:shd w:val="clear" w:color="auto" w:fill="FFFFFF"/>
          </w:rPr>
          <w:t>” hoặc “có cơ sở để biết”</w:t>
        </w:r>
      </w:hyperlink>
      <w:r w:rsidRPr="001269C7">
        <w:rPr>
          <w:rFonts w:ascii="Arial" w:hAnsi="Arial" w:cs="Arial"/>
          <w:color w:val="000000"/>
          <w:sz w:val="20"/>
          <w:szCs w:val="20"/>
          <w:u w:val="single"/>
          <w:shd w:val="clear" w:color="auto" w:fill="FFFFFF"/>
        </w:rPr>
        <w:t xml:space="preserve"> </w:t>
      </w:r>
      <w:r w:rsidR="001269C7" w:rsidRPr="001269C7">
        <w:rPr>
          <w:rFonts w:ascii="Arial" w:hAnsi="Arial" w:cs="Arial"/>
          <w:color w:val="000000"/>
          <w:sz w:val="20"/>
          <w:szCs w:val="20"/>
          <w:u w:val="single"/>
          <w:shd w:val="clear" w:color="auto" w:fill="FFFFFF"/>
        </w:rPr>
        <w:t xml:space="preserve">đến </w:t>
      </w:r>
      <w:r w:rsidRPr="001269C7">
        <w:rPr>
          <w:rFonts w:ascii="Arial" w:hAnsi="Arial" w:cs="Arial"/>
          <w:color w:val="000000"/>
          <w:sz w:val="20"/>
          <w:szCs w:val="20"/>
          <w:u w:val="single"/>
          <w:shd w:val="clear" w:color="auto" w:fill="FFFFFF"/>
        </w:rPr>
        <w:t>nhãn hiệu đã có từ trước</w:t>
      </w:r>
      <w:r w:rsidR="00394F39" w:rsidRPr="001F4D5E">
        <w:rPr>
          <w:rFonts w:ascii="Arial" w:hAnsi="Arial" w:cs="Arial"/>
          <w:color w:val="000000"/>
          <w:sz w:val="20"/>
          <w:szCs w:val="20"/>
          <w:shd w:val="clear" w:color="auto" w:fill="FFFFFF"/>
        </w:rPr>
        <w:t>,</w:t>
      </w:r>
      <w:r w:rsidRPr="001F4D5E">
        <w:rPr>
          <w:rFonts w:ascii="Arial" w:hAnsi="Arial" w:cs="Arial"/>
          <w:color w:val="000000"/>
          <w:sz w:val="20"/>
          <w:szCs w:val="20"/>
          <w:shd w:val="clear" w:color="auto" w:fill="FFFFFF"/>
        </w:rPr>
        <w:t xml:space="preserve"> mà </w:t>
      </w:r>
      <w:r w:rsidRPr="001269C7">
        <w:rPr>
          <w:rFonts w:ascii="Arial" w:hAnsi="Arial" w:cs="Arial"/>
          <w:b/>
          <w:bCs/>
          <w:color w:val="000000"/>
          <w:sz w:val="20"/>
          <w:szCs w:val="20"/>
          <w:u w:val="single"/>
          <w:shd w:val="clear" w:color="auto" w:fill="FFFFFF"/>
        </w:rPr>
        <w:t xml:space="preserve">còn </w:t>
      </w:r>
      <w:r w:rsidR="00394F39" w:rsidRPr="001269C7">
        <w:rPr>
          <w:rFonts w:ascii="Arial" w:hAnsi="Arial" w:cs="Arial"/>
          <w:b/>
          <w:bCs/>
          <w:color w:val="000000"/>
          <w:sz w:val="20"/>
          <w:szCs w:val="20"/>
          <w:u w:val="single"/>
          <w:shd w:val="clear" w:color="auto" w:fill="FFFFFF"/>
        </w:rPr>
        <w:t xml:space="preserve">phải chứng minh rằng </w:t>
      </w:r>
      <w:r w:rsidRPr="001269C7">
        <w:rPr>
          <w:rFonts w:ascii="Arial" w:hAnsi="Arial" w:cs="Arial"/>
          <w:b/>
          <w:bCs/>
          <w:color w:val="000000"/>
          <w:sz w:val="20"/>
          <w:szCs w:val="20"/>
          <w:u w:val="single"/>
          <w:shd w:val="clear" w:color="auto" w:fill="FFFFFF"/>
        </w:rPr>
        <w:t xml:space="preserve">động cơ đăng ký </w:t>
      </w:r>
      <w:r w:rsidR="00394F39" w:rsidRPr="001269C7">
        <w:rPr>
          <w:rFonts w:ascii="Arial" w:hAnsi="Arial" w:cs="Arial"/>
          <w:b/>
          <w:bCs/>
          <w:color w:val="000000"/>
          <w:sz w:val="20"/>
          <w:szCs w:val="20"/>
          <w:u w:val="single"/>
          <w:shd w:val="clear" w:color="auto" w:fill="FFFFFF"/>
        </w:rPr>
        <w:t>nhãn hiệu của người nộp đơn</w:t>
      </w:r>
      <w:r w:rsidRPr="001269C7">
        <w:rPr>
          <w:rFonts w:ascii="Arial" w:hAnsi="Arial" w:cs="Arial"/>
          <w:b/>
          <w:bCs/>
          <w:color w:val="000000"/>
          <w:sz w:val="20"/>
          <w:szCs w:val="20"/>
          <w:u w:val="single"/>
          <w:shd w:val="clear" w:color="auto" w:fill="FFFFFF"/>
        </w:rPr>
        <w:t xml:space="preserve"> là không đúng đắn</w:t>
      </w:r>
      <w:r w:rsidRPr="001F4D5E">
        <w:rPr>
          <w:rFonts w:ascii="Arial" w:hAnsi="Arial" w:cs="Arial"/>
          <w:color w:val="000000"/>
          <w:sz w:val="20"/>
          <w:szCs w:val="20"/>
          <w:shd w:val="clear" w:color="auto" w:fill="FFFFFF"/>
        </w:rPr>
        <w:t xml:space="preserve">. </w:t>
      </w:r>
      <w:r w:rsidR="004B3E7C" w:rsidRPr="001F4D5E">
        <w:rPr>
          <w:rFonts w:ascii="Arial" w:hAnsi="Arial" w:cs="Arial"/>
          <w:color w:val="000000"/>
          <w:sz w:val="20"/>
          <w:szCs w:val="20"/>
          <w:shd w:val="clear" w:color="auto" w:fill="FFFFFF"/>
        </w:rPr>
        <w:t xml:space="preserve">Ngay cả khi rõ ràng rằng người nộp đơn đã biết đến sự tồn tại trước đó của nhãn hiệu của chủ nhãn hiệu đích thực, việc chứng minh động cơ </w:t>
      </w:r>
      <w:r w:rsidR="00B6008E" w:rsidRPr="001F4D5E">
        <w:rPr>
          <w:rFonts w:ascii="Arial" w:hAnsi="Arial" w:cs="Arial"/>
          <w:color w:val="000000"/>
          <w:sz w:val="20"/>
          <w:szCs w:val="20"/>
          <w:shd w:val="clear" w:color="auto" w:fill="FFFFFF"/>
        </w:rPr>
        <w:t xml:space="preserve">không trung thực của người nộp đơn cũng không hề đơn giản. </w:t>
      </w:r>
      <w:r w:rsidR="00394F39" w:rsidRPr="001F4D5E">
        <w:rPr>
          <w:rFonts w:ascii="Arial" w:hAnsi="Arial" w:cs="Arial"/>
          <w:color w:val="000000"/>
          <w:sz w:val="20"/>
          <w:szCs w:val="20"/>
          <w:shd w:val="clear" w:color="auto" w:fill="FFFFFF"/>
        </w:rPr>
        <w:t xml:space="preserve">Quy định </w:t>
      </w:r>
      <w:r w:rsidR="00C61EDD">
        <w:rPr>
          <w:rFonts w:ascii="Arial" w:hAnsi="Arial" w:cs="Arial"/>
          <w:color w:val="000000"/>
          <w:sz w:val="20"/>
          <w:szCs w:val="20"/>
          <w:shd w:val="clear" w:color="auto" w:fill="FFFFFF"/>
        </w:rPr>
        <w:t xml:space="preserve">này, </w:t>
      </w:r>
      <w:r w:rsidR="00394F39" w:rsidRPr="001F4D5E">
        <w:rPr>
          <w:rFonts w:ascii="Arial" w:hAnsi="Arial" w:cs="Arial"/>
          <w:color w:val="000000"/>
          <w:sz w:val="20"/>
          <w:szCs w:val="20"/>
          <w:shd w:val="clear" w:color="auto" w:fill="FFFFFF"/>
        </w:rPr>
        <w:t>mặc dù bị cho rằng gây khó khăn cho việc chứng minh “dụng ý xấu”, nhưng nhằm phân biệt giữa việc nộp đơn đăng ký nhãn hiệu trùng hoặc tương tự với nhãn hiệu của người khác một cách đơn thuần, không có chủ ý với trường hợp nộp đơn đăng ký nhãn hiệu có dụng ý xấu thực sự.</w:t>
      </w:r>
    </w:p>
    <w:p w14:paraId="615A2B5D" w14:textId="77777777" w:rsidR="001269C7" w:rsidRPr="001F4D5E" w:rsidRDefault="001269C7" w:rsidP="001269C7">
      <w:pPr>
        <w:spacing w:after="0" w:line="240" w:lineRule="auto"/>
        <w:jc w:val="both"/>
        <w:rPr>
          <w:rFonts w:ascii="Arial" w:hAnsi="Arial" w:cs="Arial"/>
          <w:color w:val="000000"/>
          <w:sz w:val="20"/>
          <w:szCs w:val="20"/>
          <w:shd w:val="clear" w:color="auto" w:fill="FFFFFF"/>
        </w:rPr>
      </w:pPr>
    </w:p>
    <w:p w14:paraId="10D77AED" w14:textId="26A9FC1C" w:rsidR="00394F39" w:rsidRPr="001269C7" w:rsidRDefault="00694C63" w:rsidP="001269C7">
      <w:pPr>
        <w:spacing w:after="0" w:line="240" w:lineRule="auto"/>
        <w:jc w:val="both"/>
        <w:rPr>
          <w:rFonts w:ascii="Arial" w:hAnsi="Arial" w:cs="Arial"/>
          <w:b/>
          <w:bCs/>
          <w:color w:val="2F5496" w:themeColor="accent1" w:themeShade="BF"/>
          <w:shd w:val="clear" w:color="auto" w:fill="FFFFFF"/>
        </w:rPr>
      </w:pPr>
      <w:r w:rsidRPr="001269C7">
        <w:rPr>
          <w:rFonts w:ascii="Arial" w:hAnsi="Arial" w:cs="Arial"/>
          <w:b/>
          <w:bCs/>
          <w:color w:val="2F5496" w:themeColor="accent1" w:themeShade="BF"/>
          <w:shd w:val="clear" w:color="auto" w:fill="FFFFFF"/>
        </w:rPr>
        <w:t>4.</w:t>
      </w:r>
      <w:r w:rsidR="00682AC5" w:rsidRPr="001269C7">
        <w:rPr>
          <w:rFonts w:ascii="Arial" w:hAnsi="Arial" w:cs="Arial"/>
          <w:b/>
          <w:bCs/>
          <w:color w:val="2F5496" w:themeColor="accent1" w:themeShade="BF"/>
          <w:shd w:val="clear" w:color="auto" w:fill="FFFFFF"/>
        </w:rPr>
        <w:t xml:space="preserve"> Tài liệu chứng minh “dụng ý xấu”: Cần đáp ứng các yêu cầu nào?</w:t>
      </w:r>
    </w:p>
    <w:p w14:paraId="6239928A" w14:textId="77777777" w:rsidR="001269C7" w:rsidRPr="001F4D5E" w:rsidRDefault="001269C7" w:rsidP="001269C7">
      <w:pPr>
        <w:spacing w:after="0" w:line="240" w:lineRule="auto"/>
        <w:jc w:val="both"/>
        <w:rPr>
          <w:rFonts w:ascii="Arial" w:hAnsi="Arial" w:cs="Arial"/>
          <w:b/>
          <w:bCs/>
          <w:color w:val="000000"/>
          <w:sz w:val="20"/>
          <w:szCs w:val="20"/>
          <w:shd w:val="clear" w:color="auto" w:fill="FFFFFF"/>
        </w:rPr>
      </w:pPr>
    </w:p>
    <w:p w14:paraId="13852E31" w14:textId="2469D982" w:rsidR="00682AC5" w:rsidRDefault="00F01BF3" w:rsidP="001269C7">
      <w:pPr>
        <w:pStyle w:val="ListParagraph"/>
        <w:numPr>
          <w:ilvl w:val="0"/>
          <w:numId w:val="4"/>
        </w:numPr>
        <w:spacing w:after="0" w:line="240" w:lineRule="auto"/>
        <w:ind w:left="360"/>
        <w:jc w:val="both"/>
        <w:rPr>
          <w:rFonts w:ascii="Arial" w:hAnsi="Arial" w:cs="Arial"/>
          <w:color w:val="000000"/>
          <w:sz w:val="20"/>
          <w:szCs w:val="20"/>
          <w:shd w:val="clear" w:color="auto" w:fill="FFFFFF"/>
        </w:rPr>
      </w:pPr>
      <w:r w:rsidRPr="00D05B74">
        <w:rPr>
          <w:rFonts w:ascii="Arial" w:hAnsi="Arial" w:cs="Arial"/>
          <w:b/>
          <w:bCs/>
          <w:color w:val="000000"/>
          <w:shd w:val="clear" w:color="auto" w:fill="FFFFFF"/>
        </w:rPr>
        <w:t>Hình thức</w:t>
      </w:r>
      <w:r w:rsidR="00C77BA1" w:rsidRPr="001F4D5E">
        <w:rPr>
          <w:rFonts w:ascii="Arial" w:hAnsi="Arial" w:cs="Arial"/>
          <w:color w:val="000000"/>
          <w:sz w:val="20"/>
          <w:szCs w:val="20"/>
          <w:shd w:val="clear" w:color="auto" w:fill="FFFFFF"/>
        </w:rPr>
        <w:t xml:space="preserve">: Các tài liệu, chứng cứ cung cấp để phản đối hay yêu cầu hủy bỏ hiệu lực nhãn hiệu trên cơ sở “dụng ý xấu” phải là các tài liệu, </w:t>
      </w:r>
      <w:r w:rsidR="00C77BA1" w:rsidRPr="0045216F">
        <w:rPr>
          <w:rFonts w:ascii="Arial" w:hAnsi="Arial" w:cs="Arial"/>
          <w:sz w:val="20"/>
          <w:szCs w:val="20"/>
          <w:shd w:val="clear" w:color="auto" w:fill="FFFFFF"/>
        </w:rPr>
        <w:t>chứng cứ hợp pháp</w:t>
      </w:r>
      <w:r w:rsidR="00C77BA1" w:rsidRPr="001F4D5E">
        <w:rPr>
          <w:rFonts w:ascii="Arial" w:hAnsi="Arial" w:cs="Arial"/>
          <w:color w:val="000000"/>
          <w:sz w:val="20"/>
          <w:szCs w:val="20"/>
          <w:shd w:val="clear" w:color="auto" w:fill="FFFFFF"/>
        </w:rPr>
        <w:t xml:space="preserve">. Thông thường, các tài liệu </w:t>
      </w:r>
      <w:r w:rsidRPr="001F4D5E">
        <w:rPr>
          <w:rFonts w:ascii="Arial" w:hAnsi="Arial" w:cs="Arial"/>
          <w:color w:val="000000"/>
          <w:sz w:val="20"/>
          <w:szCs w:val="20"/>
          <w:shd w:val="clear" w:color="auto" w:fill="FFFFFF"/>
        </w:rPr>
        <w:t xml:space="preserve">có thể là bản gốc, </w:t>
      </w:r>
      <w:r w:rsidR="004B3E7C" w:rsidRPr="001F4D5E">
        <w:rPr>
          <w:rFonts w:ascii="Arial" w:hAnsi="Arial" w:cs="Arial"/>
          <w:color w:val="000000"/>
          <w:sz w:val="20"/>
          <w:szCs w:val="20"/>
          <w:shd w:val="clear" w:color="auto" w:fill="FFFFFF"/>
        </w:rPr>
        <w:t>hoặc bản sao</w:t>
      </w:r>
      <w:r w:rsidRPr="001F4D5E">
        <w:rPr>
          <w:rFonts w:ascii="Arial" w:hAnsi="Arial" w:cs="Arial"/>
          <w:color w:val="000000"/>
          <w:sz w:val="20"/>
          <w:szCs w:val="20"/>
          <w:shd w:val="clear" w:color="auto" w:fill="FFFFFF"/>
        </w:rPr>
        <w:t xml:space="preserve"> công chứng hoặc</w:t>
      </w:r>
      <w:r w:rsidR="004B3E7C" w:rsidRPr="001F4D5E">
        <w:rPr>
          <w:rFonts w:ascii="Arial" w:hAnsi="Arial" w:cs="Arial"/>
          <w:color w:val="000000"/>
          <w:sz w:val="20"/>
          <w:szCs w:val="20"/>
          <w:shd w:val="clear" w:color="auto" w:fill="FFFFFF"/>
        </w:rPr>
        <w:t xml:space="preserve"> được</w:t>
      </w:r>
      <w:r w:rsidRPr="001F4D5E">
        <w:rPr>
          <w:rFonts w:ascii="Arial" w:hAnsi="Arial" w:cs="Arial"/>
          <w:color w:val="000000"/>
          <w:sz w:val="20"/>
          <w:szCs w:val="20"/>
          <w:shd w:val="clear" w:color="auto" w:fill="FFFFFF"/>
        </w:rPr>
        <w:t xml:space="preserve"> lập vi bằng tại một văn phòng thừa phát lại tại Việt Nam.</w:t>
      </w:r>
    </w:p>
    <w:p w14:paraId="0BCA11CB" w14:textId="77777777" w:rsidR="001269C7" w:rsidRPr="001F4D5E" w:rsidRDefault="001269C7" w:rsidP="001269C7">
      <w:pPr>
        <w:pStyle w:val="ListParagraph"/>
        <w:spacing w:after="0" w:line="240" w:lineRule="auto"/>
        <w:ind w:left="360"/>
        <w:jc w:val="both"/>
        <w:rPr>
          <w:rFonts w:ascii="Arial" w:hAnsi="Arial" w:cs="Arial"/>
          <w:color w:val="000000"/>
          <w:sz w:val="20"/>
          <w:szCs w:val="20"/>
          <w:shd w:val="clear" w:color="auto" w:fill="FFFFFF"/>
        </w:rPr>
      </w:pPr>
    </w:p>
    <w:p w14:paraId="1BFB31C6" w14:textId="621949BF" w:rsidR="00C67A85" w:rsidRDefault="00F01BF3" w:rsidP="001269C7">
      <w:pPr>
        <w:pStyle w:val="ListParagraph"/>
        <w:numPr>
          <w:ilvl w:val="0"/>
          <w:numId w:val="4"/>
        </w:numPr>
        <w:spacing w:after="0" w:line="240" w:lineRule="auto"/>
        <w:ind w:left="360"/>
        <w:jc w:val="both"/>
        <w:rPr>
          <w:rFonts w:ascii="Arial" w:hAnsi="Arial" w:cs="Arial"/>
          <w:color w:val="000000"/>
          <w:sz w:val="20"/>
          <w:szCs w:val="20"/>
          <w:shd w:val="clear" w:color="auto" w:fill="FFFFFF"/>
        </w:rPr>
      </w:pPr>
      <w:r w:rsidRPr="00D05B74">
        <w:rPr>
          <w:rFonts w:ascii="Arial" w:hAnsi="Arial" w:cs="Arial"/>
          <w:b/>
          <w:bCs/>
          <w:color w:val="000000"/>
          <w:shd w:val="clear" w:color="auto" w:fill="FFFFFF"/>
        </w:rPr>
        <w:t>Tính liên kết</w:t>
      </w:r>
      <w:r w:rsidRPr="001F4D5E">
        <w:rPr>
          <w:rFonts w:ascii="Arial" w:hAnsi="Arial" w:cs="Arial"/>
          <w:color w:val="000000"/>
          <w:sz w:val="20"/>
          <w:szCs w:val="20"/>
          <w:shd w:val="clear" w:color="auto" w:fill="FFFFFF"/>
        </w:rPr>
        <w:t>: Các tài liệu phải chứng minh được</w:t>
      </w:r>
      <w:r w:rsidR="00C67A85" w:rsidRPr="001F4D5E">
        <w:rPr>
          <w:rFonts w:ascii="Arial" w:hAnsi="Arial" w:cs="Arial"/>
          <w:color w:val="000000"/>
          <w:sz w:val="20"/>
          <w:szCs w:val="20"/>
          <w:shd w:val="clear" w:color="auto" w:fill="FFFFFF"/>
        </w:rPr>
        <w:t xml:space="preserve"> mối liên kết giữa việc biết đến nhãn hiệu với động cơ phía sau việc đăng ký nhãn hiệu.</w:t>
      </w:r>
    </w:p>
    <w:p w14:paraId="7F2F1CA5" w14:textId="77777777" w:rsidR="001269C7" w:rsidRPr="001F4D5E" w:rsidRDefault="001269C7" w:rsidP="001269C7">
      <w:pPr>
        <w:pStyle w:val="ListParagraph"/>
        <w:spacing w:after="0" w:line="240" w:lineRule="auto"/>
        <w:ind w:left="360"/>
        <w:jc w:val="both"/>
        <w:rPr>
          <w:rFonts w:ascii="Arial" w:hAnsi="Arial" w:cs="Arial"/>
          <w:color w:val="000000"/>
          <w:sz w:val="20"/>
          <w:szCs w:val="20"/>
          <w:shd w:val="clear" w:color="auto" w:fill="FFFFFF"/>
        </w:rPr>
      </w:pPr>
    </w:p>
    <w:p w14:paraId="1CA5028C" w14:textId="42E96430" w:rsidR="00F01BF3" w:rsidRDefault="00F01BF3" w:rsidP="001269C7">
      <w:pPr>
        <w:pStyle w:val="ListParagraph"/>
        <w:numPr>
          <w:ilvl w:val="0"/>
          <w:numId w:val="4"/>
        </w:numPr>
        <w:spacing w:after="0" w:line="240" w:lineRule="auto"/>
        <w:ind w:left="360"/>
        <w:jc w:val="both"/>
        <w:rPr>
          <w:rFonts w:ascii="Arial" w:hAnsi="Arial" w:cs="Arial"/>
          <w:color w:val="000000"/>
          <w:sz w:val="20"/>
          <w:szCs w:val="20"/>
          <w:shd w:val="clear" w:color="auto" w:fill="FFFFFF"/>
        </w:rPr>
      </w:pPr>
      <w:r w:rsidRPr="00D05B74">
        <w:rPr>
          <w:rFonts w:ascii="Arial" w:hAnsi="Arial" w:cs="Arial"/>
          <w:b/>
          <w:bCs/>
          <w:color w:val="000000"/>
          <w:shd w:val="clear" w:color="auto" w:fill="FFFFFF"/>
        </w:rPr>
        <w:t>Sử dụng rộng rãi hoặc nổi tiếng</w:t>
      </w:r>
      <w:r w:rsidRPr="001F4D5E">
        <w:rPr>
          <w:rFonts w:ascii="Arial" w:hAnsi="Arial" w:cs="Arial"/>
          <w:color w:val="000000"/>
          <w:sz w:val="20"/>
          <w:szCs w:val="20"/>
          <w:shd w:val="clear" w:color="auto" w:fill="FFFFFF"/>
        </w:rPr>
        <w:t xml:space="preserve">: Chủ sở hữu nhãn hiệu đích thực cần cung cấp các tài liệu chứng minh đã </w:t>
      </w:r>
      <w:hyperlink r:id="rId12" w:history="1">
        <w:r w:rsidRPr="00D44F2C">
          <w:rPr>
            <w:rStyle w:val="Hyperlink"/>
            <w:rFonts w:ascii="Arial" w:hAnsi="Arial" w:cs="Arial"/>
            <w:sz w:val="20"/>
            <w:szCs w:val="20"/>
            <w:shd w:val="clear" w:color="auto" w:fill="FFFFFF"/>
          </w:rPr>
          <w:t>sử dụng rộng rãi</w:t>
        </w:r>
      </w:hyperlink>
      <w:r w:rsidRPr="001F4D5E">
        <w:rPr>
          <w:rFonts w:ascii="Arial" w:hAnsi="Arial" w:cs="Arial"/>
          <w:color w:val="000000"/>
          <w:sz w:val="20"/>
          <w:szCs w:val="20"/>
          <w:shd w:val="clear" w:color="auto" w:fill="FFFFFF"/>
        </w:rPr>
        <w:t xml:space="preserve"> nhãn hiệu của mình tại Việt Nam hoặc đã trở nên nổi tiếng ở nước ngoài.</w:t>
      </w:r>
    </w:p>
    <w:p w14:paraId="1C9AE8B1" w14:textId="77777777" w:rsidR="001269C7" w:rsidRPr="001F4D5E" w:rsidRDefault="001269C7" w:rsidP="001269C7">
      <w:pPr>
        <w:pStyle w:val="ListParagraph"/>
        <w:spacing w:after="0" w:line="240" w:lineRule="auto"/>
        <w:ind w:left="360"/>
        <w:jc w:val="both"/>
        <w:rPr>
          <w:rFonts w:ascii="Arial" w:hAnsi="Arial" w:cs="Arial"/>
          <w:color w:val="000000"/>
          <w:sz w:val="20"/>
          <w:szCs w:val="20"/>
          <w:shd w:val="clear" w:color="auto" w:fill="FFFFFF"/>
        </w:rPr>
      </w:pPr>
    </w:p>
    <w:p w14:paraId="7779E977" w14:textId="39E70029" w:rsidR="00F01BF3" w:rsidRPr="001F4D5E" w:rsidRDefault="00C67A85" w:rsidP="001269C7">
      <w:pPr>
        <w:pStyle w:val="ListParagraph"/>
        <w:numPr>
          <w:ilvl w:val="0"/>
          <w:numId w:val="4"/>
        </w:numPr>
        <w:spacing w:after="0" w:line="240" w:lineRule="auto"/>
        <w:ind w:left="360"/>
        <w:jc w:val="both"/>
        <w:rPr>
          <w:rFonts w:ascii="Arial" w:hAnsi="Arial" w:cs="Arial"/>
          <w:color w:val="000000"/>
          <w:sz w:val="20"/>
          <w:szCs w:val="20"/>
          <w:shd w:val="clear" w:color="auto" w:fill="FFFFFF"/>
        </w:rPr>
      </w:pPr>
      <w:r w:rsidRPr="00D05B74">
        <w:rPr>
          <w:rFonts w:ascii="Arial" w:hAnsi="Arial" w:cs="Arial"/>
          <w:b/>
          <w:bCs/>
          <w:color w:val="000000"/>
          <w:shd w:val="clear" w:color="auto" w:fill="FFFFFF"/>
        </w:rPr>
        <w:t>Thời gian</w:t>
      </w:r>
      <w:r w:rsidRPr="001F4D5E">
        <w:rPr>
          <w:rFonts w:ascii="Arial" w:hAnsi="Arial" w:cs="Arial"/>
          <w:color w:val="000000"/>
          <w:sz w:val="20"/>
          <w:szCs w:val="20"/>
          <w:shd w:val="clear" w:color="auto" w:fill="FFFFFF"/>
        </w:rPr>
        <w:t xml:space="preserve">: Các tài liệu </w:t>
      </w:r>
      <w:r w:rsidR="000C4186" w:rsidRPr="001F4D5E">
        <w:rPr>
          <w:rFonts w:ascii="Arial" w:hAnsi="Arial" w:cs="Arial"/>
          <w:color w:val="000000"/>
          <w:sz w:val="20"/>
          <w:szCs w:val="20"/>
          <w:shd w:val="clear" w:color="auto" w:fill="FFFFFF"/>
        </w:rPr>
        <w:t xml:space="preserve">chứng minh tình trạng sử dụng hay uy tín, danh tiếng… </w:t>
      </w:r>
      <w:r w:rsidRPr="001F4D5E">
        <w:rPr>
          <w:rFonts w:ascii="Arial" w:hAnsi="Arial" w:cs="Arial"/>
          <w:color w:val="000000"/>
          <w:sz w:val="20"/>
          <w:szCs w:val="20"/>
          <w:shd w:val="clear" w:color="auto" w:fill="FFFFFF"/>
        </w:rPr>
        <w:t xml:space="preserve">phải </w:t>
      </w:r>
      <w:r w:rsidR="000C4186" w:rsidRPr="001F4D5E">
        <w:rPr>
          <w:rFonts w:ascii="Arial" w:hAnsi="Arial" w:cs="Arial"/>
          <w:color w:val="000000"/>
          <w:sz w:val="20"/>
          <w:szCs w:val="20"/>
          <w:shd w:val="clear" w:color="auto" w:fill="FFFFFF"/>
        </w:rPr>
        <w:t xml:space="preserve">được xác lập </w:t>
      </w:r>
      <w:r w:rsidRPr="001F4D5E">
        <w:rPr>
          <w:rFonts w:ascii="Arial" w:hAnsi="Arial" w:cs="Arial"/>
          <w:color w:val="000000"/>
          <w:sz w:val="20"/>
          <w:szCs w:val="20"/>
          <w:shd w:val="clear" w:color="auto" w:fill="FFFFFF"/>
        </w:rPr>
        <w:t>trước ngày nộp đơn đăng ký nhãn hiệu</w:t>
      </w:r>
      <w:r w:rsidR="000C4186" w:rsidRPr="001F4D5E">
        <w:rPr>
          <w:rFonts w:ascii="Arial" w:hAnsi="Arial" w:cs="Arial"/>
          <w:color w:val="000000"/>
          <w:sz w:val="20"/>
          <w:szCs w:val="20"/>
          <w:shd w:val="clear" w:color="auto" w:fill="FFFFFF"/>
        </w:rPr>
        <w:t xml:space="preserve"> tại Việt Nam.</w:t>
      </w:r>
    </w:p>
    <w:p w14:paraId="224475CE" w14:textId="77777777" w:rsidR="001269C7" w:rsidRDefault="001269C7" w:rsidP="001269C7">
      <w:pPr>
        <w:spacing w:after="0" w:line="240" w:lineRule="auto"/>
        <w:jc w:val="both"/>
        <w:rPr>
          <w:rFonts w:ascii="Arial" w:hAnsi="Arial" w:cs="Arial"/>
          <w:b/>
          <w:bCs/>
          <w:color w:val="000000"/>
          <w:sz w:val="20"/>
          <w:szCs w:val="20"/>
          <w:shd w:val="clear" w:color="auto" w:fill="FFFFFF"/>
        </w:rPr>
      </w:pPr>
    </w:p>
    <w:p w14:paraId="4AA01841" w14:textId="3BB823DC" w:rsidR="006B509F" w:rsidRPr="001269C7" w:rsidRDefault="006B509F" w:rsidP="001269C7">
      <w:pPr>
        <w:spacing w:after="0" w:line="240" w:lineRule="auto"/>
        <w:jc w:val="both"/>
        <w:rPr>
          <w:rFonts w:ascii="Arial" w:hAnsi="Arial" w:cs="Arial"/>
          <w:b/>
          <w:bCs/>
          <w:color w:val="2F5496" w:themeColor="accent1" w:themeShade="BF"/>
          <w:shd w:val="clear" w:color="auto" w:fill="FFFFFF"/>
        </w:rPr>
      </w:pPr>
      <w:r w:rsidRPr="001269C7">
        <w:rPr>
          <w:rFonts w:ascii="Arial" w:hAnsi="Arial" w:cs="Arial"/>
          <w:b/>
          <w:bCs/>
          <w:color w:val="2F5496" w:themeColor="accent1" w:themeShade="BF"/>
          <w:shd w:val="clear" w:color="auto" w:fill="FFFFFF"/>
        </w:rPr>
        <w:t>Lời kết</w:t>
      </w:r>
    </w:p>
    <w:p w14:paraId="33823EA5" w14:textId="77777777" w:rsidR="001269C7" w:rsidRDefault="001269C7" w:rsidP="001269C7">
      <w:pPr>
        <w:spacing w:after="0" w:line="240" w:lineRule="auto"/>
        <w:jc w:val="both"/>
        <w:rPr>
          <w:rFonts w:ascii="Arial" w:hAnsi="Arial" w:cs="Arial"/>
          <w:color w:val="000000"/>
          <w:sz w:val="20"/>
          <w:szCs w:val="20"/>
          <w:shd w:val="clear" w:color="auto" w:fill="FFFFFF"/>
        </w:rPr>
      </w:pPr>
    </w:p>
    <w:p w14:paraId="54D58F58" w14:textId="1A2EE943" w:rsidR="00C61EDD" w:rsidRDefault="008564A8" w:rsidP="001269C7">
      <w:pPr>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Đ</w:t>
      </w:r>
      <w:r w:rsidR="006B509F" w:rsidRPr="001F4D5E">
        <w:rPr>
          <w:rFonts w:ascii="Arial" w:hAnsi="Arial" w:cs="Arial"/>
          <w:color w:val="000000"/>
          <w:sz w:val="20"/>
          <w:szCs w:val="20"/>
          <w:shd w:val="clear" w:color="auto" w:fill="FFFFFF"/>
        </w:rPr>
        <w:t xml:space="preserve">òi lại nhãn hiệu </w:t>
      </w:r>
      <w:r w:rsidR="00876257" w:rsidRPr="001F4D5E">
        <w:rPr>
          <w:rFonts w:ascii="Arial" w:hAnsi="Arial" w:cs="Arial"/>
          <w:color w:val="000000"/>
          <w:sz w:val="20"/>
          <w:szCs w:val="20"/>
          <w:shd w:val="clear" w:color="auto" w:fill="FFFFFF"/>
        </w:rPr>
        <w:t>bị bên thứ ba đăng ký với dụng ý</w:t>
      </w:r>
      <w:r w:rsidR="00877B4E" w:rsidRPr="001F4D5E">
        <w:rPr>
          <w:rFonts w:ascii="Arial" w:hAnsi="Arial" w:cs="Arial"/>
          <w:color w:val="000000"/>
          <w:sz w:val="20"/>
          <w:szCs w:val="20"/>
          <w:shd w:val="clear" w:color="auto" w:fill="FFFFFF"/>
        </w:rPr>
        <w:t xml:space="preserve"> xấu</w:t>
      </w:r>
      <w:r w:rsidR="00876257" w:rsidRPr="001F4D5E">
        <w:rPr>
          <w:rFonts w:ascii="Arial" w:hAnsi="Arial" w:cs="Arial"/>
          <w:color w:val="000000"/>
          <w:sz w:val="20"/>
          <w:szCs w:val="20"/>
          <w:shd w:val="clear" w:color="auto" w:fill="FFFFFF"/>
        </w:rPr>
        <w:t xml:space="preserve"> cần </w:t>
      </w:r>
      <w:r>
        <w:rPr>
          <w:rFonts w:ascii="Arial" w:hAnsi="Arial" w:cs="Arial"/>
          <w:color w:val="000000"/>
          <w:sz w:val="20"/>
          <w:szCs w:val="20"/>
          <w:shd w:val="clear" w:color="auto" w:fill="FFFFFF"/>
        </w:rPr>
        <w:t xml:space="preserve">áp dụng </w:t>
      </w:r>
      <w:r w:rsidR="006B509F" w:rsidRPr="001F4D5E">
        <w:rPr>
          <w:rFonts w:ascii="Arial" w:hAnsi="Arial" w:cs="Arial"/>
          <w:color w:val="000000"/>
          <w:sz w:val="20"/>
          <w:szCs w:val="20"/>
          <w:shd w:val="clear" w:color="auto" w:fill="FFFFFF"/>
        </w:rPr>
        <w:t xml:space="preserve">một </w:t>
      </w:r>
      <w:hyperlink r:id="rId13" w:history="1">
        <w:r w:rsidR="006B509F" w:rsidRPr="002149DE">
          <w:rPr>
            <w:rStyle w:val="Hyperlink"/>
            <w:rFonts w:ascii="Arial" w:hAnsi="Arial" w:cs="Arial"/>
            <w:sz w:val="20"/>
            <w:szCs w:val="20"/>
            <w:shd w:val="clear" w:color="auto" w:fill="FFFFFF"/>
          </w:rPr>
          <w:t>chiến lược</w:t>
        </w:r>
      </w:hyperlink>
      <w:r w:rsidR="006B509F" w:rsidRPr="001F4D5E">
        <w:rPr>
          <w:rFonts w:ascii="Arial" w:hAnsi="Arial" w:cs="Arial"/>
          <w:color w:val="000000"/>
          <w:sz w:val="20"/>
          <w:szCs w:val="20"/>
          <w:shd w:val="clear" w:color="auto" w:fill="FFFFFF"/>
        </w:rPr>
        <w:t xml:space="preserve"> pháp lý </w:t>
      </w:r>
      <w:r>
        <w:rPr>
          <w:rFonts w:ascii="Arial" w:hAnsi="Arial" w:cs="Arial"/>
          <w:color w:val="000000"/>
          <w:sz w:val="20"/>
          <w:szCs w:val="20"/>
          <w:shd w:val="clear" w:color="auto" w:fill="FFFFFF"/>
        </w:rPr>
        <w:t>tỉ mỉ</w:t>
      </w:r>
      <w:r w:rsidR="006B509F" w:rsidRPr="001F4D5E">
        <w:rPr>
          <w:rFonts w:ascii="Arial" w:hAnsi="Arial" w:cs="Arial"/>
          <w:color w:val="000000"/>
          <w:sz w:val="20"/>
          <w:szCs w:val="20"/>
          <w:shd w:val="clear" w:color="auto" w:fill="FFFFFF"/>
        </w:rPr>
        <w:t xml:space="preserve"> và </w:t>
      </w:r>
      <w:r>
        <w:rPr>
          <w:rFonts w:ascii="Arial" w:hAnsi="Arial" w:cs="Arial"/>
          <w:color w:val="000000"/>
          <w:sz w:val="20"/>
          <w:szCs w:val="20"/>
          <w:shd w:val="clear" w:color="auto" w:fill="FFFFFF"/>
        </w:rPr>
        <w:t xml:space="preserve">tốn kém </w:t>
      </w:r>
      <w:r w:rsidR="006B509F" w:rsidRPr="001F4D5E">
        <w:rPr>
          <w:rFonts w:ascii="Arial" w:hAnsi="Arial" w:cs="Arial"/>
          <w:color w:val="000000"/>
          <w:sz w:val="20"/>
          <w:szCs w:val="20"/>
          <w:shd w:val="clear" w:color="auto" w:fill="FFFFFF"/>
        </w:rPr>
        <w:t>nguồn lực</w:t>
      </w:r>
      <w:r>
        <w:rPr>
          <w:rFonts w:ascii="Arial" w:hAnsi="Arial" w:cs="Arial"/>
          <w:color w:val="000000"/>
          <w:sz w:val="20"/>
          <w:szCs w:val="20"/>
          <w:shd w:val="clear" w:color="auto" w:fill="FFFFFF"/>
        </w:rPr>
        <w:t>. V</w:t>
      </w:r>
      <w:r w:rsidR="006B509F" w:rsidRPr="001F4D5E">
        <w:rPr>
          <w:rFonts w:ascii="Arial" w:hAnsi="Arial" w:cs="Arial"/>
          <w:color w:val="000000"/>
          <w:sz w:val="20"/>
          <w:szCs w:val="20"/>
          <w:shd w:val="clear" w:color="auto" w:fill="FFFFFF"/>
        </w:rPr>
        <w:t xml:space="preserve">iệc thu thập và </w:t>
      </w:r>
      <w:r w:rsidR="00876257" w:rsidRPr="001F4D5E">
        <w:rPr>
          <w:rFonts w:ascii="Arial" w:hAnsi="Arial" w:cs="Arial"/>
          <w:color w:val="000000"/>
          <w:sz w:val="20"/>
          <w:szCs w:val="20"/>
          <w:shd w:val="clear" w:color="auto" w:fill="FFFFFF"/>
        </w:rPr>
        <w:t>sử dụng</w:t>
      </w:r>
      <w:r w:rsidR="006B509F" w:rsidRPr="001F4D5E">
        <w:rPr>
          <w:rFonts w:ascii="Arial" w:hAnsi="Arial" w:cs="Arial"/>
          <w:color w:val="000000"/>
          <w:sz w:val="20"/>
          <w:szCs w:val="20"/>
          <w:shd w:val="clear" w:color="auto" w:fill="FFFFFF"/>
        </w:rPr>
        <w:t xml:space="preserve"> bằng chứng thuyết phục </w:t>
      </w:r>
      <w:r w:rsidR="001F4D5E" w:rsidRPr="001F4D5E">
        <w:rPr>
          <w:rFonts w:ascii="Arial" w:hAnsi="Arial" w:cs="Arial"/>
          <w:color w:val="000000"/>
          <w:sz w:val="20"/>
          <w:szCs w:val="20"/>
          <w:shd w:val="clear" w:color="auto" w:fill="FFFFFF"/>
        </w:rPr>
        <w:t xml:space="preserve">để thỏa mãn đồng thời cả hai điều kiện: (i) biết hoặc có cơ sở để biết đến nhãn hiệu của chủ sở hữu đích thực và (ii) ý định, động cơ phía sau việc đăng ký nhãn hiệu của người nộp đơn </w:t>
      </w:r>
      <w:r w:rsidR="001F4D5E" w:rsidRPr="008564A8">
        <w:rPr>
          <w:rFonts w:ascii="Arial" w:hAnsi="Arial" w:cs="Arial"/>
          <w:color w:val="000000"/>
          <w:sz w:val="20"/>
          <w:szCs w:val="20"/>
          <w:u w:val="single"/>
          <w:shd w:val="clear" w:color="auto" w:fill="FFFFFF"/>
        </w:rPr>
        <w:t>đòi hỏi cách tiếp cận chiến lược</w:t>
      </w:r>
      <w:r w:rsidRPr="008564A8">
        <w:rPr>
          <w:rFonts w:ascii="Arial" w:hAnsi="Arial" w:cs="Arial"/>
          <w:color w:val="000000"/>
          <w:sz w:val="20"/>
          <w:szCs w:val="20"/>
          <w:shd w:val="clear" w:color="auto" w:fill="FFFFFF"/>
        </w:rPr>
        <w:t>.</w:t>
      </w:r>
      <w:r w:rsidR="001F4D5E" w:rsidRPr="00D05B74">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Điều này</w:t>
      </w:r>
      <w:r w:rsidR="001F4D5E" w:rsidRPr="00D05B74">
        <w:rPr>
          <w:rFonts w:ascii="Arial" w:hAnsi="Arial" w:cs="Arial"/>
          <w:color w:val="000000"/>
          <w:sz w:val="20"/>
          <w:szCs w:val="20"/>
          <w:shd w:val="clear" w:color="auto" w:fill="FFFFFF"/>
        </w:rPr>
        <w:t xml:space="preserve"> không chỉ </w:t>
      </w:r>
      <w:r>
        <w:rPr>
          <w:rFonts w:ascii="Arial" w:hAnsi="Arial" w:cs="Arial"/>
          <w:color w:val="000000"/>
          <w:sz w:val="20"/>
          <w:szCs w:val="20"/>
          <w:shd w:val="clear" w:color="auto" w:fill="FFFFFF"/>
        </w:rPr>
        <w:t>bao gồm</w:t>
      </w:r>
      <w:r w:rsidR="001F4D5E" w:rsidRPr="00D05B74">
        <w:rPr>
          <w:rFonts w:ascii="Arial" w:hAnsi="Arial" w:cs="Arial"/>
          <w:color w:val="000000"/>
          <w:sz w:val="20"/>
          <w:szCs w:val="20"/>
          <w:shd w:val="clear" w:color="auto" w:fill="FFFFFF"/>
        </w:rPr>
        <w:t xml:space="preserve"> việc chứng minh một cách đơn giản về sự tồn tại từ trước và sự công nhận của công chúng đối với nhãn hiệu của chủ sở hữu đích thực, mà còn phải liên kết </w:t>
      </w:r>
      <w:r w:rsidR="00C61EDD">
        <w:rPr>
          <w:rFonts w:ascii="Arial" w:hAnsi="Arial" w:cs="Arial"/>
          <w:color w:val="000000"/>
          <w:sz w:val="20"/>
          <w:szCs w:val="20"/>
          <w:shd w:val="clear" w:color="auto" w:fill="FFFFFF"/>
        </w:rPr>
        <w:t>sự công nhận đó</w:t>
      </w:r>
      <w:r w:rsidR="001F4D5E" w:rsidRPr="00D05B74">
        <w:rPr>
          <w:rFonts w:ascii="Arial" w:hAnsi="Arial" w:cs="Arial"/>
          <w:color w:val="000000"/>
          <w:sz w:val="20"/>
          <w:szCs w:val="20"/>
          <w:shd w:val="clear" w:color="auto" w:fill="FFFFFF"/>
        </w:rPr>
        <w:t xml:space="preserve"> với động cơ</w:t>
      </w:r>
      <w:r w:rsidR="00C61EDD">
        <w:rPr>
          <w:rFonts w:ascii="Arial" w:hAnsi="Arial" w:cs="Arial"/>
          <w:color w:val="000000"/>
          <w:sz w:val="20"/>
          <w:szCs w:val="20"/>
          <w:shd w:val="clear" w:color="auto" w:fill="FFFFFF"/>
        </w:rPr>
        <w:t xml:space="preserve"> không trung thực của người nộp đơn. Do vậy, chiến lược tiếp cận vụ việc phải toàn diện, </w:t>
      </w:r>
      <w:r w:rsidR="00C61EDD" w:rsidRPr="00C61EDD">
        <w:rPr>
          <w:rFonts w:ascii="Arial" w:hAnsi="Arial" w:cs="Arial"/>
          <w:color w:val="000000"/>
          <w:sz w:val="20"/>
          <w:szCs w:val="20"/>
          <w:shd w:val="clear" w:color="auto" w:fill="FFFFFF"/>
        </w:rPr>
        <w:t>đảm bảo rằng mọi khía cạnh pháp lý được xem xét cẩn trọng và các bằng chứng cung cấp phải thuyết phục, đáp ứng các tiêu chuẩn nghiêm ngặt trong việc chứng minh dụng ý xấu.</w:t>
      </w:r>
    </w:p>
    <w:p w14:paraId="268ABA4D" w14:textId="3319DC90" w:rsidR="00D05B74" w:rsidRDefault="00D05B74" w:rsidP="001269C7">
      <w:pPr>
        <w:spacing w:after="0" w:line="240" w:lineRule="auto"/>
        <w:jc w:val="both"/>
        <w:rPr>
          <w:rFonts w:ascii="Arial" w:hAnsi="Arial" w:cs="Arial"/>
          <w:color w:val="000000"/>
          <w:sz w:val="20"/>
          <w:szCs w:val="20"/>
          <w:shd w:val="clear" w:color="auto" w:fill="FFFFFF"/>
        </w:rPr>
      </w:pPr>
    </w:p>
    <w:p w14:paraId="022F49D2" w14:textId="17D99D01" w:rsidR="00D05B74" w:rsidRDefault="00D05B74" w:rsidP="001269C7">
      <w:pPr>
        <w:spacing w:after="0" w:line="240" w:lineRule="auto"/>
        <w:jc w:val="both"/>
        <w:rPr>
          <w:rFonts w:ascii="Arial" w:hAnsi="Arial" w:cs="Arial"/>
          <w:color w:val="000000"/>
          <w:sz w:val="20"/>
          <w:szCs w:val="20"/>
          <w:shd w:val="clear" w:color="auto" w:fill="FFFFFF"/>
        </w:rPr>
      </w:pPr>
      <w:r w:rsidRPr="00D05B74">
        <w:rPr>
          <w:rFonts w:ascii="Arial" w:hAnsi="Arial" w:cs="Arial"/>
          <w:color w:val="000000"/>
          <w:sz w:val="20"/>
          <w:szCs w:val="20"/>
          <w:shd w:val="clear" w:color="auto" w:fill="FFFFFF"/>
        </w:rPr>
        <w:t>Hãy liên hệ với KENFOX IP &amp; Law Office để được tư vấn xử lý các nhãn hiệu được nộp đơn hoặc đăng ký với dụng ý xấu và nắm được chiến lược đòi lại thành công quyền nhãn hiệu của bạn khi bị bên thứ ba đăng ký trên cơ sở không trung thực, để bảo vệ tối ưu quyền và lợi ích hợp pháp của bạn tại Việt Nam.</w:t>
      </w:r>
    </w:p>
    <w:p w14:paraId="16F2B95D" w14:textId="77777777" w:rsidR="00C33423" w:rsidRPr="001F4D5E" w:rsidRDefault="00C33423" w:rsidP="001269C7">
      <w:pPr>
        <w:spacing w:after="0" w:line="240" w:lineRule="auto"/>
        <w:jc w:val="both"/>
        <w:rPr>
          <w:rFonts w:ascii="Arial" w:hAnsi="Arial" w:cs="Arial"/>
          <w:color w:val="000000"/>
          <w:sz w:val="20"/>
          <w:szCs w:val="20"/>
          <w:shd w:val="clear" w:color="auto" w:fill="FFFFFF"/>
        </w:rPr>
      </w:pPr>
    </w:p>
    <w:p w14:paraId="23B95D92" w14:textId="77777777" w:rsidR="00D05B74" w:rsidRPr="001F4D5E" w:rsidRDefault="00D05B74" w:rsidP="001269C7">
      <w:pPr>
        <w:spacing w:after="0" w:line="240" w:lineRule="auto"/>
        <w:jc w:val="both"/>
        <w:rPr>
          <w:rFonts w:ascii="Arial" w:hAnsi="Arial" w:cs="Arial"/>
          <w:color w:val="000000"/>
          <w:sz w:val="20"/>
          <w:szCs w:val="20"/>
          <w:shd w:val="clear" w:color="auto" w:fill="FFFFFF"/>
        </w:rPr>
      </w:pPr>
    </w:p>
    <w:sectPr w:rsidR="00D05B74" w:rsidRPr="001F4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6628C"/>
    <w:multiLevelType w:val="hybridMultilevel"/>
    <w:tmpl w:val="0C4AF032"/>
    <w:lvl w:ilvl="0" w:tplc="B7829080">
      <w:start w:val="3"/>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F1951"/>
    <w:multiLevelType w:val="hybridMultilevel"/>
    <w:tmpl w:val="4446AFEE"/>
    <w:lvl w:ilvl="0" w:tplc="EC10B628">
      <w:start w:val="1"/>
      <w:numFmt w:val="decimal"/>
      <w:lvlText w:val="%1."/>
      <w:lvlJc w:val="left"/>
      <w:pPr>
        <w:ind w:left="720" w:hanging="360"/>
      </w:pPr>
      <w:rPr>
        <w:rFonts w:hint="default"/>
        <w:b w:val="0"/>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1D079B"/>
    <w:multiLevelType w:val="hybridMultilevel"/>
    <w:tmpl w:val="E14CAA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F1A37"/>
    <w:multiLevelType w:val="hybridMultilevel"/>
    <w:tmpl w:val="699CF4DE"/>
    <w:lvl w:ilvl="0" w:tplc="5C7A18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5603E9"/>
    <w:multiLevelType w:val="hybridMultilevel"/>
    <w:tmpl w:val="868E62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1C410D"/>
    <w:multiLevelType w:val="multilevel"/>
    <w:tmpl w:val="A07E7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B015E4"/>
    <w:multiLevelType w:val="hybridMultilevel"/>
    <w:tmpl w:val="025033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7"/>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EE6"/>
    <w:rsid w:val="00080977"/>
    <w:rsid w:val="000C198B"/>
    <w:rsid w:val="000C4186"/>
    <w:rsid w:val="001269C7"/>
    <w:rsid w:val="00185A7A"/>
    <w:rsid w:val="001B25F1"/>
    <w:rsid w:val="001B7510"/>
    <w:rsid w:val="001F4D5E"/>
    <w:rsid w:val="002149DE"/>
    <w:rsid w:val="00233B02"/>
    <w:rsid w:val="00290811"/>
    <w:rsid w:val="002D5157"/>
    <w:rsid w:val="002D59ED"/>
    <w:rsid w:val="002D7562"/>
    <w:rsid w:val="0030533E"/>
    <w:rsid w:val="00324730"/>
    <w:rsid w:val="00371921"/>
    <w:rsid w:val="00394F39"/>
    <w:rsid w:val="00425F1D"/>
    <w:rsid w:val="0045216F"/>
    <w:rsid w:val="004B3E7C"/>
    <w:rsid w:val="004D3848"/>
    <w:rsid w:val="004E06A4"/>
    <w:rsid w:val="004F588A"/>
    <w:rsid w:val="00524E5A"/>
    <w:rsid w:val="0053601F"/>
    <w:rsid w:val="00553893"/>
    <w:rsid w:val="0056522C"/>
    <w:rsid w:val="005724AB"/>
    <w:rsid w:val="005813C6"/>
    <w:rsid w:val="00647129"/>
    <w:rsid w:val="00682AC5"/>
    <w:rsid w:val="00694C63"/>
    <w:rsid w:val="006B509F"/>
    <w:rsid w:val="00745110"/>
    <w:rsid w:val="00767523"/>
    <w:rsid w:val="007A6435"/>
    <w:rsid w:val="007C391A"/>
    <w:rsid w:val="007D1E31"/>
    <w:rsid w:val="008564A8"/>
    <w:rsid w:val="00876257"/>
    <w:rsid w:val="00877B4E"/>
    <w:rsid w:val="008B7102"/>
    <w:rsid w:val="00955AC3"/>
    <w:rsid w:val="00AD33B3"/>
    <w:rsid w:val="00AE11E5"/>
    <w:rsid w:val="00B6008E"/>
    <w:rsid w:val="00BC5D4F"/>
    <w:rsid w:val="00C33423"/>
    <w:rsid w:val="00C61EDD"/>
    <w:rsid w:val="00C67A85"/>
    <w:rsid w:val="00C77BA1"/>
    <w:rsid w:val="00C81FD7"/>
    <w:rsid w:val="00CF0C69"/>
    <w:rsid w:val="00D05B74"/>
    <w:rsid w:val="00D44F2C"/>
    <w:rsid w:val="00EA4EE6"/>
    <w:rsid w:val="00EF03E6"/>
    <w:rsid w:val="00F01BF3"/>
    <w:rsid w:val="00F2696A"/>
    <w:rsid w:val="00F30527"/>
    <w:rsid w:val="00FB3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9E1A1"/>
  <w15:chartTrackingRefBased/>
  <w15:docId w15:val="{AF6A9975-53EF-4CE2-BD55-A0498D474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921"/>
    <w:pPr>
      <w:ind w:left="720"/>
      <w:contextualSpacing/>
    </w:pPr>
  </w:style>
  <w:style w:type="character" w:styleId="Strong">
    <w:name w:val="Strong"/>
    <w:basedOn w:val="DefaultParagraphFont"/>
    <w:uiPriority w:val="22"/>
    <w:qFormat/>
    <w:rsid w:val="0030533E"/>
    <w:rPr>
      <w:b/>
      <w:bCs/>
    </w:rPr>
  </w:style>
  <w:style w:type="paragraph" w:styleId="NormalWeb">
    <w:name w:val="Normal (Web)"/>
    <w:basedOn w:val="Normal"/>
    <w:uiPriority w:val="99"/>
    <w:unhideWhenUsed/>
    <w:rsid w:val="0064712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47129"/>
    <w:rPr>
      <w:color w:val="0000FF"/>
      <w:u w:val="single"/>
    </w:rPr>
  </w:style>
  <w:style w:type="character" w:customStyle="1" w:styleId="fontstyle01">
    <w:name w:val="fontstyle01"/>
    <w:basedOn w:val="DefaultParagraphFont"/>
    <w:rsid w:val="007A6435"/>
    <w:rPr>
      <w:rFonts w:ascii="ArialMT" w:hAnsi="ArialMT" w:hint="default"/>
      <w:b w:val="0"/>
      <w:bCs w:val="0"/>
      <w:i w:val="0"/>
      <w:iCs w:val="0"/>
      <w:color w:val="000000"/>
      <w:sz w:val="22"/>
      <w:szCs w:val="22"/>
    </w:rPr>
  </w:style>
  <w:style w:type="table" w:styleId="TableGrid">
    <w:name w:val="Table Grid"/>
    <w:basedOn w:val="TableNormal"/>
    <w:uiPriority w:val="39"/>
    <w:rsid w:val="001F4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D7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16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huy-bo-hieu-luc-dang-ky-nhan-hieu-khong-trung-thuc-o-viet-nam-2" TargetMode="External"/><Relationship Id="rId13" Type="http://schemas.openxmlformats.org/officeDocument/2006/relationships/hyperlink" Target="https://kenfoxlaw.com/vi/dau-la-chien-luoc-gianh-lai-nhan-hieu-khi-chua-dang-ky-tai-viet-nam" TargetMode="External"/><Relationship Id="rId3" Type="http://schemas.openxmlformats.org/officeDocument/2006/relationships/settings" Target="settings.xml"/><Relationship Id="rId7" Type="http://schemas.openxmlformats.org/officeDocument/2006/relationships/hyperlink" Target="https://kenfoxlaw.com/vi/phan-doi-nhan-hieu-hay-y-kien-cua-nguoi-thu-ba-lua-chon-nao-tot-hon" TargetMode="External"/><Relationship Id="rId12" Type="http://schemas.openxmlformats.org/officeDocument/2006/relationships/hyperlink" Target="https://kenfoxlaw.com/vi/phan-doi-va-huy-bo-nhan-hieu-tai-viet-nam-dua-tren-bang-chung-ve-su-dung-rong-rai-nhung-luu-y-de-gianh-thang-loi-trong-cac-tranh-chap-nhan-hi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nfoxlaw.com/vi/phan-doi-nhan-hieu-o-viet-nam-can-cu-phap-ly-nao-va-lam-sao-de-ap-dung-hieu-qua" TargetMode="External"/><Relationship Id="rId11" Type="http://schemas.openxmlformats.org/officeDocument/2006/relationships/hyperlink" Target="https://kenfoxlaw.com/vi/chung-minh-nguoi-nop-don-biet-hoac-co-co-so-de-biet-trong-cac-vu-viec-dang-ky-nhan-hieu-voi-dung-y-xau-nhu-the-nao" TargetMode="External"/><Relationship Id="rId5" Type="http://schemas.openxmlformats.org/officeDocument/2006/relationships/hyperlink" Target="Ch&#7913;ng%20minh%20d&#7909;ng%20&#253;%20x&#7845;u:%20B&#224;i%20h&#7885;c%20n&#224;o%20c&#7847;n%20r&#250;t%20&#273;&#7875;%20&#273;&#242;i%20l&#7841;i%20nh&#227;n%20hi&#7879;u%20t&#7841;i%20Vi&#7879;t%20Nam?" TargetMode="External"/><Relationship Id="rId15" Type="http://schemas.openxmlformats.org/officeDocument/2006/relationships/theme" Target="theme/theme1.xml"/><Relationship Id="rId10" Type="http://schemas.openxmlformats.org/officeDocument/2006/relationships/hyperlink" Target="https://kenfoxlaw.com/dang-ky-nhan-hieu-voi-dung-y-xau-lam-sao-chung-minh-y-dinh-dong-co-cua-nguoi-nop-don" TargetMode="External"/><Relationship Id="rId4" Type="http://schemas.openxmlformats.org/officeDocument/2006/relationships/webSettings" Target="webSettings.xml"/><Relationship Id="rId9" Type="http://schemas.openxmlformats.org/officeDocument/2006/relationships/hyperlink" Target="https://kenfoxlaw.com/vi/loi-dung-uy-tin-danh-tieng-cua-chu-nhan-hieu-dich-thuc-chung-minh-the-na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Vũ Quân</dc:creator>
  <cp:keywords/>
  <dc:description/>
  <cp:lastModifiedBy>Trang Ly</cp:lastModifiedBy>
  <cp:revision>7</cp:revision>
  <dcterms:created xsi:type="dcterms:W3CDTF">2024-04-25T08:08:00Z</dcterms:created>
  <dcterms:modified xsi:type="dcterms:W3CDTF">2024-05-06T07:32:00Z</dcterms:modified>
</cp:coreProperties>
</file>