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94F71" w14:textId="77777777" w:rsidR="00E67D80" w:rsidRPr="00FE45A7" w:rsidRDefault="004D64BC" w:rsidP="00E67D80">
      <w:pPr>
        <w:shd w:val="clear" w:color="auto" w:fill="FFFFFF"/>
        <w:spacing w:after="0" w:line="240" w:lineRule="auto"/>
        <w:jc w:val="center"/>
        <w:rPr>
          <w:rFonts w:ascii="Arial" w:eastAsia="Times New Roman" w:hAnsi="Arial" w:cs="Arial"/>
          <w:b/>
          <w:b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50C03A2" w:rsidR="00FA2CEE" w:rsidRPr="00BA68B8" w:rsidRDefault="00E82BC1" w:rsidP="00FA2CEE">
                            <w:pPr>
                              <w:spacing w:after="0" w:line="240" w:lineRule="auto"/>
                              <w:rPr>
                                <w:rFonts w:ascii="Arial" w:hAnsi="Arial" w:cs="Arial"/>
                                <w:b/>
                                <w:color w:val="FFFFFF" w:themeColor="background1"/>
                                <w:sz w:val="20"/>
                                <w:szCs w:val="20"/>
                              </w:rPr>
                            </w:pPr>
                            <w:r w:rsidRPr="00E82BC1">
                              <w:rPr>
                                <w:rFonts w:ascii="Arial" w:hAnsi="Arial" w:cs="Arial"/>
                                <w:b/>
                                <w:bCs/>
                                <w:color w:val="FFFFFF" w:themeColor="background1"/>
                                <w:sz w:val="20"/>
                                <w:szCs w:val="20"/>
                              </w:rPr>
                              <w:t>Cancelling a Trademark Registration in Bad Faith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50C03A2" w:rsidR="00FA2CEE" w:rsidRPr="00BA68B8" w:rsidRDefault="00E82BC1" w:rsidP="00FA2CEE">
                      <w:pPr>
                        <w:spacing w:after="0" w:line="240" w:lineRule="auto"/>
                        <w:rPr>
                          <w:rFonts w:ascii="Arial" w:hAnsi="Arial" w:cs="Arial"/>
                          <w:b/>
                          <w:color w:val="FFFFFF" w:themeColor="background1"/>
                          <w:sz w:val="20"/>
                          <w:szCs w:val="20"/>
                        </w:rPr>
                      </w:pPr>
                      <w:r w:rsidRPr="00E82BC1">
                        <w:rPr>
                          <w:rFonts w:ascii="Arial" w:hAnsi="Arial" w:cs="Arial"/>
                          <w:b/>
                          <w:bCs/>
                          <w:color w:val="FFFFFF" w:themeColor="background1"/>
                          <w:sz w:val="20"/>
                          <w:szCs w:val="20"/>
                        </w:rPr>
                        <w:t>Cancelling a Trademark Registration in Bad Faith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8D7E03C" w:rsidR="00FA2CEE" w:rsidRPr="00CC7576" w:rsidRDefault="00E82BC1" w:rsidP="00FA2CEE">
                            <w:pPr>
                              <w:spacing w:after="0"/>
                              <w:jc w:val="center"/>
                              <w:rPr>
                                <w:rFonts w:ascii="Arial" w:hAnsi="Arial" w:cs="Arial"/>
                                <w:b/>
                                <w:color w:val="FFFFFF" w:themeColor="background1"/>
                                <w:sz w:val="20"/>
                                <w:szCs w:val="20"/>
                              </w:rPr>
                            </w:pPr>
                            <w:r w:rsidRPr="00E82BC1">
                              <w:rPr>
                                <w:rFonts w:ascii="Arial" w:hAnsi="Arial" w:cs="Arial"/>
                                <w:b/>
                                <w:bCs/>
                                <w:color w:val="FFFFFF" w:themeColor="background1"/>
                                <w:sz w:val="20"/>
                                <w:szCs w:val="20"/>
                              </w:rPr>
                              <w:t>Cancelling a Trademark Registration in Bad Faith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8D7E03C" w:rsidR="00FA2CEE" w:rsidRPr="00CC7576" w:rsidRDefault="00E82BC1" w:rsidP="00FA2CEE">
                      <w:pPr>
                        <w:spacing w:after="0"/>
                        <w:jc w:val="center"/>
                        <w:rPr>
                          <w:rFonts w:ascii="Arial" w:hAnsi="Arial" w:cs="Arial"/>
                          <w:b/>
                          <w:color w:val="FFFFFF" w:themeColor="background1"/>
                          <w:sz w:val="20"/>
                          <w:szCs w:val="20"/>
                        </w:rPr>
                      </w:pPr>
                      <w:r w:rsidRPr="00E82BC1">
                        <w:rPr>
                          <w:rFonts w:ascii="Arial" w:hAnsi="Arial" w:cs="Arial"/>
                          <w:b/>
                          <w:bCs/>
                          <w:color w:val="FFFFFF" w:themeColor="background1"/>
                          <w:sz w:val="20"/>
                          <w:szCs w:val="20"/>
                        </w:rPr>
                        <w:t>Cancelling a Trademark Registration in Bad Faith in Vietnam</w:t>
                      </w:r>
                    </w:p>
                  </w:txbxContent>
                </v:textbox>
                <w10:wrap anchorx="page"/>
              </v:rect>
            </w:pict>
          </mc:Fallback>
        </mc:AlternateContent>
      </w:r>
      <w:r w:rsidR="00745E08" w:rsidRPr="00745E08">
        <w:rPr>
          <w:rFonts w:ascii="Arial" w:hAnsi="Arial" w:cs="Arial"/>
          <w:b/>
          <w:iCs/>
          <w:color w:val="C00000"/>
        </w:rPr>
        <w:t xml:space="preserve"> </w:t>
      </w:r>
      <w:r w:rsidR="00E67D80" w:rsidRPr="00E27DE1">
        <w:rPr>
          <w:rFonts w:ascii="Arial" w:eastAsia="Times New Roman" w:hAnsi="Arial" w:cs="Arial"/>
          <w:b/>
          <w:bCs/>
          <w:noProof/>
          <w:color w:val="C00000"/>
        </w:rPr>
        <w:t>Cancelling a Trademark Registration in Bad Faith in Vietnam: What a Genuine Trademark Owner Needs to Do</w:t>
      </w:r>
      <w:r w:rsidR="00E67D80">
        <w:rPr>
          <w:rFonts w:ascii="Arial" w:eastAsia="Times New Roman" w:hAnsi="Arial" w:cs="Arial"/>
          <w:b/>
          <w:bCs/>
          <w:noProof/>
          <w:color w:val="C00000"/>
        </w:rPr>
        <w:t>?</w:t>
      </w:r>
    </w:p>
    <w:p w14:paraId="7E49AB17" w14:textId="77777777" w:rsidR="00E67D80" w:rsidRPr="00E82BC1" w:rsidRDefault="00E67D80" w:rsidP="00E67D80">
      <w:pPr>
        <w:shd w:val="clear" w:color="auto" w:fill="FFFFFF"/>
        <w:spacing w:after="0" w:line="240" w:lineRule="auto"/>
        <w:jc w:val="both"/>
        <w:rPr>
          <w:sz w:val="12"/>
        </w:rPr>
      </w:pPr>
    </w:p>
    <w:p w14:paraId="6B359A19" w14:textId="64AFF771" w:rsidR="00E67D80" w:rsidRPr="0035552E" w:rsidRDefault="00E67D80" w:rsidP="00E67D80">
      <w:pPr>
        <w:shd w:val="clear" w:color="auto" w:fill="FFFFFF"/>
        <w:spacing w:after="0" w:line="240" w:lineRule="auto"/>
        <w:jc w:val="both"/>
        <w:rPr>
          <w:rFonts w:ascii="Arial" w:hAnsi="Arial" w:cs="Arial"/>
          <w:sz w:val="20"/>
          <w:szCs w:val="20"/>
        </w:rPr>
      </w:pPr>
      <w:r w:rsidRPr="0035552E">
        <w:rPr>
          <w:rFonts w:ascii="Arial" w:eastAsia="Times New Roman" w:hAnsi="Arial" w:cs="Arial"/>
          <w:i/>
          <w:iCs/>
          <w:sz w:val="20"/>
          <w:szCs w:val="20"/>
          <w:bdr w:val="none" w:sz="0" w:space="0" w:color="auto" w:frame="1"/>
        </w:rPr>
        <w:t>[Executive summary]:</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 xml:space="preserve">Tân Việt Company, a Vietnamese </w:t>
      </w:r>
      <w:r w:rsidRPr="0035552E">
        <w:rPr>
          <w:rFonts w:ascii="Arial" w:hAnsi="Arial" w:cs="Arial"/>
          <w:sz w:val="20"/>
          <w:szCs w:val="20"/>
        </w:rPr>
        <w:t xml:space="preserve">enterprise, successfully secured the trademark "CAF PROFESSIONAL SOUND" under Registration No. </w:t>
      </w:r>
      <w:r w:rsidRPr="00996828">
        <w:rPr>
          <w:rFonts w:ascii="Arial" w:hAnsi="Arial" w:cs="Arial"/>
          <w:sz w:val="20"/>
          <w:szCs w:val="20"/>
          <w:shd w:val="clear" w:color="auto" w:fill="FFFFFF"/>
        </w:rPr>
        <w:t>390821</w:t>
      </w:r>
      <w:r w:rsidRPr="0035552E">
        <w:rPr>
          <w:rFonts w:ascii="Arial" w:hAnsi="Arial" w:cs="Arial"/>
          <w:sz w:val="20"/>
          <w:szCs w:val="20"/>
        </w:rPr>
        <w:t xml:space="preserve"> with IP VIETNAM. Upon discovering this registration, Kafu Company, a China-based company, filed an invalidation with IP VIETNAM</w:t>
      </w:r>
      <w:r w:rsidR="00F501F3">
        <w:rPr>
          <w:rFonts w:ascii="Arial" w:hAnsi="Arial" w:cs="Arial"/>
          <w:sz w:val="20"/>
          <w:szCs w:val="20"/>
        </w:rPr>
        <w:t xml:space="preserve"> </w:t>
      </w:r>
      <w:hyperlink r:id="rId7" w:tgtFrame="_blank" w:history="1">
        <w:r w:rsidR="00F501F3">
          <w:rPr>
            <w:rStyle w:val="Hyperlink"/>
            <w:sz w:val="23"/>
            <w:szCs w:val="23"/>
            <w:bdr w:val="none" w:sz="0" w:space="0" w:color="auto" w:frame="1"/>
            <w:shd w:val="clear" w:color="auto" w:fill="FFFFFF"/>
          </w:rPr>
          <w:t>base</w:t>
        </w:r>
        <w:r w:rsidR="00F501F3">
          <w:rPr>
            <w:rStyle w:val="Hyperlink"/>
            <w:sz w:val="23"/>
            <w:szCs w:val="23"/>
            <w:bdr w:val="none" w:sz="0" w:space="0" w:color="auto" w:frame="1"/>
            <w:shd w:val="clear" w:color="auto" w:fill="FFFFFF"/>
          </w:rPr>
          <w:t>d</w:t>
        </w:r>
        <w:r w:rsidR="00F501F3">
          <w:rPr>
            <w:rStyle w:val="Hyperlink"/>
            <w:sz w:val="23"/>
            <w:szCs w:val="23"/>
            <w:bdr w:val="none" w:sz="0" w:space="0" w:color="auto" w:frame="1"/>
            <w:shd w:val="clear" w:color="auto" w:fill="FFFFFF"/>
          </w:rPr>
          <w:t xml:space="preserve"> on bad faith ground</w:t>
        </w:r>
      </w:hyperlink>
      <w:r w:rsidR="00F501F3">
        <w:rPr>
          <w:color w:val="000000"/>
          <w:sz w:val="23"/>
          <w:szCs w:val="23"/>
          <w:shd w:val="clear" w:color="auto" w:fill="FFFFFF"/>
        </w:rPr>
        <w:t>.</w:t>
      </w:r>
      <w:r w:rsidRPr="0035552E">
        <w:rPr>
          <w:rFonts w:ascii="Arial" w:hAnsi="Arial" w:cs="Arial"/>
          <w:sz w:val="20"/>
          <w:szCs w:val="20"/>
        </w:rPr>
        <w:t>.</w:t>
      </w:r>
    </w:p>
    <w:p w14:paraId="02659DF5" w14:textId="77777777" w:rsidR="00E67D80" w:rsidRPr="00E82BC1" w:rsidRDefault="00E67D80" w:rsidP="00E67D80">
      <w:pPr>
        <w:shd w:val="clear" w:color="auto" w:fill="FFFFFF"/>
        <w:spacing w:after="0" w:line="240" w:lineRule="auto"/>
        <w:rPr>
          <w:rFonts w:ascii="Arial" w:eastAsia="Times New Roman" w:hAnsi="Arial" w:cs="Arial"/>
          <w:sz w:val="18"/>
          <w:szCs w:val="20"/>
        </w:rPr>
      </w:pPr>
    </w:p>
    <w:tbl>
      <w:tblPr>
        <w:tblStyle w:val="TableGrid"/>
        <w:tblW w:w="0" w:type="auto"/>
        <w:tblLook w:val="04A0" w:firstRow="1" w:lastRow="0" w:firstColumn="1" w:lastColumn="0" w:noHBand="0" w:noVBand="1"/>
      </w:tblPr>
      <w:tblGrid>
        <w:gridCol w:w="3071"/>
        <w:gridCol w:w="6558"/>
      </w:tblGrid>
      <w:tr w:rsidR="00E67D80" w:rsidRPr="0035552E" w14:paraId="7B33669A" w14:textId="77777777" w:rsidTr="001B7AAC">
        <w:tc>
          <w:tcPr>
            <w:tcW w:w="3595" w:type="dxa"/>
          </w:tcPr>
          <w:p w14:paraId="0F6970A3" w14:textId="77777777" w:rsidR="00E67D80" w:rsidRPr="0035552E" w:rsidRDefault="00E67D80" w:rsidP="001B7AAC">
            <w:pPr>
              <w:rPr>
                <w:rFonts w:ascii="Arial" w:eastAsia="Times New Roman" w:hAnsi="Arial" w:cs="Arial"/>
                <w:b/>
                <w:bCs/>
                <w:sz w:val="20"/>
                <w:szCs w:val="20"/>
              </w:rPr>
            </w:pPr>
            <w:r w:rsidRPr="0035552E">
              <w:rPr>
                <w:rFonts w:ascii="Arial" w:eastAsia="Times New Roman" w:hAnsi="Arial" w:cs="Arial"/>
                <w:b/>
                <w:bCs/>
                <w:sz w:val="20"/>
                <w:szCs w:val="20"/>
              </w:rPr>
              <w:t>Category</w:t>
            </w:r>
          </w:p>
        </w:tc>
        <w:tc>
          <w:tcPr>
            <w:tcW w:w="9355" w:type="dxa"/>
          </w:tcPr>
          <w:p w14:paraId="5B12CC45" w14:textId="77777777" w:rsidR="00E67D80" w:rsidRPr="0035552E" w:rsidRDefault="00E67D80" w:rsidP="001B7AAC">
            <w:pPr>
              <w:rPr>
                <w:rFonts w:ascii="Arial" w:eastAsia="Times New Roman" w:hAnsi="Arial" w:cs="Arial"/>
                <w:b/>
                <w:bCs/>
                <w:sz w:val="20"/>
                <w:szCs w:val="20"/>
              </w:rPr>
            </w:pPr>
            <w:r w:rsidRPr="0035552E">
              <w:rPr>
                <w:rFonts w:ascii="Arial" w:eastAsia="Times New Roman" w:hAnsi="Arial" w:cs="Arial"/>
                <w:b/>
                <w:bCs/>
                <w:sz w:val="20"/>
                <w:szCs w:val="20"/>
              </w:rPr>
              <w:t>Details</w:t>
            </w:r>
          </w:p>
        </w:tc>
      </w:tr>
      <w:tr w:rsidR="00E67D80" w:rsidRPr="0035552E" w14:paraId="00BD51A1" w14:textId="77777777" w:rsidTr="001B7AAC">
        <w:tc>
          <w:tcPr>
            <w:tcW w:w="3595" w:type="dxa"/>
          </w:tcPr>
          <w:p w14:paraId="7DF42597"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Applied-for t</w:t>
            </w:r>
            <w:r w:rsidRPr="004C7C59">
              <w:rPr>
                <w:rFonts w:ascii="Arial" w:eastAsia="Times New Roman" w:hAnsi="Arial" w:cs="Arial"/>
                <w:sz w:val="20"/>
                <w:szCs w:val="20"/>
              </w:rPr>
              <w:t>rademark</w:t>
            </w:r>
          </w:p>
        </w:tc>
        <w:tc>
          <w:tcPr>
            <w:tcW w:w="9355" w:type="dxa"/>
          </w:tcPr>
          <w:p w14:paraId="1A53179B"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2BF798D4" wp14:editId="54AEC851">
                  <wp:extent cx="656828" cy="3879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858" cy="415161"/>
                          </a:xfrm>
                          <a:prstGeom prst="rect">
                            <a:avLst/>
                          </a:prstGeom>
                        </pic:spPr>
                      </pic:pic>
                    </a:graphicData>
                  </a:graphic>
                </wp:inline>
              </w:drawing>
            </w:r>
          </w:p>
        </w:tc>
      </w:tr>
      <w:tr w:rsidR="00E67D80" w:rsidRPr="0035552E" w14:paraId="48A66B4B" w14:textId="77777777" w:rsidTr="001B7AAC">
        <w:tc>
          <w:tcPr>
            <w:tcW w:w="3595" w:type="dxa"/>
          </w:tcPr>
          <w:p w14:paraId="79F1496D"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Class &amp; goods</w:t>
            </w:r>
          </w:p>
        </w:tc>
        <w:tc>
          <w:tcPr>
            <w:tcW w:w="9355" w:type="dxa"/>
          </w:tcPr>
          <w:p w14:paraId="389AE6CA" w14:textId="77777777" w:rsidR="00E67D80" w:rsidRPr="0035552E" w:rsidRDefault="00E67D80" w:rsidP="001B7AAC">
            <w:pPr>
              <w:jc w:val="both"/>
              <w:rPr>
                <w:rFonts w:ascii="Arial" w:eastAsia="Times New Roman" w:hAnsi="Arial" w:cs="Arial"/>
                <w:sz w:val="20"/>
                <w:szCs w:val="20"/>
              </w:rPr>
            </w:pPr>
            <w:r w:rsidRPr="0035552E">
              <w:rPr>
                <w:rFonts w:ascii="Arial" w:eastAsia="Times New Roman" w:hAnsi="Arial" w:cs="Arial"/>
                <w:sz w:val="20"/>
                <w:szCs w:val="20"/>
              </w:rPr>
              <w:t xml:space="preserve">09 </w:t>
            </w:r>
            <w:r w:rsidRPr="0035552E">
              <w:rPr>
                <w:rFonts w:ascii="Arial" w:eastAsia="Times New Roman" w:hAnsi="Arial" w:cs="Arial"/>
                <w:i/>
                <w:iCs/>
                <w:sz w:val="20"/>
                <w:szCs w:val="20"/>
              </w:rPr>
              <w:t>(Audio equipment such as speakers, audio amplifiers, disc players)</w:t>
            </w:r>
            <w:r>
              <w:rPr>
                <w:rFonts w:ascii="Arial" w:eastAsia="Times New Roman" w:hAnsi="Arial" w:cs="Arial"/>
                <w:i/>
                <w:iCs/>
                <w:sz w:val="20"/>
                <w:szCs w:val="20"/>
              </w:rPr>
              <w:t>.</w:t>
            </w:r>
          </w:p>
          <w:p w14:paraId="2994B311" w14:textId="77777777" w:rsidR="00E67D80" w:rsidRPr="0035552E" w:rsidRDefault="00E67D80" w:rsidP="001B7AAC">
            <w:pPr>
              <w:jc w:val="both"/>
              <w:rPr>
                <w:rFonts w:ascii="Arial" w:eastAsia="Times New Roman" w:hAnsi="Arial" w:cs="Arial"/>
                <w:sz w:val="20"/>
                <w:szCs w:val="20"/>
              </w:rPr>
            </w:pPr>
            <w:r w:rsidRPr="0035552E">
              <w:rPr>
                <w:rFonts w:ascii="Arial" w:eastAsia="Times New Roman" w:hAnsi="Arial" w:cs="Arial"/>
                <w:sz w:val="20"/>
                <w:szCs w:val="20"/>
              </w:rPr>
              <w:t xml:space="preserve">35 </w:t>
            </w:r>
            <w:r w:rsidRPr="0035552E">
              <w:rPr>
                <w:rFonts w:ascii="Arial" w:eastAsia="Times New Roman" w:hAnsi="Arial" w:cs="Arial"/>
                <w:i/>
                <w:iCs/>
                <w:sz w:val="20"/>
                <w:szCs w:val="20"/>
              </w:rPr>
              <w:t>(Trading, importing and exporting audio equipment such as speakers, sound amplifiers, disc players).</w:t>
            </w:r>
          </w:p>
        </w:tc>
      </w:tr>
      <w:tr w:rsidR="00E67D80" w:rsidRPr="0035552E" w14:paraId="05094805" w14:textId="77777777" w:rsidTr="001B7AAC">
        <w:tc>
          <w:tcPr>
            <w:tcW w:w="3595" w:type="dxa"/>
          </w:tcPr>
          <w:p w14:paraId="336EE71A"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Application/Registration</w:t>
            </w:r>
            <w:r w:rsidRPr="004C7C59">
              <w:rPr>
                <w:rFonts w:ascii="Arial" w:eastAsia="Times New Roman" w:hAnsi="Arial" w:cs="Arial"/>
                <w:sz w:val="20"/>
                <w:szCs w:val="20"/>
              </w:rPr>
              <w:t xml:space="preserve"> No.</w:t>
            </w:r>
          </w:p>
        </w:tc>
        <w:tc>
          <w:tcPr>
            <w:tcW w:w="9355" w:type="dxa"/>
          </w:tcPr>
          <w:p w14:paraId="40A49588" w14:textId="77777777" w:rsidR="00E67D80" w:rsidRPr="00996828" w:rsidRDefault="00E67D80" w:rsidP="001B7AAC">
            <w:pPr>
              <w:jc w:val="both"/>
              <w:rPr>
                <w:rFonts w:ascii="Arial" w:eastAsia="Times New Roman" w:hAnsi="Arial" w:cs="Arial"/>
                <w:sz w:val="20"/>
                <w:szCs w:val="20"/>
              </w:rPr>
            </w:pPr>
            <w:r w:rsidRPr="0035552E">
              <w:rPr>
                <w:rFonts w:ascii="Arial" w:hAnsi="Arial" w:cs="Arial"/>
                <w:sz w:val="20"/>
                <w:szCs w:val="20"/>
                <w:shd w:val="clear" w:color="auto" w:fill="FFFFFF"/>
              </w:rPr>
              <w:t>4-2018-28713 (</w:t>
            </w:r>
            <w:r w:rsidRPr="00996828">
              <w:rPr>
                <w:rFonts w:ascii="Arial" w:hAnsi="Arial" w:cs="Arial"/>
                <w:sz w:val="20"/>
                <w:szCs w:val="20"/>
                <w:shd w:val="clear" w:color="auto" w:fill="FFFFFF"/>
              </w:rPr>
              <w:t>390821)</w:t>
            </w:r>
          </w:p>
        </w:tc>
      </w:tr>
      <w:tr w:rsidR="00E67D80" w:rsidRPr="0035552E" w14:paraId="40DDAA15" w14:textId="77777777" w:rsidTr="001B7AAC">
        <w:tc>
          <w:tcPr>
            <w:tcW w:w="3595" w:type="dxa"/>
          </w:tcPr>
          <w:p w14:paraId="501C917A"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Applicant</w:t>
            </w:r>
          </w:p>
        </w:tc>
        <w:tc>
          <w:tcPr>
            <w:tcW w:w="9355" w:type="dxa"/>
          </w:tcPr>
          <w:p w14:paraId="7305CEDB" w14:textId="77777777" w:rsidR="00E67D80" w:rsidRPr="0035552E" w:rsidRDefault="00E67D80" w:rsidP="001B7AAC">
            <w:pPr>
              <w:jc w:val="both"/>
              <w:rPr>
                <w:rFonts w:ascii="Arial" w:eastAsia="Times New Roman" w:hAnsi="Arial" w:cs="Arial"/>
                <w:sz w:val="20"/>
                <w:szCs w:val="20"/>
              </w:rPr>
            </w:pPr>
            <w:r w:rsidRPr="0035552E">
              <w:rPr>
                <w:rFonts w:ascii="Arial" w:hAnsi="Arial" w:cs="Arial"/>
                <w:sz w:val="20"/>
                <w:szCs w:val="20"/>
                <w:shd w:val="clear" w:color="auto" w:fill="FFFFFF"/>
              </w:rPr>
              <w:t>Công ty cổ phần xuất nhập khẩu &amp; đầu tư phát triển Tân Việt (</w:t>
            </w:r>
            <w:r w:rsidRPr="0035552E">
              <w:rPr>
                <w:rFonts w:ascii="Arial" w:hAnsi="Arial" w:cs="Arial"/>
                <w:b/>
                <w:bCs/>
                <w:sz w:val="20"/>
                <w:szCs w:val="20"/>
                <w:shd w:val="clear" w:color="auto" w:fill="FFFFFF"/>
              </w:rPr>
              <w:t>Tan Viet Company</w:t>
            </w:r>
            <w:r w:rsidRPr="0035552E">
              <w:rPr>
                <w:rFonts w:ascii="Arial" w:hAnsi="Arial" w:cs="Arial"/>
                <w:sz w:val="20"/>
                <w:szCs w:val="20"/>
                <w:shd w:val="clear" w:color="auto" w:fill="FFFFFF"/>
              </w:rPr>
              <w:t>)</w:t>
            </w:r>
          </w:p>
        </w:tc>
      </w:tr>
      <w:tr w:rsidR="00E67D80" w:rsidRPr="0035552E" w14:paraId="72156479" w14:textId="77777777" w:rsidTr="001B7AAC">
        <w:tc>
          <w:tcPr>
            <w:tcW w:w="3595" w:type="dxa"/>
          </w:tcPr>
          <w:p w14:paraId="12D2D1A8"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Genuine trademark owner</w:t>
            </w:r>
          </w:p>
        </w:tc>
        <w:tc>
          <w:tcPr>
            <w:tcW w:w="9355" w:type="dxa"/>
          </w:tcPr>
          <w:p w14:paraId="3CC1CE55" w14:textId="77777777" w:rsidR="00E67D80" w:rsidRPr="0035552E" w:rsidRDefault="00E67D80" w:rsidP="001B7AAC">
            <w:pPr>
              <w:jc w:val="both"/>
              <w:rPr>
                <w:rFonts w:ascii="Arial" w:eastAsia="Times New Roman" w:hAnsi="Arial" w:cs="Arial"/>
                <w:sz w:val="20"/>
                <w:szCs w:val="20"/>
              </w:rPr>
            </w:pPr>
            <w:r w:rsidRPr="0035552E">
              <w:rPr>
                <w:rFonts w:ascii="Arial" w:hAnsi="Arial" w:cs="Arial"/>
                <w:sz w:val="20"/>
                <w:szCs w:val="20"/>
                <w:shd w:val="clear" w:color="auto" w:fill="FFFFFF"/>
              </w:rPr>
              <w:t>Foshan City Nanhai Kafu Professional Audio Equipment Factory (</w:t>
            </w:r>
            <w:r w:rsidRPr="0035552E">
              <w:rPr>
                <w:rFonts w:ascii="Arial" w:hAnsi="Arial" w:cs="Arial"/>
                <w:b/>
                <w:bCs/>
                <w:sz w:val="20"/>
                <w:szCs w:val="20"/>
                <w:shd w:val="clear" w:color="auto" w:fill="FFFFFF"/>
              </w:rPr>
              <w:t>Kafu Company</w:t>
            </w:r>
            <w:r w:rsidRPr="0035552E">
              <w:rPr>
                <w:rFonts w:ascii="Arial" w:hAnsi="Arial" w:cs="Arial"/>
                <w:sz w:val="20"/>
                <w:szCs w:val="20"/>
                <w:shd w:val="clear" w:color="auto" w:fill="FFFFFF"/>
              </w:rPr>
              <w:t>)</w:t>
            </w:r>
          </w:p>
        </w:tc>
      </w:tr>
      <w:tr w:rsidR="00E67D80" w:rsidRPr="0035552E" w14:paraId="1E65A4E4" w14:textId="77777777" w:rsidTr="001B7AAC">
        <w:tc>
          <w:tcPr>
            <w:tcW w:w="3595" w:type="dxa"/>
          </w:tcPr>
          <w:p w14:paraId="39BC6EBE"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Action</w:t>
            </w:r>
          </w:p>
        </w:tc>
        <w:tc>
          <w:tcPr>
            <w:tcW w:w="9355" w:type="dxa"/>
          </w:tcPr>
          <w:p w14:paraId="0CF14160" w14:textId="77777777" w:rsidR="00E67D80" w:rsidRPr="0035552E" w:rsidRDefault="00E67D80" w:rsidP="001B7AAC">
            <w:pPr>
              <w:jc w:val="both"/>
              <w:rPr>
                <w:rFonts w:ascii="Arial" w:eastAsia="Times New Roman" w:hAnsi="Arial" w:cs="Arial"/>
                <w:sz w:val="20"/>
                <w:szCs w:val="20"/>
              </w:rPr>
            </w:pPr>
            <w:r w:rsidRPr="004C7C59">
              <w:rPr>
                <w:rFonts w:ascii="Arial" w:eastAsia="Times New Roman" w:hAnsi="Arial" w:cs="Arial"/>
                <w:sz w:val="20"/>
                <w:szCs w:val="20"/>
              </w:rPr>
              <w:t xml:space="preserve">Filing a </w:t>
            </w:r>
            <w:r w:rsidRPr="0035552E">
              <w:rPr>
                <w:rFonts w:ascii="Arial" w:eastAsia="Times New Roman" w:hAnsi="Arial" w:cs="Arial"/>
                <w:sz w:val="20"/>
                <w:szCs w:val="20"/>
              </w:rPr>
              <w:t>trademark invalidation request</w:t>
            </w:r>
          </w:p>
        </w:tc>
      </w:tr>
      <w:tr w:rsidR="00E67D80" w:rsidRPr="0035552E" w14:paraId="658292F5" w14:textId="77777777" w:rsidTr="001B7AAC">
        <w:tc>
          <w:tcPr>
            <w:tcW w:w="3595" w:type="dxa"/>
          </w:tcPr>
          <w:p w14:paraId="3C738E54"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Legal grounds</w:t>
            </w:r>
          </w:p>
        </w:tc>
        <w:tc>
          <w:tcPr>
            <w:tcW w:w="9355" w:type="dxa"/>
          </w:tcPr>
          <w:p w14:paraId="3827FBA4" w14:textId="77777777" w:rsidR="00E67D80" w:rsidRPr="0035552E" w:rsidRDefault="00E67D80" w:rsidP="00E67D80">
            <w:pPr>
              <w:pStyle w:val="ListParagraph"/>
              <w:numPr>
                <w:ilvl w:val="0"/>
                <w:numId w:val="19"/>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Article 87.2 </w:t>
            </w:r>
            <w:r w:rsidRPr="0035552E">
              <w:rPr>
                <w:rFonts w:ascii="Arial" w:hAnsi="Arial" w:cs="Arial"/>
                <w:i/>
                <w:iCs/>
                <w:sz w:val="20"/>
                <w:szCs w:val="20"/>
                <w:shd w:val="clear" w:color="auto" w:fill="FFFFFF"/>
              </w:rPr>
              <w:t>(i.e., Organizations and individuals may register a trademark for goods they distribute or sell even if they do not manufacture these goods themselves, as long as the manufacturer agrees to this arrangement and does not use the mark themselves</w:t>
            </w:r>
            <w:r w:rsidRPr="0035552E">
              <w:rPr>
                <w:rFonts w:ascii="Arial" w:hAnsi="Arial" w:cs="Arial"/>
                <w:sz w:val="20"/>
                <w:szCs w:val="20"/>
                <w:shd w:val="clear" w:color="auto" w:fill="FFFFFF"/>
              </w:rPr>
              <w:t>)</w:t>
            </w:r>
          </w:p>
          <w:p w14:paraId="70ED9539" w14:textId="77777777" w:rsidR="00E67D80" w:rsidRPr="0035552E" w:rsidRDefault="00E67D80" w:rsidP="00E67D80">
            <w:pPr>
              <w:pStyle w:val="ListParagraph"/>
              <w:numPr>
                <w:ilvl w:val="0"/>
                <w:numId w:val="19"/>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Article 87.7 (</w:t>
            </w:r>
            <w:r w:rsidRPr="0035552E">
              <w:rPr>
                <w:rFonts w:ascii="Arial" w:hAnsi="Arial" w:cs="Arial"/>
                <w:i/>
                <w:iCs/>
                <w:sz w:val="20"/>
                <w:szCs w:val="20"/>
                <w:shd w:val="clear" w:color="auto" w:fill="FFFFFF"/>
              </w:rPr>
              <w:t>i.e., preventing representatives or agents from registering trademarks in their own name without the consent of the actual trademark owner, in countries that are parties to treaties that Vietnam has agreed to. An agent or representative can only register a mark under their name if: (i) They have explicit agreement from the original trademark owner, or (ii)There is a justifiable reason for the registration</w:t>
            </w:r>
            <w:r w:rsidRPr="0035552E">
              <w:rPr>
                <w:rFonts w:ascii="Arial" w:hAnsi="Arial" w:cs="Arial"/>
                <w:sz w:val="20"/>
                <w:szCs w:val="20"/>
                <w:shd w:val="clear" w:color="auto" w:fill="FFFFFF"/>
              </w:rPr>
              <w:t>).</w:t>
            </w:r>
          </w:p>
        </w:tc>
      </w:tr>
      <w:tr w:rsidR="00E67D80" w:rsidRPr="0035552E" w14:paraId="0DF931C9" w14:textId="77777777" w:rsidTr="001B7AAC">
        <w:tc>
          <w:tcPr>
            <w:tcW w:w="3595" w:type="dxa"/>
          </w:tcPr>
          <w:p w14:paraId="5D4CA688" w14:textId="77777777" w:rsidR="00E67D80" w:rsidRPr="0035552E" w:rsidRDefault="00E67D80" w:rsidP="001B7AAC">
            <w:pPr>
              <w:rPr>
                <w:rFonts w:ascii="Arial" w:eastAsia="Times New Roman" w:hAnsi="Arial" w:cs="Arial"/>
                <w:sz w:val="20"/>
                <w:szCs w:val="20"/>
              </w:rPr>
            </w:pPr>
            <w:r w:rsidRPr="0035552E">
              <w:rPr>
                <w:rFonts w:ascii="Arial" w:eastAsia="Times New Roman" w:hAnsi="Arial" w:cs="Arial"/>
                <w:sz w:val="20"/>
                <w:szCs w:val="20"/>
              </w:rPr>
              <w:t>R</w:t>
            </w:r>
            <w:r w:rsidRPr="004C7C59">
              <w:rPr>
                <w:rFonts w:ascii="Arial" w:eastAsia="Times New Roman" w:hAnsi="Arial" w:cs="Arial"/>
                <w:sz w:val="20"/>
                <w:szCs w:val="20"/>
              </w:rPr>
              <w:t>uling</w:t>
            </w:r>
          </w:p>
        </w:tc>
        <w:tc>
          <w:tcPr>
            <w:tcW w:w="9355" w:type="dxa"/>
          </w:tcPr>
          <w:p w14:paraId="609D8DF7" w14:textId="77777777" w:rsidR="00E67D80" w:rsidRDefault="00E67D80" w:rsidP="001B7AAC">
            <w:pPr>
              <w:jc w:val="both"/>
              <w:rPr>
                <w:rFonts w:ascii="Arial" w:hAnsi="Arial" w:cs="Arial"/>
                <w:sz w:val="20"/>
                <w:szCs w:val="20"/>
                <w:shd w:val="clear" w:color="auto" w:fill="FFFFFF"/>
              </w:rPr>
            </w:pPr>
          </w:p>
          <w:p w14:paraId="175C1F6A" w14:textId="77777777" w:rsidR="00E67D80" w:rsidRPr="0035552E" w:rsidRDefault="00E67D80" w:rsidP="001B7AA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After a thorough review of the evidence and arguments presented, IP VIETNAM decided to invalidate Trademark Registration No. </w:t>
            </w:r>
            <w:r w:rsidRPr="0035552E">
              <w:rPr>
                <w:rFonts w:ascii="Arial" w:hAnsi="Arial" w:cs="Arial"/>
                <w:sz w:val="20"/>
                <w:szCs w:val="20"/>
              </w:rPr>
              <w:t xml:space="preserve">123570, </w:t>
            </w:r>
            <w:r w:rsidRPr="0035552E">
              <w:rPr>
                <w:rFonts w:ascii="Arial" w:hAnsi="Arial" w:cs="Arial"/>
                <w:sz w:val="20"/>
                <w:szCs w:val="20"/>
                <w:shd w:val="clear" w:color="auto" w:fill="FFFFFF"/>
              </w:rPr>
              <w:t xml:space="preserve">citing Article 87.2 and 87.7 as legal grounds. </w:t>
            </w:r>
          </w:p>
          <w:p w14:paraId="442DE173" w14:textId="77777777" w:rsidR="00E67D80" w:rsidRPr="00E82BC1" w:rsidRDefault="00E67D80" w:rsidP="001B7AAC">
            <w:pPr>
              <w:jc w:val="both"/>
              <w:rPr>
                <w:rFonts w:ascii="Arial" w:hAnsi="Arial" w:cs="Arial"/>
                <w:sz w:val="12"/>
                <w:szCs w:val="20"/>
              </w:rPr>
            </w:pPr>
          </w:p>
          <w:p w14:paraId="2F2EDE9B" w14:textId="77777777" w:rsidR="00E67D80" w:rsidRPr="0035552E" w:rsidRDefault="00E67D80" w:rsidP="001B7AAC">
            <w:pPr>
              <w:jc w:val="both"/>
              <w:rPr>
                <w:rFonts w:ascii="Arial" w:hAnsi="Arial" w:cs="Arial"/>
                <w:sz w:val="20"/>
                <w:szCs w:val="20"/>
              </w:rPr>
            </w:pPr>
            <w:r w:rsidRPr="0035552E">
              <w:rPr>
                <w:rFonts w:ascii="Arial" w:hAnsi="Arial" w:cs="Arial"/>
                <w:sz w:val="20"/>
                <w:szCs w:val="20"/>
              </w:rPr>
              <w:t>IP VIETNAM’S invalidation Decision was made based on substantial proof provided by Mainetti (UK) Limited, including:</w:t>
            </w:r>
          </w:p>
          <w:p w14:paraId="341EB461" w14:textId="77777777" w:rsidR="00E67D80" w:rsidRPr="00E82BC1" w:rsidRDefault="00E67D80" w:rsidP="001B7AAC">
            <w:pPr>
              <w:jc w:val="both"/>
              <w:rPr>
                <w:rFonts w:ascii="Arial" w:hAnsi="Arial" w:cs="Arial"/>
                <w:sz w:val="14"/>
                <w:szCs w:val="20"/>
              </w:rPr>
            </w:pPr>
          </w:p>
          <w:p w14:paraId="18FABF70" w14:textId="77777777" w:rsidR="00E67D80" w:rsidRPr="00E27DE1" w:rsidRDefault="00E67D80" w:rsidP="00E67D80">
            <w:pPr>
              <w:pStyle w:val="ListParagraph"/>
              <w:numPr>
                <w:ilvl w:val="0"/>
                <w:numId w:val="21"/>
              </w:numPr>
              <w:ind w:left="376" w:hanging="376"/>
              <w:jc w:val="both"/>
              <w:rPr>
                <w:rFonts w:ascii="Arial" w:hAnsi="Arial" w:cs="Arial"/>
                <w:sz w:val="20"/>
                <w:szCs w:val="20"/>
              </w:rPr>
            </w:pPr>
            <w:r w:rsidRPr="00E27DE1">
              <w:rPr>
                <w:rFonts w:ascii="Arial" w:hAnsi="Arial" w:cs="Arial"/>
                <w:sz w:val="20"/>
                <w:szCs w:val="20"/>
              </w:rPr>
              <w:t>Kafu Company and Tan Viet Company had a commercial relationship since 2016. Tan Viet Company was an exclusive agent of Kafu Company. Documentation attesting to this partnership includes a variety of pivotal records:</w:t>
            </w:r>
          </w:p>
          <w:p w14:paraId="668EE920" w14:textId="77777777" w:rsidR="00E67D80" w:rsidRPr="00E82BC1" w:rsidRDefault="00E67D80" w:rsidP="001B7AAC">
            <w:pPr>
              <w:pStyle w:val="ListParagraph"/>
              <w:ind w:left="391"/>
              <w:jc w:val="both"/>
              <w:rPr>
                <w:rFonts w:ascii="Arial" w:hAnsi="Arial" w:cs="Arial"/>
                <w:sz w:val="14"/>
                <w:szCs w:val="20"/>
              </w:rPr>
            </w:pPr>
          </w:p>
          <w:p w14:paraId="13926EBB" w14:textId="77777777" w:rsidR="00E67D80" w:rsidRDefault="00E67D80" w:rsidP="00E67D80">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Contract details</w:t>
            </w:r>
            <w:r w:rsidRPr="0035552E">
              <w:rPr>
                <w:rFonts w:ascii="Arial" w:hAnsi="Arial" w:cs="Arial"/>
                <w:sz w:val="20"/>
                <w:szCs w:val="20"/>
              </w:rPr>
              <w:t>: The "CAF" sign is prominently displayed on the "box speaker" under Contract No. 01/NK/2016, executed on August 8, 2016.</w:t>
            </w:r>
          </w:p>
          <w:p w14:paraId="73AECA4E" w14:textId="77777777" w:rsidR="00E67D80" w:rsidRDefault="00E67D80" w:rsidP="00E67D80">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Invoice evidence</w:t>
            </w:r>
            <w:r w:rsidRPr="0035552E">
              <w:rPr>
                <w:rFonts w:ascii="Arial" w:hAnsi="Arial" w:cs="Arial"/>
                <w:sz w:val="20"/>
                <w:szCs w:val="20"/>
              </w:rPr>
              <w:t>: The logo of Kafu Company is featured on Invoice number CAF1002, issued on July 29, 2016.</w:t>
            </w:r>
          </w:p>
          <w:p w14:paraId="13941264" w14:textId="77777777" w:rsidR="00E67D80" w:rsidRDefault="00E67D80" w:rsidP="00E67D80">
            <w:pPr>
              <w:pStyle w:val="ListParagraph"/>
              <w:numPr>
                <w:ilvl w:val="0"/>
                <w:numId w:val="20"/>
              </w:numPr>
              <w:ind w:left="841" w:hanging="450"/>
              <w:jc w:val="both"/>
              <w:rPr>
                <w:rFonts w:ascii="Arial" w:hAnsi="Arial" w:cs="Arial"/>
                <w:sz w:val="20"/>
                <w:szCs w:val="20"/>
              </w:rPr>
            </w:pPr>
            <w:r w:rsidRPr="0035552E">
              <w:rPr>
                <w:rFonts w:ascii="Arial" w:hAnsi="Arial" w:cs="Arial"/>
                <w:b/>
                <w:bCs/>
                <w:sz w:val="20"/>
                <w:szCs w:val="20"/>
              </w:rPr>
              <w:t>Distributorshi</w:t>
            </w:r>
            <w:r w:rsidRPr="0035552E">
              <w:rPr>
                <w:rFonts w:ascii="Arial" w:hAnsi="Arial" w:cs="Arial"/>
                <w:sz w:val="20"/>
                <w:szCs w:val="20"/>
              </w:rPr>
              <w:t>p: An Exclusive Distributor Certificate validates the exclusive rights granted to the partnership, spanning from 2016 to 2019</w:t>
            </w:r>
            <w:r>
              <w:rPr>
                <w:rFonts w:ascii="Arial" w:hAnsi="Arial" w:cs="Arial"/>
                <w:sz w:val="20"/>
                <w:szCs w:val="20"/>
              </w:rPr>
              <w:t>.</w:t>
            </w:r>
          </w:p>
          <w:p w14:paraId="32924A24" w14:textId="77777777" w:rsidR="00E67D80" w:rsidRPr="00E82BC1" w:rsidRDefault="00E67D80" w:rsidP="001B7AAC">
            <w:pPr>
              <w:pStyle w:val="ListParagraph"/>
              <w:ind w:left="1051"/>
              <w:jc w:val="both"/>
              <w:rPr>
                <w:rFonts w:ascii="Arial" w:hAnsi="Arial" w:cs="Arial"/>
                <w:sz w:val="14"/>
                <w:szCs w:val="20"/>
              </w:rPr>
            </w:pPr>
          </w:p>
          <w:p w14:paraId="31330951" w14:textId="77777777" w:rsidR="00E67D80" w:rsidRPr="00E27DE1" w:rsidRDefault="00E67D80" w:rsidP="00E67D80">
            <w:pPr>
              <w:pStyle w:val="ListParagraph"/>
              <w:numPr>
                <w:ilvl w:val="0"/>
                <w:numId w:val="21"/>
              </w:numPr>
              <w:ind w:left="391" w:hanging="391"/>
              <w:jc w:val="both"/>
              <w:rPr>
                <w:rFonts w:ascii="Arial" w:eastAsia="Times New Roman" w:hAnsi="Arial" w:cs="Arial"/>
                <w:sz w:val="20"/>
                <w:szCs w:val="20"/>
              </w:rPr>
            </w:pPr>
            <w:r w:rsidRPr="00E27DE1">
              <w:rPr>
                <w:rFonts w:ascii="Arial" w:hAnsi="Arial" w:cs="Arial"/>
                <w:sz w:val="20"/>
                <w:szCs w:val="20"/>
              </w:rPr>
              <w:t>No written authorization of Kafu Company for Tan Viet Company to apply for registration of the trademark "CAF PROFESSIONAL SOUND, fig" for products and services in class 09 and 35 in Vietnam. Kafu Company has never agreed to let Tan Viet Company register the CAF trademark in Viet Nam.</w:t>
            </w:r>
          </w:p>
        </w:tc>
      </w:tr>
    </w:tbl>
    <w:p w14:paraId="68D8DE35" w14:textId="5ECEBE21" w:rsidR="0002156E" w:rsidRPr="00D03044" w:rsidRDefault="00F501F3" w:rsidP="00E82BC1">
      <w:pPr>
        <w:outlineLvl w:val="0"/>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214763D4">
                <wp:simplePos x="0" y="0"/>
                <wp:positionH relativeFrom="column">
                  <wp:posOffset>3810</wp:posOffset>
                </wp:positionH>
                <wp:positionV relativeFrom="paragraph">
                  <wp:posOffset>191135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bookmarkStart w:id="0" w:name="_GoBack"/>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margin-left:.3pt;margin-top:15.0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bookmarkStart w:id="1" w:name="_GoBack"/>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1"/>
                    </w:p>
                  </w:txbxContent>
                </v:textbox>
              </v:rect>
            </w:pict>
          </mc:Fallback>
        </mc:AlternateContent>
      </w:r>
    </w:p>
    <w:p w14:paraId="62D17C41" w14:textId="688559B1"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4C40CA8F"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F584" w14:textId="77777777" w:rsidR="00275E9D" w:rsidRDefault="00275E9D">
      <w:pPr>
        <w:spacing w:after="0" w:line="240" w:lineRule="auto"/>
      </w:pPr>
      <w:r>
        <w:separator/>
      </w:r>
    </w:p>
  </w:endnote>
  <w:endnote w:type="continuationSeparator" w:id="0">
    <w:p w14:paraId="44DAE5B3" w14:textId="77777777" w:rsidR="00275E9D" w:rsidRDefault="0027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75E9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7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43421" w14:textId="77777777" w:rsidR="00275E9D" w:rsidRDefault="00275E9D">
      <w:pPr>
        <w:spacing w:after="0" w:line="240" w:lineRule="auto"/>
      </w:pPr>
      <w:r>
        <w:separator/>
      </w:r>
    </w:p>
  </w:footnote>
  <w:footnote w:type="continuationSeparator" w:id="0">
    <w:p w14:paraId="2B2E0061" w14:textId="77777777" w:rsidR="00275E9D" w:rsidRDefault="00275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79D2"/>
    <w:multiLevelType w:val="hybridMultilevel"/>
    <w:tmpl w:val="6DCA761C"/>
    <w:lvl w:ilvl="0" w:tplc="B5A0302A">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610A0"/>
    <w:multiLevelType w:val="hybridMultilevel"/>
    <w:tmpl w:val="F9528C12"/>
    <w:lvl w:ilvl="0" w:tplc="0409000D">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50493"/>
    <w:multiLevelType w:val="hybridMultilevel"/>
    <w:tmpl w:val="479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1"/>
  </w:num>
  <w:num w:numId="4">
    <w:abstractNumId w:val="17"/>
  </w:num>
  <w:num w:numId="5">
    <w:abstractNumId w:val="13"/>
  </w:num>
  <w:num w:numId="6">
    <w:abstractNumId w:val="0"/>
  </w:num>
  <w:num w:numId="7">
    <w:abstractNumId w:val="4"/>
  </w:num>
  <w:num w:numId="8">
    <w:abstractNumId w:val="18"/>
  </w:num>
  <w:num w:numId="9">
    <w:abstractNumId w:val="6"/>
  </w:num>
  <w:num w:numId="10">
    <w:abstractNumId w:val="3"/>
  </w:num>
  <w:num w:numId="11">
    <w:abstractNumId w:val="16"/>
  </w:num>
  <w:num w:numId="12">
    <w:abstractNumId w:val="1"/>
  </w:num>
  <w:num w:numId="13">
    <w:abstractNumId w:val="12"/>
  </w:num>
  <w:num w:numId="14">
    <w:abstractNumId w:val="15"/>
  </w:num>
  <w:num w:numId="15">
    <w:abstractNumId w:val="7"/>
  </w:num>
  <w:num w:numId="16">
    <w:abstractNumId w:val="19"/>
  </w:num>
  <w:num w:numId="17">
    <w:abstractNumId w:val="2"/>
  </w:num>
  <w:num w:numId="18">
    <w:abstractNumId w:val="8"/>
  </w:num>
  <w:num w:numId="19">
    <w:abstractNumId w:val="14"/>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930C0"/>
    <w:rsid w:val="001D1CDD"/>
    <w:rsid w:val="001E0868"/>
    <w:rsid w:val="00215B22"/>
    <w:rsid w:val="00234C16"/>
    <w:rsid w:val="002753DD"/>
    <w:rsid w:val="00275E9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67D80"/>
    <w:rsid w:val="00E82BC1"/>
    <w:rsid w:val="00EC12BB"/>
    <w:rsid w:val="00EC5B6B"/>
    <w:rsid w:val="00F501F3"/>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F50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enfoxlaw.com/bad-faith-trademark-filing-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2024-04-16T10:27:00Z</dcterms:modified>
</cp:coreProperties>
</file>