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2938F" w14:textId="77777777" w:rsidR="000F4970" w:rsidRDefault="004D64BC" w:rsidP="000F4970">
      <w:pPr>
        <w:jc w:val="center"/>
        <w:outlineLvl w:val="0"/>
        <w:rPr>
          <w:rFonts w:ascii="Arial" w:hAnsi="Arial" w:cs="Arial"/>
          <w:b/>
          <w:iCs/>
          <w:color w:val="C00000"/>
        </w:rPr>
      </w:pPr>
      <w:bookmarkStart w:id="0" w:name="_GoBack"/>
      <w:bookmarkEnd w:id="0"/>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46D1AF9B" w:rsidR="00FA2CEE" w:rsidRPr="00BA68B8" w:rsidRDefault="000F4970" w:rsidP="00FA2CEE">
                            <w:pPr>
                              <w:spacing w:after="0" w:line="240" w:lineRule="auto"/>
                              <w:rPr>
                                <w:rFonts w:ascii="Arial" w:hAnsi="Arial" w:cs="Arial"/>
                                <w:b/>
                                <w:color w:val="FFFFFF" w:themeColor="background1"/>
                                <w:sz w:val="20"/>
                                <w:szCs w:val="20"/>
                              </w:rPr>
                            </w:pPr>
                            <w:r w:rsidRPr="000F4970">
                              <w:rPr>
                                <w:rFonts w:ascii="Arial" w:hAnsi="Arial" w:cs="Arial"/>
                                <w:b/>
                                <w:bCs/>
                                <w:color w:val="FFFFFF" w:themeColor="background1"/>
                                <w:sz w:val="20"/>
                                <w:szCs w:val="20"/>
                              </w:rPr>
                              <w:t>Bad Faith Trademark Cases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46D1AF9B" w:rsidR="00FA2CEE" w:rsidRPr="00BA68B8" w:rsidRDefault="000F4970" w:rsidP="00FA2CEE">
                      <w:pPr>
                        <w:spacing w:after="0" w:line="240" w:lineRule="auto"/>
                        <w:rPr>
                          <w:rFonts w:ascii="Arial" w:hAnsi="Arial" w:cs="Arial"/>
                          <w:b/>
                          <w:color w:val="FFFFFF" w:themeColor="background1"/>
                          <w:sz w:val="20"/>
                          <w:szCs w:val="20"/>
                        </w:rPr>
                      </w:pPr>
                      <w:r w:rsidRPr="000F4970">
                        <w:rPr>
                          <w:rFonts w:ascii="Arial" w:hAnsi="Arial" w:cs="Arial"/>
                          <w:b/>
                          <w:bCs/>
                          <w:color w:val="FFFFFF" w:themeColor="background1"/>
                          <w:sz w:val="20"/>
                          <w:szCs w:val="20"/>
                        </w:rPr>
                        <w:t>Bad Faith Trademark Cases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430845F4" w:rsidR="00FA2CEE" w:rsidRPr="00CC7576" w:rsidRDefault="000F4970" w:rsidP="00FA2CEE">
                            <w:pPr>
                              <w:spacing w:after="0"/>
                              <w:jc w:val="center"/>
                              <w:rPr>
                                <w:rFonts w:ascii="Arial" w:hAnsi="Arial" w:cs="Arial"/>
                                <w:b/>
                                <w:color w:val="FFFFFF" w:themeColor="background1"/>
                                <w:sz w:val="20"/>
                                <w:szCs w:val="20"/>
                              </w:rPr>
                            </w:pPr>
                            <w:r w:rsidRPr="000F4970">
                              <w:rPr>
                                <w:rFonts w:ascii="Arial" w:hAnsi="Arial" w:cs="Arial"/>
                                <w:b/>
                                <w:bCs/>
                                <w:color w:val="FFFFFF" w:themeColor="background1"/>
                                <w:sz w:val="20"/>
                                <w:szCs w:val="20"/>
                              </w:rPr>
                              <w:t>Bad Faith Trademark Cases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430845F4" w:rsidR="00FA2CEE" w:rsidRPr="00CC7576" w:rsidRDefault="000F4970" w:rsidP="00FA2CEE">
                      <w:pPr>
                        <w:spacing w:after="0"/>
                        <w:jc w:val="center"/>
                        <w:rPr>
                          <w:rFonts w:ascii="Arial" w:hAnsi="Arial" w:cs="Arial"/>
                          <w:b/>
                          <w:color w:val="FFFFFF" w:themeColor="background1"/>
                          <w:sz w:val="20"/>
                          <w:szCs w:val="20"/>
                        </w:rPr>
                      </w:pPr>
                      <w:r w:rsidRPr="000F4970">
                        <w:rPr>
                          <w:rFonts w:ascii="Arial" w:hAnsi="Arial" w:cs="Arial"/>
                          <w:b/>
                          <w:bCs/>
                          <w:color w:val="FFFFFF" w:themeColor="background1"/>
                          <w:sz w:val="20"/>
                          <w:szCs w:val="20"/>
                        </w:rPr>
                        <w:t>Bad Faith Trademark Cases in Vietnam</w:t>
                      </w:r>
                    </w:p>
                  </w:txbxContent>
                </v:textbox>
                <w10:wrap anchorx="page"/>
              </v:rect>
            </w:pict>
          </mc:Fallback>
        </mc:AlternateContent>
      </w:r>
      <w:r w:rsidR="000F4970" w:rsidRPr="000F4970">
        <w:rPr>
          <w:rFonts w:ascii="Arial" w:hAnsi="Arial" w:cs="Arial"/>
          <w:b/>
          <w:iCs/>
          <w:color w:val="C00000"/>
        </w:rPr>
        <w:t xml:space="preserve">05 Notable Bad Faith Trademark Cases in Vietnam: </w:t>
      </w:r>
    </w:p>
    <w:p w14:paraId="6A24844E" w14:textId="486DA2FD" w:rsidR="000F4970" w:rsidRPr="000F4970" w:rsidRDefault="000F4970" w:rsidP="000F4970">
      <w:pPr>
        <w:jc w:val="center"/>
        <w:outlineLvl w:val="0"/>
        <w:rPr>
          <w:rFonts w:ascii="Arial" w:hAnsi="Arial" w:cs="Arial"/>
          <w:b/>
          <w:iCs/>
          <w:color w:val="C00000"/>
        </w:rPr>
      </w:pPr>
      <w:r w:rsidRPr="000F4970">
        <w:rPr>
          <w:rFonts w:ascii="Arial" w:hAnsi="Arial" w:cs="Arial"/>
          <w:b/>
          <w:iCs/>
          <w:color w:val="C00000"/>
        </w:rPr>
        <w:t>What Lessons Should You Learn?</w:t>
      </w:r>
    </w:p>
    <w:p w14:paraId="15F48FF0" w14:textId="77777777" w:rsidR="000F4970" w:rsidRDefault="000F4970" w:rsidP="000F4970">
      <w:pPr>
        <w:shd w:val="clear" w:color="auto" w:fill="FFFFFF"/>
        <w:spacing w:after="0" w:line="240" w:lineRule="auto"/>
        <w:rPr>
          <w:rFonts w:ascii="Arial" w:eastAsia="Times New Roman" w:hAnsi="Arial" w:cs="Arial"/>
          <w:b/>
          <w:bCs/>
          <w:sz w:val="20"/>
          <w:szCs w:val="20"/>
          <w:bdr w:val="none" w:sz="0" w:space="0" w:color="auto" w:frame="1"/>
        </w:rPr>
      </w:pPr>
    </w:p>
    <w:p w14:paraId="6242975E" w14:textId="77777777" w:rsidR="000F4970" w:rsidRPr="00A4174F" w:rsidRDefault="000F4970" w:rsidP="000F4970">
      <w:pPr>
        <w:shd w:val="clear" w:color="auto" w:fill="FFFFFF"/>
        <w:spacing w:after="0" w:line="240" w:lineRule="auto"/>
        <w:jc w:val="both"/>
        <w:rPr>
          <w:rFonts w:ascii="Arial" w:hAnsi="Arial" w:cs="Arial"/>
          <w:i/>
          <w:iCs/>
          <w:sz w:val="20"/>
          <w:szCs w:val="20"/>
          <w:shd w:val="clear" w:color="auto" w:fill="FFFFFF"/>
        </w:rPr>
      </w:pPr>
      <w:r w:rsidRPr="00A4174F">
        <w:rPr>
          <w:rFonts w:ascii="Arial" w:hAnsi="Arial" w:cs="Arial"/>
          <w:i/>
          <w:iCs/>
          <w:sz w:val="20"/>
          <w:szCs w:val="20"/>
          <w:shd w:val="clear" w:color="auto" w:fill="FFFFFF"/>
        </w:rPr>
        <w:t xml:space="preserve">Trademark squatting or the bad faith registration of trademarks to misappropriate the intellectual property of foreign companies for illicit profit has become increasingly common in Vietnam. The more prestigious and reputable the brand, the greater the risk of becoming a target of this exploitative practice. </w:t>
      </w:r>
    </w:p>
    <w:p w14:paraId="2FB5DF4B" w14:textId="77777777" w:rsidR="000F4970" w:rsidRPr="00A4174F" w:rsidRDefault="000F4970" w:rsidP="000F4970">
      <w:pPr>
        <w:shd w:val="clear" w:color="auto" w:fill="FFFFFF"/>
        <w:spacing w:after="0" w:line="240" w:lineRule="auto"/>
        <w:jc w:val="both"/>
        <w:rPr>
          <w:rFonts w:ascii="Arial" w:hAnsi="Arial" w:cs="Arial"/>
          <w:i/>
          <w:iCs/>
          <w:sz w:val="20"/>
          <w:szCs w:val="20"/>
          <w:shd w:val="clear" w:color="auto" w:fill="FFFFFF"/>
        </w:rPr>
      </w:pPr>
    </w:p>
    <w:p w14:paraId="6F441A88" w14:textId="77777777" w:rsidR="000F4970" w:rsidRDefault="000F4970" w:rsidP="000F4970">
      <w:pPr>
        <w:shd w:val="clear" w:color="auto" w:fill="FFFFFF"/>
        <w:spacing w:after="0" w:line="240" w:lineRule="auto"/>
        <w:jc w:val="both"/>
        <w:rPr>
          <w:rFonts w:ascii="Arial" w:hAnsi="Arial" w:cs="Arial"/>
          <w:i/>
          <w:iCs/>
          <w:sz w:val="20"/>
          <w:szCs w:val="20"/>
          <w:shd w:val="clear" w:color="auto" w:fill="FFFFFF"/>
        </w:rPr>
      </w:pPr>
      <w:r w:rsidRPr="00A4174F">
        <w:rPr>
          <w:rFonts w:ascii="Arial" w:hAnsi="Arial" w:cs="Arial"/>
          <w:i/>
          <w:iCs/>
          <w:sz w:val="20"/>
          <w:szCs w:val="20"/>
          <w:shd w:val="clear" w:color="auto" w:fill="FFFFFF"/>
        </w:rPr>
        <w:t xml:space="preserve">KENFOX IP &amp; Law Office would like to provide 05 notable </w:t>
      </w:r>
      <w:hyperlink r:id="rId7" w:history="1">
        <w:r w:rsidRPr="00FF4F04">
          <w:rPr>
            <w:rStyle w:val="Hyperlink"/>
            <w:rFonts w:ascii="Arial" w:hAnsi="Arial" w:cs="Arial"/>
            <w:i/>
            <w:iCs/>
            <w:sz w:val="20"/>
            <w:szCs w:val="20"/>
            <w:shd w:val="clear" w:color="auto" w:fill="FFFFFF"/>
          </w:rPr>
          <w:t>bad faith trademark cases in Vietnam</w:t>
        </w:r>
      </w:hyperlink>
      <w:r w:rsidRPr="00A4174F">
        <w:rPr>
          <w:rFonts w:ascii="Arial" w:hAnsi="Arial" w:cs="Arial"/>
          <w:i/>
          <w:iCs/>
          <w:sz w:val="20"/>
          <w:szCs w:val="20"/>
          <w:shd w:val="clear" w:color="auto" w:fill="FFFFFF"/>
        </w:rPr>
        <w:t xml:space="preserve"> so that IPR holders who are currently conducting or planning to conduct business in Vietnam can understand the potential risks and challenges, having clearer picture of the legal processes in Vietnam, based on which better strategize their trademark filing, understand the legal remedies available, recognize typical timelines, and identify the evidence required to challenge bad faith registrations in Vietnam</w:t>
      </w:r>
      <w:r>
        <w:rPr>
          <w:rFonts w:ascii="Arial" w:hAnsi="Arial" w:cs="Arial"/>
          <w:i/>
          <w:iCs/>
          <w:sz w:val="20"/>
          <w:szCs w:val="20"/>
          <w:shd w:val="clear" w:color="auto" w:fill="FFFFFF"/>
        </w:rPr>
        <w:t>.</w:t>
      </w:r>
    </w:p>
    <w:p w14:paraId="22BACEE4" w14:textId="77777777" w:rsidR="000F4970" w:rsidRDefault="000F4970" w:rsidP="000F4970">
      <w:pPr>
        <w:shd w:val="clear" w:color="auto" w:fill="FFFFFF"/>
        <w:spacing w:after="0" w:line="240" w:lineRule="auto"/>
        <w:jc w:val="both"/>
        <w:rPr>
          <w:rFonts w:ascii="Arial" w:hAnsi="Arial" w:cs="Arial"/>
          <w:i/>
          <w:iCs/>
          <w:sz w:val="20"/>
          <w:szCs w:val="20"/>
          <w:shd w:val="clear" w:color="auto" w:fill="FFFFFF"/>
        </w:rPr>
      </w:pPr>
    </w:p>
    <w:p w14:paraId="739FC17D" w14:textId="77777777" w:rsidR="000F4970" w:rsidRPr="0035552E" w:rsidRDefault="000F4970" w:rsidP="000F4970">
      <w:pPr>
        <w:shd w:val="clear" w:color="auto" w:fill="FFFFFF"/>
        <w:spacing w:after="0" w:line="240" w:lineRule="auto"/>
        <w:rPr>
          <w:rFonts w:ascii="Arial" w:eastAsia="Times New Roman" w:hAnsi="Arial" w:cs="Arial"/>
          <w:b/>
          <w:bCs/>
          <w:color w:val="2F5496" w:themeColor="accent1" w:themeShade="BF"/>
          <w:bdr w:val="none" w:sz="0" w:space="0" w:color="auto" w:frame="1"/>
        </w:rPr>
      </w:pPr>
      <w:r w:rsidRPr="0035552E">
        <w:rPr>
          <w:rFonts w:ascii="Arial" w:eastAsia="Times New Roman" w:hAnsi="Arial" w:cs="Arial"/>
          <w:b/>
          <w:bCs/>
          <w:color w:val="2F5496" w:themeColor="accent1" w:themeShade="BF"/>
          <w:u w:val="single"/>
          <w:bdr w:val="none" w:sz="0" w:space="0" w:color="auto" w:frame="1"/>
        </w:rPr>
        <w:t>Case 1</w:t>
      </w:r>
      <w:r w:rsidRPr="0035552E">
        <w:rPr>
          <w:rFonts w:ascii="Arial" w:eastAsia="Times New Roman" w:hAnsi="Arial" w:cs="Arial"/>
          <w:b/>
          <w:bCs/>
          <w:color w:val="2F5496" w:themeColor="accent1" w:themeShade="BF"/>
          <w:bdr w:val="none" w:sz="0" w:space="0" w:color="auto" w:frame="1"/>
        </w:rPr>
        <w:t xml:space="preserve">: </w:t>
      </w:r>
      <w:r w:rsidRPr="0035552E">
        <w:rPr>
          <w:rFonts w:ascii="Arial" w:eastAsia="Times New Roman" w:hAnsi="Arial" w:cs="Arial"/>
          <w:b/>
          <w:bCs/>
          <w:color w:val="2F5496" w:themeColor="accent1" w:themeShade="BF"/>
        </w:rPr>
        <w:t xml:space="preserve">Château Latour v. </w:t>
      </w:r>
      <w:r w:rsidRPr="004C7C59">
        <w:rPr>
          <w:rFonts w:ascii="Arial" w:eastAsia="Times New Roman" w:hAnsi="Arial" w:cs="Arial"/>
          <w:b/>
          <w:bCs/>
          <w:color w:val="2F5496" w:themeColor="accent1" w:themeShade="BF"/>
        </w:rPr>
        <w:t>CHATEAU LATOUR</w:t>
      </w:r>
    </w:p>
    <w:p w14:paraId="52CECF3F" w14:textId="77777777" w:rsidR="000F4970" w:rsidRPr="0035552E" w:rsidRDefault="000F4970" w:rsidP="000F4970">
      <w:pPr>
        <w:shd w:val="clear" w:color="auto" w:fill="FFFFFF"/>
        <w:spacing w:after="0" w:line="240" w:lineRule="auto"/>
        <w:rPr>
          <w:rFonts w:ascii="Arial" w:eastAsia="Times New Roman" w:hAnsi="Arial" w:cs="Arial"/>
          <w:b/>
          <w:bCs/>
          <w:sz w:val="20"/>
          <w:szCs w:val="20"/>
          <w:bdr w:val="none" w:sz="0" w:space="0" w:color="auto" w:frame="1"/>
        </w:rPr>
      </w:pPr>
    </w:p>
    <w:p w14:paraId="62F18105" w14:textId="77777777" w:rsidR="000F4970" w:rsidRPr="0035552E" w:rsidRDefault="000F4970" w:rsidP="000F4970">
      <w:pPr>
        <w:shd w:val="clear" w:color="auto" w:fill="FFFFFF"/>
        <w:spacing w:after="0" w:line="240" w:lineRule="auto"/>
        <w:jc w:val="both"/>
        <w:rPr>
          <w:rFonts w:ascii="Arial" w:eastAsia="Times New Roman" w:hAnsi="Arial" w:cs="Arial"/>
          <w:sz w:val="20"/>
          <w:szCs w:val="20"/>
        </w:rPr>
      </w:pPr>
      <w:r w:rsidRPr="0035552E">
        <w:rPr>
          <w:rFonts w:ascii="Arial" w:eastAsia="Times New Roman" w:hAnsi="Arial" w:cs="Arial"/>
          <w:i/>
          <w:iCs/>
          <w:sz w:val="20"/>
          <w:szCs w:val="20"/>
          <w:bdr w:val="none" w:sz="0" w:space="0" w:color="auto" w:frame="1"/>
        </w:rPr>
        <w:t>[Executive summary]:</w:t>
      </w:r>
      <w:r w:rsidRPr="0035552E">
        <w:rPr>
          <w:rFonts w:ascii="Arial" w:eastAsia="Times New Roman" w:hAnsi="Arial" w:cs="Arial"/>
          <w:sz w:val="20"/>
          <w:szCs w:val="20"/>
        </w:rPr>
        <w:t xml:space="preserve"> </w:t>
      </w:r>
      <w:r w:rsidRPr="008C6802">
        <w:rPr>
          <w:rFonts w:ascii="Arial" w:eastAsia="Times New Roman" w:hAnsi="Arial" w:cs="Arial"/>
          <w:sz w:val="20"/>
          <w:szCs w:val="20"/>
        </w:rPr>
        <w:t>Intrixapple Co., Ltd.</w:t>
      </w:r>
      <w:r w:rsidRPr="0035552E">
        <w:rPr>
          <w:rFonts w:ascii="Arial" w:eastAsia="Times New Roman" w:hAnsi="Arial" w:cs="Arial"/>
          <w:sz w:val="20"/>
          <w:szCs w:val="20"/>
        </w:rPr>
        <w:t>, a Vietnamese company, applied to register the mark “</w:t>
      </w:r>
      <w:r w:rsidRPr="0035552E">
        <w:rPr>
          <w:rFonts w:ascii="Arial" w:hAnsi="Arial" w:cs="Arial"/>
          <w:sz w:val="20"/>
          <w:szCs w:val="20"/>
          <w:shd w:val="clear" w:color="auto" w:fill="FFFFFF"/>
        </w:rPr>
        <w:t>CHATEAU LATOUR</w:t>
      </w:r>
      <w:r w:rsidRPr="0035552E">
        <w:rPr>
          <w:rFonts w:ascii="Arial" w:eastAsia="Times New Roman" w:hAnsi="Arial" w:cs="Arial"/>
          <w:sz w:val="20"/>
          <w:szCs w:val="20"/>
        </w:rPr>
        <w:t xml:space="preserve">” for the goods in Class 33 (wine). </w:t>
      </w:r>
      <w:r w:rsidRPr="008C6802">
        <w:rPr>
          <w:rFonts w:ascii="Arial" w:eastAsia="Times New Roman" w:hAnsi="Arial" w:cs="Arial"/>
          <w:sz w:val="20"/>
          <w:szCs w:val="20"/>
        </w:rPr>
        <w:t>SOCIÉTÉ CIVILE DU VIGNOBLE DE CHÂTEAU-LATOUR</w:t>
      </w:r>
      <w:r w:rsidRPr="0035552E">
        <w:rPr>
          <w:rFonts w:ascii="Arial" w:eastAsia="Times New Roman" w:hAnsi="Arial" w:cs="Arial"/>
          <w:sz w:val="20"/>
          <w:szCs w:val="20"/>
        </w:rPr>
        <w:t xml:space="preserve"> (France) </w:t>
      </w:r>
      <w:r w:rsidRPr="0035552E">
        <w:rPr>
          <w:rFonts w:ascii="Arial" w:hAnsi="Arial" w:cs="Arial"/>
          <w:sz w:val="20"/>
          <w:szCs w:val="20"/>
          <w:shd w:val="clear" w:color="auto" w:fill="FFFFFF"/>
        </w:rPr>
        <w:t>is an entity associated with the renowned </w:t>
      </w:r>
      <w:r w:rsidRPr="0035552E">
        <w:rPr>
          <w:rStyle w:val="Strong"/>
          <w:rFonts w:ascii="Arial" w:hAnsi="Arial" w:cs="Arial"/>
          <w:sz w:val="20"/>
          <w:szCs w:val="20"/>
          <w:shd w:val="clear" w:color="auto" w:fill="FFFFFF"/>
        </w:rPr>
        <w:t>Château Latour</w:t>
      </w:r>
      <w:r w:rsidRPr="0035552E">
        <w:rPr>
          <w:rFonts w:ascii="Arial" w:hAnsi="Arial" w:cs="Arial"/>
          <w:sz w:val="20"/>
          <w:szCs w:val="20"/>
          <w:shd w:val="clear" w:color="auto" w:fill="FFFFFF"/>
        </w:rPr>
        <w:t> in Bordeaux, France. Upon detecting a third party in Vietnam applied to register the mark “CHATEAU LATOUR”, it filed a Notice of Opposition, requesting the IP Office of Vietnam (</w:t>
      </w:r>
      <w:r w:rsidRPr="0035552E">
        <w:rPr>
          <w:rFonts w:ascii="Arial" w:hAnsi="Arial" w:cs="Arial"/>
          <w:b/>
          <w:bCs/>
          <w:sz w:val="20"/>
          <w:szCs w:val="20"/>
          <w:shd w:val="clear" w:color="auto" w:fill="FFFFFF"/>
        </w:rPr>
        <w:t>IP VIETNAM</w:t>
      </w:r>
      <w:r w:rsidRPr="0035552E">
        <w:rPr>
          <w:rFonts w:ascii="Arial" w:hAnsi="Arial" w:cs="Arial"/>
          <w:sz w:val="20"/>
          <w:szCs w:val="20"/>
          <w:shd w:val="clear" w:color="auto" w:fill="FFFFFF"/>
        </w:rPr>
        <w:t>) to refuse registration of the applied-for mark.</w:t>
      </w:r>
    </w:p>
    <w:p w14:paraId="65EF948D" w14:textId="77777777" w:rsidR="000F4970" w:rsidRPr="0035552E" w:rsidRDefault="000F4970" w:rsidP="000F4970">
      <w:pPr>
        <w:shd w:val="clear" w:color="auto" w:fill="FFFFFF"/>
        <w:spacing w:after="0" w:line="240" w:lineRule="auto"/>
        <w:rPr>
          <w:rFonts w:ascii="Arial" w:eastAsia="Times New Roman" w:hAnsi="Arial" w:cs="Arial"/>
          <w:sz w:val="20"/>
          <w:szCs w:val="20"/>
        </w:rPr>
      </w:pPr>
    </w:p>
    <w:tbl>
      <w:tblPr>
        <w:tblStyle w:val="TableGrid"/>
        <w:tblW w:w="0" w:type="auto"/>
        <w:tblLook w:val="04A0" w:firstRow="1" w:lastRow="0" w:firstColumn="1" w:lastColumn="0" w:noHBand="0" w:noVBand="1"/>
      </w:tblPr>
      <w:tblGrid>
        <w:gridCol w:w="2835"/>
        <w:gridCol w:w="6794"/>
      </w:tblGrid>
      <w:tr w:rsidR="000F4970" w:rsidRPr="0035552E" w14:paraId="38F6CDC9" w14:textId="77777777" w:rsidTr="001B7AAC">
        <w:tc>
          <w:tcPr>
            <w:tcW w:w="3595" w:type="dxa"/>
          </w:tcPr>
          <w:p w14:paraId="3322C91A" w14:textId="77777777" w:rsidR="000F4970" w:rsidRPr="0035552E" w:rsidRDefault="000F4970" w:rsidP="001B7AAC">
            <w:pPr>
              <w:rPr>
                <w:rFonts w:ascii="Arial" w:eastAsia="Times New Roman" w:hAnsi="Arial" w:cs="Arial"/>
                <w:b/>
                <w:bCs/>
                <w:sz w:val="20"/>
                <w:szCs w:val="20"/>
              </w:rPr>
            </w:pPr>
            <w:r w:rsidRPr="0035552E">
              <w:rPr>
                <w:rFonts w:ascii="Arial" w:eastAsia="Times New Roman" w:hAnsi="Arial" w:cs="Arial"/>
                <w:b/>
                <w:bCs/>
                <w:sz w:val="20"/>
                <w:szCs w:val="20"/>
              </w:rPr>
              <w:t>Category</w:t>
            </w:r>
          </w:p>
        </w:tc>
        <w:tc>
          <w:tcPr>
            <w:tcW w:w="9355" w:type="dxa"/>
          </w:tcPr>
          <w:p w14:paraId="5889C927" w14:textId="77777777" w:rsidR="000F4970" w:rsidRPr="0035552E" w:rsidRDefault="000F4970" w:rsidP="001B7AAC">
            <w:pPr>
              <w:rPr>
                <w:rFonts w:ascii="Arial" w:eastAsia="Times New Roman" w:hAnsi="Arial" w:cs="Arial"/>
                <w:b/>
                <w:bCs/>
                <w:sz w:val="20"/>
                <w:szCs w:val="20"/>
              </w:rPr>
            </w:pPr>
            <w:r w:rsidRPr="0035552E">
              <w:rPr>
                <w:rFonts w:ascii="Arial" w:eastAsia="Times New Roman" w:hAnsi="Arial" w:cs="Arial"/>
                <w:b/>
                <w:bCs/>
                <w:sz w:val="20"/>
                <w:szCs w:val="20"/>
              </w:rPr>
              <w:t>Details</w:t>
            </w:r>
          </w:p>
        </w:tc>
      </w:tr>
      <w:tr w:rsidR="000F4970" w:rsidRPr="0035552E" w14:paraId="0B3D9C5C" w14:textId="77777777" w:rsidTr="001B7AAC">
        <w:tc>
          <w:tcPr>
            <w:tcW w:w="3595" w:type="dxa"/>
          </w:tcPr>
          <w:p w14:paraId="6F417215"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Applied-for t</w:t>
            </w:r>
            <w:r w:rsidRPr="004C7C59">
              <w:rPr>
                <w:rFonts w:ascii="Arial" w:eastAsia="Times New Roman" w:hAnsi="Arial" w:cs="Arial"/>
                <w:sz w:val="20"/>
                <w:szCs w:val="20"/>
              </w:rPr>
              <w:t>rademark</w:t>
            </w:r>
          </w:p>
        </w:tc>
        <w:tc>
          <w:tcPr>
            <w:tcW w:w="9355" w:type="dxa"/>
          </w:tcPr>
          <w:p w14:paraId="3CC27635" w14:textId="77777777" w:rsidR="000F4970" w:rsidRPr="0035552E" w:rsidRDefault="000F4970" w:rsidP="001B7AAC">
            <w:pPr>
              <w:jc w:val="both"/>
              <w:rPr>
                <w:rFonts w:ascii="Arial" w:eastAsia="Times New Roman" w:hAnsi="Arial" w:cs="Arial"/>
                <w:sz w:val="20"/>
                <w:szCs w:val="20"/>
              </w:rPr>
            </w:pPr>
            <w:r w:rsidRPr="004C7C59">
              <w:rPr>
                <w:rFonts w:ascii="Arial" w:eastAsia="Times New Roman" w:hAnsi="Arial" w:cs="Arial"/>
                <w:sz w:val="20"/>
                <w:szCs w:val="20"/>
              </w:rPr>
              <w:t>CHATEAU LATOUR</w:t>
            </w:r>
          </w:p>
        </w:tc>
      </w:tr>
      <w:tr w:rsidR="000F4970" w:rsidRPr="0035552E" w14:paraId="0897069A" w14:textId="77777777" w:rsidTr="001B7AAC">
        <w:tc>
          <w:tcPr>
            <w:tcW w:w="3595" w:type="dxa"/>
          </w:tcPr>
          <w:p w14:paraId="55A42560"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Class &amp; goods</w:t>
            </w:r>
          </w:p>
        </w:tc>
        <w:tc>
          <w:tcPr>
            <w:tcW w:w="9355" w:type="dxa"/>
          </w:tcPr>
          <w:p w14:paraId="153AB74F" w14:textId="77777777" w:rsidR="000F4970" w:rsidRPr="0035552E" w:rsidRDefault="000F4970" w:rsidP="001B7AAC">
            <w:pPr>
              <w:jc w:val="both"/>
              <w:rPr>
                <w:rFonts w:ascii="Arial" w:eastAsia="Times New Roman" w:hAnsi="Arial" w:cs="Arial"/>
                <w:sz w:val="20"/>
                <w:szCs w:val="20"/>
              </w:rPr>
            </w:pPr>
            <w:r w:rsidRPr="0035552E">
              <w:rPr>
                <w:rFonts w:ascii="Arial" w:eastAsia="Times New Roman" w:hAnsi="Arial" w:cs="Arial"/>
                <w:sz w:val="20"/>
                <w:szCs w:val="20"/>
              </w:rPr>
              <w:t>33 (wine)</w:t>
            </w:r>
          </w:p>
        </w:tc>
      </w:tr>
      <w:tr w:rsidR="000F4970" w:rsidRPr="0035552E" w14:paraId="1BEC7156" w14:textId="77777777" w:rsidTr="001B7AAC">
        <w:tc>
          <w:tcPr>
            <w:tcW w:w="3595" w:type="dxa"/>
          </w:tcPr>
          <w:p w14:paraId="24E4FE90" w14:textId="77777777" w:rsidR="000F4970" w:rsidRPr="0035552E" w:rsidRDefault="000F4970" w:rsidP="001B7AAC">
            <w:pPr>
              <w:rPr>
                <w:rFonts w:ascii="Arial" w:eastAsia="Times New Roman" w:hAnsi="Arial" w:cs="Arial"/>
                <w:sz w:val="20"/>
                <w:szCs w:val="20"/>
              </w:rPr>
            </w:pPr>
            <w:r w:rsidRPr="004C7C59">
              <w:rPr>
                <w:rFonts w:ascii="Arial" w:eastAsia="Times New Roman" w:hAnsi="Arial" w:cs="Arial"/>
                <w:sz w:val="20"/>
                <w:szCs w:val="20"/>
              </w:rPr>
              <w:t>Application No.</w:t>
            </w:r>
          </w:p>
        </w:tc>
        <w:tc>
          <w:tcPr>
            <w:tcW w:w="9355" w:type="dxa"/>
          </w:tcPr>
          <w:p w14:paraId="0006B222" w14:textId="77777777" w:rsidR="000F4970" w:rsidRPr="0035552E" w:rsidRDefault="000F4970" w:rsidP="001B7AAC">
            <w:pPr>
              <w:jc w:val="both"/>
              <w:rPr>
                <w:rFonts w:ascii="Arial" w:eastAsia="Times New Roman" w:hAnsi="Arial" w:cs="Arial"/>
                <w:sz w:val="20"/>
                <w:szCs w:val="20"/>
              </w:rPr>
            </w:pPr>
            <w:r w:rsidRPr="004C7C59">
              <w:rPr>
                <w:rFonts w:ascii="Arial" w:eastAsia="Times New Roman" w:hAnsi="Arial" w:cs="Arial"/>
                <w:sz w:val="20"/>
                <w:szCs w:val="20"/>
              </w:rPr>
              <w:t>4-2013-00415</w:t>
            </w:r>
            <w:r w:rsidRPr="0035552E">
              <w:rPr>
                <w:rFonts w:ascii="Arial" w:eastAsia="Times New Roman" w:hAnsi="Arial" w:cs="Arial"/>
                <w:sz w:val="20"/>
                <w:szCs w:val="20"/>
              </w:rPr>
              <w:t xml:space="preserve"> </w:t>
            </w:r>
          </w:p>
        </w:tc>
      </w:tr>
      <w:tr w:rsidR="000F4970" w:rsidRPr="0035552E" w14:paraId="67BD8509" w14:textId="77777777" w:rsidTr="001B7AAC">
        <w:tc>
          <w:tcPr>
            <w:tcW w:w="3595" w:type="dxa"/>
          </w:tcPr>
          <w:p w14:paraId="58C49F72"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Applicant</w:t>
            </w:r>
          </w:p>
        </w:tc>
        <w:tc>
          <w:tcPr>
            <w:tcW w:w="9355" w:type="dxa"/>
          </w:tcPr>
          <w:p w14:paraId="0A25D087" w14:textId="77777777" w:rsidR="000F4970" w:rsidRPr="0035552E" w:rsidRDefault="000F4970" w:rsidP="001B7AAC">
            <w:pPr>
              <w:jc w:val="both"/>
              <w:rPr>
                <w:rFonts w:ascii="Arial" w:eastAsia="Times New Roman" w:hAnsi="Arial" w:cs="Arial"/>
                <w:sz w:val="20"/>
                <w:szCs w:val="20"/>
              </w:rPr>
            </w:pPr>
            <w:r w:rsidRPr="008C6802">
              <w:rPr>
                <w:rFonts w:ascii="Arial" w:eastAsia="Times New Roman" w:hAnsi="Arial" w:cs="Arial"/>
                <w:sz w:val="20"/>
                <w:szCs w:val="20"/>
              </w:rPr>
              <w:t>Intrixapple Co., Ltd.</w:t>
            </w:r>
          </w:p>
        </w:tc>
      </w:tr>
      <w:tr w:rsidR="000F4970" w:rsidRPr="0035552E" w14:paraId="0A46DDD8" w14:textId="77777777" w:rsidTr="001B7AAC">
        <w:tc>
          <w:tcPr>
            <w:tcW w:w="3595" w:type="dxa"/>
          </w:tcPr>
          <w:p w14:paraId="6CA59ABC"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Genuine trademark owner</w:t>
            </w:r>
          </w:p>
        </w:tc>
        <w:tc>
          <w:tcPr>
            <w:tcW w:w="9355" w:type="dxa"/>
          </w:tcPr>
          <w:p w14:paraId="282E10CA" w14:textId="77777777" w:rsidR="000F4970" w:rsidRPr="0035552E" w:rsidRDefault="000F4970" w:rsidP="001B7AAC">
            <w:pPr>
              <w:jc w:val="both"/>
              <w:rPr>
                <w:rFonts w:ascii="Arial" w:eastAsia="Times New Roman" w:hAnsi="Arial" w:cs="Arial"/>
                <w:sz w:val="20"/>
                <w:szCs w:val="20"/>
              </w:rPr>
            </w:pPr>
            <w:r w:rsidRPr="0035552E">
              <w:rPr>
                <w:rFonts w:ascii="Arial" w:hAnsi="Arial" w:cs="Arial"/>
                <w:sz w:val="20"/>
                <w:szCs w:val="20"/>
                <w:shd w:val="clear" w:color="auto" w:fill="FFFFFF"/>
              </w:rPr>
              <w:t>SOCIÉTÉ CIVILE DU VIGNOBLE DE CHÂTEAU-LATOUR</w:t>
            </w:r>
          </w:p>
        </w:tc>
      </w:tr>
      <w:tr w:rsidR="000F4970" w:rsidRPr="0035552E" w14:paraId="4F46C0AC" w14:textId="77777777" w:rsidTr="001B7AAC">
        <w:tc>
          <w:tcPr>
            <w:tcW w:w="3595" w:type="dxa"/>
          </w:tcPr>
          <w:p w14:paraId="5BB94D62"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Action</w:t>
            </w:r>
          </w:p>
        </w:tc>
        <w:tc>
          <w:tcPr>
            <w:tcW w:w="9355" w:type="dxa"/>
          </w:tcPr>
          <w:p w14:paraId="6EDA7EFE" w14:textId="77777777" w:rsidR="000F4970" w:rsidRPr="0035552E" w:rsidRDefault="000F4970" w:rsidP="001B7AAC">
            <w:pPr>
              <w:jc w:val="both"/>
              <w:rPr>
                <w:rFonts w:ascii="Arial" w:eastAsia="Times New Roman" w:hAnsi="Arial" w:cs="Arial"/>
                <w:sz w:val="20"/>
                <w:szCs w:val="20"/>
              </w:rPr>
            </w:pPr>
            <w:r w:rsidRPr="004C7C59">
              <w:rPr>
                <w:rFonts w:ascii="Arial" w:eastAsia="Times New Roman" w:hAnsi="Arial" w:cs="Arial"/>
                <w:sz w:val="20"/>
                <w:szCs w:val="20"/>
              </w:rPr>
              <w:t>Filing a Notice of Opposition</w:t>
            </w:r>
          </w:p>
        </w:tc>
      </w:tr>
      <w:tr w:rsidR="000F4970" w:rsidRPr="0035552E" w14:paraId="78ED90FA" w14:textId="77777777" w:rsidTr="001B7AAC">
        <w:tc>
          <w:tcPr>
            <w:tcW w:w="3595" w:type="dxa"/>
          </w:tcPr>
          <w:p w14:paraId="685A5DA0"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Legal ground</w:t>
            </w:r>
          </w:p>
        </w:tc>
        <w:tc>
          <w:tcPr>
            <w:tcW w:w="9355" w:type="dxa"/>
          </w:tcPr>
          <w:p w14:paraId="6DC6A67A" w14:textId="77777777" w:rsidR="000F4970" w:rsidRPr="0035552E" w:rsidRDefault="000F4970" w:rsidP="001B7AAC">
            <w:pPr>
              <w:jc w:val="both"/>
              <w:rPr>
                <w:rFonts w:ascii="Arial" w:hAnsi="Arial" w:cs="Arial"/>
                <w:sz w:val="20"/>
                <w:szCs w:val="20"/>
                <w:shd w:val="clear" w:color="auto" w:fill="FFFFFF"/>
              </w:rPr>
            </w:pPr>
            <w:r w:rsidRPr="0035552E">
              <w:rPr>
                <w:rFonts w:ascii="Arial" w:hAnsi="Arial" w:cs="Arial"/>
                <w:sz w:val="20"/>
                <w:szCs w:val="20"/>
                <w:shd w:val="clear" w:color="auto" w:fill="FFFFFF"/>
              </w:rPr>
              <w:t>Article 74.2(g) of Vietnam’s IP Law (</w:t>
            </w:r>
            <w:r w:rsidRPr="0035552E">
              <w:rPr>
                <w:rFonts w:ascii="Arial" w:hAnsi="Arial" w:cs="Arial"/>
                <w:i/>
                <w:iCs/>
                <w:sz w:val="20"/>
                <w:szCs w:val="20"/>
                <w:shd w:val="clear" w:color="auto" w:fill="FFFFFF"/>
              </w:rPr>
              <w:t xml:space="preserve">i.e., confusingly similar to a </w:t>
            </w:r>
            <w:hyperlink r:id="rId8" w:history="1">
              <w:r w:rsidRPr="00FF4F04">
                <w:rPr>
                  <w:rStyle w:val="Hyperlink"/>
                  <w:rFonts w:ascii="Arial" w:hAnsi="Arial" w:cs="Arial"/>
                  <w:i/>
                  <w:iCs/>
                  <w:sz w:val="20"/>
                  <w:szCs w:val="20"/>
                  <w:shd w:val="clear" w:color="auto" w:fill="FFFFFF"/>
                </w:rPr>
                <w:t>widely used and recognized trademark of others</w:t>
              </w:r>
            </w:hyperlink>
            <w:r w:rsidRPr="0035552E">
              <w:rPr>
                <w:rFonts w:ascii="Arial" w:hAnsi="Arial" w:cs="Arial"/>
                <w:sz w:val="20"/>
                <w:szCs w:val="20"/>
                <w:shd w:val="clear" w:color="auto" w:fill="FFFFFF"/>
              </w:rPr>
              <w:t>)</w:t>
            </w:r>
            <w:r>
              <w:rPr>
                <w:rFonts w:ascii="Arial" w:hAnsi="Arial" w:cs="Arial"/>
                <w:sz w:val="20"/>
                <w:szCs w:val="20"/>
                <w:shd w:val="clear" w:color="auto" w:fill="FFFFFF"/>
              </w:rPr>
              <w:t>.</w:t>
            </w:r>
          </w:p>
        </w:tc>
      </w:tr>
      <w:tr w:rsidR="000F4970" w:rsidRPr="0035552E" w14:paraId="2315F6FA" w14:textId="77777777" w:rsidTr="001B7AAC">
        <w:tc>
          <w:tcPr>
            <w:tcW w:w="3595" w:type="dxa"/>
          </w:tcPr>
          <w:p w14:paraId="4CDFADFF" w14:textId="77777777" w:rsidR="000F4970" w:rsidRPr="0035552E" w:rsidRDefault="000F4970" w:rsidP="001B7AAC">
            <w:pPr>
              <w:rPr>
                <w:rFonts w:ascii="Arial" w:eastAsia="Times New Roman" w:hAnsi="Arial" w:cs="Arial"/>
                <w:sz w:val="20"/>
                <w:szCs w:val="20"/>
              </w:rPr>
            </w:pPr>
            <w:r w:rsidRPr="004C7C59">
              <w:rPr>
                <w:rFonts w:ascii="Arial" w:eastAsia="Times New Roman" w:hAnsi="Arial" w:cs="Arial"/>
                <w:sz w:val="20"/>
                <w:szCs w:val="20"/>
              </w:rPr>
              <w:t xml:space="preserve">Initial </w:t>
            </w:r>
            <w:r w:rsidRPr="0035552E">
              <w:rPr>
                <w:rFonts w:ascii="Arial" w:eastAsia="Times New Roman" w:hAnsi="Arial" w:cs="Arial"/>
                <w:sz w:val="20"/>
                <w:szCs w:val="20"/>
              </w:rPr>
              <w:t>r</w:t>
            </w:r>
            <w:r w:rsidRPr="004C7C59">
              <w:rPr>
                <w:rFonts w:ascii="Arial" w:eastAsia="Times New Roman" w:hAnsi="Arial" w:cs="Arial"/>
                <w:sz w:val="20"/>
                <w:szCs w:val="20"/>
              </w:rPr>
              <w:t>uling</w:t>
            </w:r>
          </w:p>
        </w:tc>
        <w:tc>
          <w:tcPr>
            <w:tcW w:w="9355" w:type="dxa"/>
          </w:tcPr>
          <w:p w14:paraId="3C22EE1F" w14:textId="77777777" w:rsidR="000F4970" w:rsidRPr="0035552E" w:rsidRDefault="000F4970" w:rsidP="001B7AAC">
            <w:pPr>
              <w:jc w:val="both"/>
              <w:rPr>
                <w:rFonts w:ascii="Arial" w:eastAsia="Times New Roman" w:hAnsi="Arial" w:cs="Arial"/>
                <w:sz w:val="20"/>
                <w:szCs w:val="20"/>
              </w:rPr>
            </w:pPr>
            <w:r w:rsidRPr="0035552E">
              <w:rPr>
                <w:rFonts w:ascii="Arial" w:hAnsi="Arial" w:cs="Arial"/>
                <w:sz w:val="20"/>
                <w:szCs w:val="20"/>
                <w:shd w:val="clear" w:color="auto" w:fill="FFFFFF"/>
              </w:rPr>
              <w:t>After a thorough review of the evidence and arguments presented during the opposition, IP VIETNAM decided to refuse the trademark registration, citing Article 74.2(e) with a reference to the mark under IR. 770948 and Article 74.2(g) related to the opposition</w:t>
            </w:r>
            <w:r>
              <w:rPr>
                <w:rFonts w:ascii="Arial" w:hAnsi="Arial" w:cs="Arial"/>
                <w:sz w:val="20"/>
                <w:szCs w:val="20"/>
                <w:shd w:val="clear" w:color="auto" w:fill="FFFFFF"/>
              </w:rPr>
              <w:t>.</w:t>
            </w:r>
          </w:p>
        </w:tc>
      </w:tr>
      <w:tr w:rsidR="000F4970" w:rsidRPr="0035552E" w14:paraId="3BF92A2D" w14:textId="77777777" w:rsidTr="001B7AAC">
        <w:tc>
          <w:tcPr>
            <w:tcW w:w="3595" w:type="dxa"/>
          </w:tcPr>
          <w:p w14:paraId="1CB094E3" w14:textId="77777777" w:rsidR="000F4970" w:rsidRPr="0035552E" w:rsidRDefault="000F4970" w:rsidP="001B7AAC">
            <w:pPr>
              <w:rPr>
                <w:rFonts w:ascii="Arial" w:eastAsia="Times New Roman" w:hAnsi="Arial" w:cs="Arial"/>
                <w:sz w:val="20"/>
                <w:szCs w:val="20"/>
              </w:rPr>
            </w:pPr>
            <w:r w:rsidRPr="004C7C59">
              <w:rPr>
                <w:rFonts w:ascii="Arial" w:eastAsia="Times New Roman" w:hAnsi="Arial" w:cs="Arial"/>
                <w:sz w:val="20"/>
                <w:szCs w:val="20"/>
              </w:rPr>
              <w:t>Appeal</w:t>
            </w:r>
          </w:p>
        </w:tc>
        <w:tc>
          <w:tcPr>
            <w:tcW w:w="9355" w:type="dxa"/>
          </w:tcPr>
          <w:p w14:paraId="3D4C878E" w14:textId="77777777" w:rsidR="000F4970" w:rsidRPr="0035552E" w:rsidRDefault="000F4970" w:rsidP="001B7AAC">
            <w:pPr>
              <w:jc w:val="both"/>
              <w:rPr>
                <w:rFonts w:ascii="Arial" w:eastAsia="Times New Roman" w:hAnsi="Arial" w:cs="Arial"/>
                <w:sz w:val="20"/>
                <w:szCs w:val="20"/>
              </w:rPr>
            </w:pPr>
            <w:r w:rsidRPr="0035552E">
              <w:rPr>
                <w:rFonts w:ascii="Arial" w:hAnsi="Arial" w:cs="Arial"/>
                <w:sz w:val="20"/>
                <w:szCs w:val="20"/>
                <w:shd w:val="clear" w:color="auto" w:fill="FFFFFF"/>
              </w:rPr>
              <w:t>The trademark applicant contested IP VIETNAM’s refusal decision</w:t>
            </w:r>
          </w:p>
        </w:tc>
      </w:tr>
      <w:tr w:rsidR="000F4970" w:rsidRPr="0035552E" w14:paraId="03A5DBA6" w14:textId="77777777" w:rsidTr="001B7AAC">
        <w:tc>
          <w:tcPr>
            <w:tcW w:w="3595" w:type="dxa"/>
          </w:tcPr>
          <w:p w14:paraId="60D3E726" w14:textId="77777777" w:rsidR="000F4970" w:rsidRPr="0035552E" w:rsidRDefault="000F4970" w:rsidP="001B7AAC">
            <w:pPr>
              <w:rPr>
                <w:rFonts w:ascii="Arial" w:eastAsia="Times New Roman" w:hAnsi="Arial" w:cs="Arial"/>
                <w:sz w:val="20"/>
                <w:szCs w:val="20"/>
              </w:rPr>
            </w:pPr>
            <w:r w:rsidRPr="004C7C59">
              <w:rPr>
                <w:rFonts w:ascii="Arial" w:eastAsia="Times New Roman" w:hAnsi="Arial" w:cs="Arial"/>
                <w:sz w:val="20"/>
                <w:szCs w:val="20"/>
              </w:rPr>
              <w:t xml:space="preserve">Final </w:t>
            </w:r>
            <w:r w:rsidRPr="0035552E">
              <w:rPr>
                <w:rFonts w:ascii="Arial" w:eastAsia="Times New Roman" w:hAnsi="Arial" w:cs="Arial"/>
                <w:sz w:val="20"/>
                <w:szCs w:val="20"/>
              </w:rPr>
              <w:t>d</w:t>
            </w:r>
            <w:r w:rsidRPr="004C7C59">
              <w:rPr>
                <w:rFonts w:ascii="Arial" w:eastAsia="Times New Roman" w:hAnsi="Arial" w:cs="Arial"/>
                <w:sz w:val="20"/>
                <w:szCs w:val="20"/>
              </w:rPr>
              <w:t>ecision</w:t>
            </w:r>
          </w:p>
        </w:tc>
        <w:tc>
          <w:tcPr>
            <w:tcW w:w="9355" w:type="dxa"/>
          </w:tcPr>
          <w:p w14:paraId="3C577EBD" w14:textId="77777777" w:rsidR="000F4970" w:rsidRPr="0035552E" w:rsidRDefault="000F4970" w:rsidP="001B7AAC">
            <w:pPr>
              <w:jc w:val="both"/>
              <w:rPr>
                <w:rFonts w:ascii="Arial" w:eastAsia="Times New Roman" w:hAnsi="Arial" w:cs="Arial"/>
                <w:sz w:val="20"/>
                <w:szCs w:val="20"/>
              </w:rPr>
            </w:pPr>
            <w:r w:rsidRPr="0035552E">
              <w:rPr>
                <w:rFonts w:ascii="Arial" w:hAnsi="Arial" w:cs="Arial"/>
                <w:sz w:val="20"/>
                <w:szCs w:val="20"/>
                <w:shd w:val="clear" w:color="auto" w:fill="FFFFFF"/>
              </w:rPr>
              <w:t>However, upon review, IP VIETNAM maintained its initial stance and confirmed the refusal in the Decision on settlement of the appeal.</w:t>
            </w:r>
          </w:p>
        </w:tc>
      </w:tr>
    </w:tbl>
    <w:p w14:paraId="0CE8319F" w14:textId="77777777" w:rsidR="000F4970" w:rsidRPr="0035552E" w:rsidRDefault="000F4970" w:rsidP="000F4970">
      <w:pPr>
        <w:shd w:val="clear" w:color="auto" w:fill="FFFFFF"/>
        <w:spacing w:after="0" w:line="240" w:lineRule="auto"/>
        <w:rPr>
          <w:rFonts w:ascii="Arial" w:eastAsia="Times New Roman" w:hAnsi="Arial" w:cs="Arial"/>
          <w:b/>
          <w:bCs/>
          <w:color w:val="2F5496" w:themeColor="accent1" w:themeShade="BF"/>
          <w:bdr w:val="none" w:sz="0" w:space="0" w:color="auto" w:frame="1"/>
        </w:rPr>
      </w:pPr>
      <w:r w:rsidRPr="0035552E">
        <w:rPr>
          <w:rFonts w:ascii="Arial" w:eastAsia="Times New Roman" w:hAnsi="Arial" w:cs="Arial"/>
          <w:b/>
          <w:bCs/>
          <w:color w:val="2F5496" w:themeColor="accent1" w:themeShade="BF"/>
          <w:u w:val="single"/>
          <w:bdr w:val="none" w:sz="0" w:space="0" w:color="auto" w:frame="1"/>
        </w:rPr>
        <w:t>Case 2</w:t>
      </w:r>
      <w:r w:rsidRPr="0035552E">
        <w:rPr>
          <w:rFonts w:ascii="Arial" w:eastAsia="Times New Roman" w:hAnsi="Arial" w:cs="Arial"/>
          <w:b/>
          <w:bCs/>
          <w:color w:val="2F5496" w:themeColor="accent1" w:themeShade="BF"/>
          <w:bdr w:val="none" w:sz="0" w:space="0" w:color="auto" w:frame="1"/>
        </w:rPr>
        <w:t xml:space="preserve">: emz-usa v. </w:t>
      </w:r>
      <w:r w:rsidRPr="0035552E">
        <w:rPr>
          <w:rFonts w:ascii="Arial" w:eastAsia="Times New Roman" w:hAnsi="Arial" w:cs="Arial"/>
          <w:b/>
          <w:bCs/>
          <w:noProof/>
          <w:color w:val="2F5496" w:themeColor="accent1" w:themeShade="BF"/>
          <w:bdr w:val="none" w:sz="0" w:space="0" w:color="auto" w:frame="1"/>
        </w:rPr>
        <w:drawing>
          <wp:inline distT="0" distB="0" distL="0" distR="0" wp14:anchorId="5AA2F22F" wp14:editId="3831EC23">
            <wp:extent cx="1152525" cy="73997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62865" cy="746612"/>
                    </a:xfrm>
                    <a:prstGeom prst="rect">
                      <a:avLst/>
                    </a:prstGeom>
                  </pic:spPr>
                </pic:pic>
              </a:graphicData>
            </a:graphic>
          </wp:inline>
        </w:drawing>
      </w:r>
      <w:r w:rsidRPr="0035552E">
        <w:rPr>
          <w:rFonts w:ascii="Arial" w:eastAsia="Times New Roman" w:hAnsi="Arial" w:cs="Arial"/>
          <w:b/>
          <w:bCs/>
          <w:color w:val="2F5496" w:themeColor="accent1" w:themeShade="BF"/>
          <w:bdr w:val="none" w:sz="0" w:space="0" w:color="auto" w:frame="1"/>
        </w:rPr>
        <w:t xml:space="preserve"> </w:t>
      </w:r>
      <w:r w:rsidRPr="0035552E">
        <w:rPr>
          <w:rFonts w:ascii="Arial" w:eastAsia="Times New Roman" w:hAnsi="Arial" w:cs="Arial"/>
          <w:color w:val="000000" w:themeColor="text1"/>
          <w:bdr w:val="none" w:sz="0" w:space="0" w:color="auto" w:frame="1"/>
        </w:rPr>
        <w:t>(emz-usa, device)</w:t>
      </w:r>
    </w:p>
    <w:p w14:paraId="42C44AB9" w14:textId="77777777" w:rsidR="000F4970" w:rsidRPr="0035552E" w:rsidRDefault="000F4970" w:rsidP="000F4970">
      <w:pPr>
        <w:shd w:val="clear" w:color="auto" w:fill="FFFFFF"/>
        <w:spacing w:after="0" w:line="240" w:lineRule="auto"/>
        <w:jc w:val="both"/>
        <w:rPr>
          <w:rFonts w:ascii="Arial" w:eastAsia="Times New Roman" w:hAnsi="Arial" w:cs="Arial"/>
          <w:b/>
          <w:bCs/>
          <w:sz w:val="20"/>
          <w:szCs w:val="20"/>
        </w:rPr>
      </w:pPr>
    </w:p>
    <w:p w14:paraId="7F736A41" w14:textId="77777777" w:rsidR="000F4970" w:rsidRPr="0035552E" w:rsidRDefault="000F4970" w:rsidP="000F4970">
      <w:pPr>
        <w:shd w:val="clear" w:color="auto" w:fill="FFFFFF"/>
        <w:spacing w:after="0" w:line="240" w:lineRule="auto"/>
        <w:jc w:val="both"/>
        <w:rPr>
          <w:rFonts w:ascii="Arial" w:hAnsi="Arial" w:cs="Arial"/>
          <w:sz w:val="20"/>
          <w:szCs w:val="20"/>
          <w:shd w:val="clear" w:color="auto" w:fill="FFFFFF"/>
        </w:rPr>
      </w:pPr>
      <w:r w:rsidRPr="0035552E">
        <w:rPr>
          <w:rFonts w:ascii="Arial" w:eastAsia="Times New Roman" w:hAnsi="Arial" w:cs="Arial"/>
          <w:i/>
          <w:iCs/>
          <w:sz w:val="20"/>
          <w:szCs w:val="20"/>
          <w:bdr w:val="none" w:sz="0" w:space="0" w:color="auto" w:frame="1"/>
        </w:rPr>
        <w:t>[Executive summary]:</w:t>
      </w:r>
      <w:r w:rsidRPr="0035552E">
        <w:rPr>
          <w:rFonts w:ascii="Arial" w:eastAsia="Times New Roman" w:hAnsi="Arial" w:cs="Arial"/>
          <w:b/>
          <w:bCs/>
          <w:sz w:val="20"/>
          <w:szCs w:val="20"/>
          <w:bdr w:val="none" w:sz="0" w:space="0" w:color="auto" w:frame="1"/>
        </w:rPr>
        <w:t xml:space="preserve"> </w:t>
      </w:r>
      <w:r w:rsidRPr="0035552E">
        <w:rPr>
          <w:rFonts w:ascii="Arial" w:hAnsi="Arial" w:cs="Arial"/>
          <w:sz w:val="20"/>
          <w:szCs w:val="20"/>
          <w:shd w:val="clear" w:color="auto" w:fill="FFFFFF"/>
        </w:rPr>
        <w:t xml:space="preserve">Mr. Tran Vick Hung Vuong, located at 2651 N. Harwood St., Suite 370, Dallas, Texas 75201, USA, successfully registered the trademark “emz-usa, device” under Registration No. 172149 with IP VIETNAM. However, BFR Health International, Inc., a U.S.-based corporation, contends that this trademark is rightfully theirs and alleges that Mr. Tran registered the mark with malicious intent. Consequently, BFR Health International has initiated an invalidation proceeding against Trademark Registration No. 172149 at IP VIETNAM, seeking to annul the registration based on </w:t>
      </w:r>
      <w:hyperlink r:id="rId10" w:history="1">
        <w:r w:rsidRPr="00FF4F04">
          <w:rPr>
            <w:rStyle w:val="Hyperlink"/>
            <w:rFonts w:ascii="Arial" w:hAnsi="Arial" w:cs="Arial"/>
            <w:sz w:val="20"/>
            <w:szCs w:val="20"/>
            <w:shd w:val="clear" w:color="auto" w:fill="FFFFFF"/>
          </w:rPr>
          <w:t>claims of bad faith</w:t>
        </w:r>
      </w:hyperlink>
      <w:r w:rsidRPr="0035552E">
        <w:rPr>
          <w:rFonts w:ascii="Arial" w:hAnsi="Arial" w:cs="Arial"/>
          <w:sz w:val="20"/>
          <w:szCs w:val="20"/>
          <w:shd w:val="clear" w:color="auto" w:fill="FFFFFF"/>
        </w:rPr>
        <w:t>.</w:t>
      </w:r>
    </w:p>
    <w:p w14:paraId="09C031A8" w14:textId="77777777" w:rsidR="000F4970" w:rsidRPr="0035552E" w:rsidRDefault="000F4970" w:rsidP="000F4970">
      <w:pPr>
        <w:shd w:val="clear" w:color="auto" w:fill="FFFFFF"/>
        <w:spacing w:after="0" w:line="240" w:lineRule="auto"/>
        <w:jc w:val="both"/>
        <w:rPr>
          <w:rFonts w:ascii="Arial" w:eastAsia="Times New Roman" w:hAnsi="Arial" w:cs="Arial"/>
          <w:sz w:val="20"/>
          <w:szCs w:val="20"/>
        </w:rPr>
      </w:pPr>
    </w:p>
    <w:tbl>
      <w:tblPr>
        <w:tblStyle w:val="TableGrid"/>
        <w:tblW w:w="0" w:type="auto"/>
        <w:tblLook w:val="04A0" w:firstRow="1" w:lastRow="0" w:firstColumn="1" w:lastColumn="0" w:noHBand="0" w:noVBand="1"/>
      </w:tblPr>
      <w:tblGrid>
        <w:gridCol w:w="3106"/>
        <w:gridCol w:w="6523"/>
      </w:tblGrid>
      <w:tr w:rsidR="000F4970" w:rsidRPr="0035552E" w14:paraId="0B426025" w14:textId="77777777" w:rsidTr="001B7AAC">
        <w:tc>
          <w:tcPr>
            <w:tcW w:w="3595" w:type="dxa"/>
          </w:tcPr>
          <w:p w14:paraId="2D3DBF31" w14:textId="77777777" w:rsidR="000F4970" w:rsidRPr="0035552E" w:rsidRDefault="000F4970" w:rsidP="001B7AAC">
            <w:pPr>
              <w:rPr>
                <w:rFonts w:ascii="Arial" w:eastAsia="Times New Roman" w:hAnsi="Arial" w:cs="Arial"/>
                <w:b/>
                <w:bCs/>
                <w:sz w:val="20"/>
                <w:szCs w:val="20"/>
              </w:rPr>
            </w:pPr>
            <w:r w:rsidRPr="0035552E">
              <w:rPr>
                <w:rFonts w:ascii="Arial" w:eastAsia="Times New Roman" w:hAnsi="Arial" w:cs="Arial"/>
                <w:b/>
                <w:bCs/>
                <w:sz w:val="20"/>
                <w:szCs w:val="20"/>
              </w:rPr>
              <w:t>Category</w:t>
            </w:r>
          </w:p>
        </w:tc>
        <w:tc>
          <w:tcPr>
            <w:tcW w:w="9355" w:type="dxa"/>
          </w:tcPr>
          <w:p w14:paraId="34DC8761" w14:textId="77777777" w:rsidR="000F4970" w:rsidRPr="0035552E" w:rsidRDefault="000F4970" w:rsidP="001B7AAC">
            <w:pPr>
              <w:rPr>
                <w:rFonts w:ascii="Arial" w:eastAsia="Times New Roman" w:hAnsi="Arial" w:cs="Arial"/>
                <w:b/>
                <w:bCs/>
                <w:sz w:val="20"/>
                <w:szCs w:val="20"/>
              </w:rPr>
            </w:pPr>
            <w:r w:rsidRPr="0035552E">
              <w:rPr>
                <w:rFonts w:ascii="Arial" w:eastAsia="Times New Roman" w:hAnsi="Arial" w:cs="Arial"/>
                <w:b/>
                <w:bCs/>
                <w:sz w:val="20"/>
                <w:szCs w:val="20"/>
              </w:rPr>
              <w:t>Details</w:t>
            </w:r>
          </w:p>
        </w:tc>
      </w:tr>
      <w:tr w:rsidR="000F4970" w:rsidRPr="0035552E" w14:paraId="3982BC47" w14:textId="77777777" w:rsidTr="001B7AAC">
        <w:tc>
          <w:tcPr>
            <w:tcW w:w="3595" w:type="dxa"/>
          </w:tcPr>
          <w:p w14:paraId="0C6F1EFF"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Applied-for t</w:t>
            </w:r>
            <w:r w:rsidRPr="004C7C59">
              <w:rPr>
                <w:rFonts w:ascii="Arial" w:eastAsia="Times New Roman" w:hAnsi="Arial" w:cs="Arial"/>
                <w:sz w:val="20"/>
                <w:szCs w:val="20"/>
              </w:rPr>
              <w:t>rademark</w:t>
            </w:r>
          </w:p>
        </w:tc>
        <w:tc>
          <w:tcPr>
            <w:tcW w:w="9355" w:type="dxa"/>
          </w:tcPr>
          <w:p w14:paraId="1E04CEEA" w14:textId="77777777" w:rsidR="000F4970" w:rsidRPr="0035552E" w:rsidRDefault="000F4970" w:rsidP="001B7AAC">
            <w:pPr>
              <w:rPr>
                <w:rFonts w:ascii="Arial" w:eastAsia="Times New Roman" w:hAnsi="Arial" w:cs="Arial"/>
                <w:sz w:val="20"/>
                <w:szCs w:val="20"/>
              </w:rPr>
            </w:pPr>
            <w:r w:rsidRPr="0035552E">
              <w:rPr>
                <w:rFonts w:ascii="Arial" w:hAnsi="Arial" w:cs="Arial"/>
                <w:sz w:val="20"/>
                <w:szCs w:val="20"/>
                <w:shd w:val="clear" w:color="auto" w:fill="FFFFFF"/>
              </w:rPr>
              <w:t>emz-usa, device</w:t>
            </w:r>
          </w:p>
        </w:tc>
      </w:tr>
      <w:tr w:rsidR="000F4970" w:rsidRPr="0035552E" w14:paraId="72106B78" w14:textId="77777777" w:rsidTr="001B7AAC">
        <w:tc>
          <w:tcPr>
            <w:tcW w:w="3595" w:type="dxa"/>
          </w:tcPr>
          <w:p w14:paraId="677DBE64"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Class &amp; goods</w:t>
            </w:r>
          </w:p>
        </w:tc>
        <w:tc>
          <w:tcPr>
            <w:tcW w:w="9355" w:type="dxa"/>
          </w:tcPr>
          <w:p w14:paraId="5DFDF0EC"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01 (Microbial fertilizer in granular form, liquid form, powder form)</w:t>
            </w:r>
          </w:p>
        </w:tc>
      </w:tr>
      <w:tr w:rsidR="000F4970" w:rsidRPr="0035552E" w14:paraId="4F1923D5" w14:textId="77777777" w:rsidTr="001B7AAC">
        <w:tc>
          <w:tcPr>
            <w:tcW w:w="3595" w:type="dxa"/>
          </w:tcPr>
          <w:p w14:paraId="7AF7BD59"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Application/Registration</w:t>
            </w:r>
            <w:r w:rsidRPr="004C7C59">
              <w:rPr>
                <w:rFonts w:ascii="Arial" w:eastAsia="Times New Roman" w:hAnsi="Arial" w:cs="Arial"/>
                <w:sz w:val="20"/>
                <w:szCs w:val="20"/>
              </w:rPr>
              <w:t xml:space="preserve"> No.</w:t>
            </w:r>
          </w:p>
        </w:tc>
        <w:tc>
          <w:tcPr>
            <w:tcW w:w="9355" w:type="dxa"/>
          </w:tcPr>
          <w:p w14:paraId="0D27E8C2" w14:textId="77777777" w:rsidR="000F4970" w:rsidRPr="0035552E" w:rsidRDefault="000F4970" w:rsidP="001B7AAC">
            <w:pPr>
              <w:rPr>
                <w:rFonts w:ascii="Arial" w:eastAsia="Times New Roman" w:hAnsi="Arial" w:cs="Arial"/>
                <w:sz w:val="20"/>
                <w:szCs w:val="20"/>
              </w:rPr>
            </w:pPr>
            <w:r w:rsidRPr="0035552E">
              <w:rPr>
                <w:rFonts w:ascii="Arial" w:hAnsi="Arial" w:cs="Arial"/>
                <w:sz w:val="20"/>
                <w:szCs w:val="20"/>
                <w:shd w:val="clear" w:color="auto" w:fill="FFFFFF"/>
              </w:rPr>
              <w:t>4-2010-14437 (172149)</w:t>
            </w:r>
          </w:p>
        </w:tc>
      </w:tr>
      <w:tr w:rsidR="000F4970" w:rsidRPr="0035552E" w14:paraId="27B89C93" w14:textId="77777777" w:rsidTr="001B7AAC">
        <w:tc>
          <w:tcPr>
            <w:tcW w:w="3595" w:type="dxa"/>
          </w:tcPr>
          <w:p w14:paraId="1280758D"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Applicant</w:t>
            </w:r>
          </w:p>
        </w:tc>
        <w:tc>
          <w:tcPr>
            <w:tcW w:w="9355" w:type="dxa"/>
          </w:tcPr>
          <w:p w14:paraId="652A6D86" w14:textId="77777777" w:rsidR="000F4970" w:rsidRPr="0035552E" w:rsidRDefault="000F4970" w:rsidP="001B7AAC">
            <w:pPr>
              <w:rPr>
                <w:rFonts w:ascii="Arial" w:eastAsia="Times New Roman" w:hAnsi="Arial" w:cs="Arial"/>
                <w:sz w:val="20"/>
                <w:szCs w:val="20"/>
              </w:rPr>
            </w:pPr>
            <w:r w:rsidRPr="0035552E">
              <w:rPr>
                <w:rFonts w:ascii="Arial" w:hAnsi="Arial" w:cs="Arial"/>
                <w:sz w:val="20"/>
                <w:szCs w:val="20"/>
                <w:shd w:val="clear" w:color="auto" w:fill="FFFFFF"/>
              </w:rPr>
              <w:t>Tran Vick Hung Vuong</w:t>
            </w:r>
          </w:p>
        </w:tc>
      </w:tr>
      <w:tr w:rsidR="000F4970" w:rsidRPr="0035552E" w14:paraId="540AD253" w14:textId="77777777" w:rsidTr="001B7AAC">
        <w:tc>
          <w:tcPr>
            <w:tcW w:w="3595" w:type="dxa"/>
          </w:tcPr>
          <w:p w14:paraId="705B86A5"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Genuine trademark owner</w:t>
            </w:r>
          </w:p>
        </w:tc>
        <w:tc>
          <w:tcPr>
            <w:tcW w:w="9355" w:type="dxa"/>
          </w:tcPr>
          <w:p w14:paraId="02496094" w14:textId="77777777" w:rsidR="000F4970" w:rsidRPr="0035552E" w:rsidRDefault="000F4970" w:rsidP="001B7AAC">
            <w:pPr>
              <w:rPr>
                <w:rFonts w:ascii="Arial" w:eastAsia="Times New Roman" w:hAnsi="Arial" w:cs="Arial"/>
                <w:sz w:val="20"/>
                <w:szCs w:val="20"/>
              </w:rPr>
            </w:pPr>
            <w:r w:rsidRPr="0035552E">
              <w:rPr>
                <w:rFonts w:ascii="Arial" w:hAnsi="Arial" w:cs="Arial"/>
                <w:sz w:val="20"/>
                <w:szCs w:val="20"/>
                <w:shd w:val="clear" w:color="auto" w:fill="FFFFFF"/>
              </w:rPr>
              <w:t>BFR Health International, Inc.</w:t>
            </w:r>
          </w:p>
        </w:tc>
      </w:tr>
      <w:tr w:rsidR="000F4970" w:rsidRPr="0035552E" w14:paraId="02DF5858" w14:textId="77777777" w:rsidTr="001B7AAC">
        <w:tc>
          <w:tcPr>
            <w:tcW w:w="3595" w:type="dxa"/>
          </w:tcPr>
          <w:p w14:paraId="3E339BB6"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Action</w:t>
            </w:r>
          </w:p>
        </w:tc>
        <w:tc>
          <w:tcPr>
            <w:tcW w:w="9355" w:type="dxa"/>
          </w:tcPr>
          <w:p w14:paraId="5CE972A0" w14:textId="77777777" w:rsidR="000F4970" w:rsidRPr="0035552E" w:rsidRDefault="000F4970" w:rsidP="001B7AAC">
            <w:pPr>
              <w:rPr>
                <w:rFonts w:ascii="Arial" w:eastAsia="Times New Roman" w:hAnsi="Arial" w:cs="Arial"/>
                <w:sz w:val="20"/>
                <w:szCs w:val="20"/>
              </w:rPr>
            </w:pPr>
            <w:r w:rsidRPr="004C7C59">
              <w:rPr>
                <w:rFonts w:ascii="Arial" w:eastAsia="Times New Roman" w:hAnsi="Arial" w:cs="Arial"/>
                <w:sz w:val="20"/>
                <w:szCs w:val="20"/>
              </w:rPr>
              <w:t xml:space="preserve">Filing a </w:t>
            </w:r>
            <w:r w:rsidRPr="0035552E">
              <w:rPr>
                <w:rFonts w:ascii="Arial" w:eastAsia="Times New Roman" w:hAnsi="Arial" w:cs="Arial"/>
                <w:sz w:val="20"/>
                <w:szCs w:val="20"/>
              </w:rPr>
              <w:t>trademark invalidation request</w:t>
            </w:r>
          </w:p>
        </w:tc>
      </w:tr>
      <w:tr w:rsidR="000F4970" w:rsidRPr="0035552E" w14:paraId="7C75C7CC" w14:textId="77777777" w:rsidTr="001B7AAC">
        <w:tc>
          <w:tcPr>
            <w:tcW w:w="3595" w:type="dxa"/>
          </w:tcPr>
          <w:p w14:paraId="4D4CD0E1"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Legal ground</w:t>
            </w:r>
          </w:p>
        </w:tc>
        <w:tc>
          <w:tcPr>
            <w:tcW w:w="9355" w:type="dxa"/>
          </w:tcPr>
          <w:p w14:paraId="16F62853" w14:textId="77777777" w:rsidR="000F4970" w:rsidRPr="0035552E" w:rsidRDefault="000F4970" w:rsidP="001B7AAC">
            <w:pPr>
              <w:rPr>
                <w:rFonts w:ascii="Arial" w:hAnsi="Arial" w:cs="Arial"/>
                <w:sz w:val="20"/>
                <w:szCs w:val="20"/>
                <w:shd w:val="clear" w:color="auto" w:fill="FFFFFF"/>
              </w:rPr>
            </w:pPr>
            <w:r w:rsidRPr="0035552E">
              <w:rPr>
                <w:rFonts w:ascii="Arial" w:hAnsi="Arial" w:cs="Arial"/>
                <w:sz w:val="20"/>
                <w:szCs w:val="20"/>
                <w:shd w:val="clear" w:color="auto" w:fill="FFFFFF"/>
              </w:rPr>
              <w:t>Article 96 (i.e., the applicant is not entitled to trademark registration)</w:t>
            </w:r>
          </w:p>
        </w:tc>
      </w:tr>
      <w:tr w:rsidR="000F4970" w:rsidRPr="0035552E" w14:paraId="041966E5" w14:textId="77777777" w:rsidTr="001B7AAC">
        <w:tc>
          <w:tcPr>
            <w:tcW w:w="3595" w:type="dxa"/>
          </w:tcPr>
          <w:p w14:paraId="4D7EE088"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R</w:t>
            </w:r>
            <w:r w:rsidRPr="004C7C59">
              <w:rPr>
                <w:rFonts w:ascii="Arial" w:eastAsia="Times New Roman" w:hAnsi="Arial" w:cs="Arial"/>
                <w:sz w:val="20"/>
                <w:szCs w:val="20"/>
              </w:rPr>
              <w:t>uling</w:t>
            </w:r>
          </w:p>
        </w:tc>
        <w:tc>
          <w:tcPr>
            <w:tcW w:w="9355" w:type="dxa"/>
          </w:tcPr>
          <w:p w14:paraId="1778B253" w14:textId="18B0B1F8" w:rsidR="000F4970" w:rsidRDefault="000F4970" w:rsidP="001B7AAC">
            <w:pPr>
              <w:jc w:val="both"/>
              <w:rPr>
                <w:rFonts w:ascii="Arial" w:hAnsi="Arial" w:cs="Arial"/>
                <w:sz w:val="20"/>
                <w:szCs w:val="20"/>
                <w:shd w:val="clear" w:color="auto" w:fill="FFFFFF"/>
              </w:rPr>
            </w:pPr>
            <w:r w:rsidRPr="0035552E">
              <w:rPr>
                <w:rFonts w:ascii="Arial" w:hAnsi="Arial" w:cs="Arial"/>
                <w:sz w:val="20"/>
                <w:szCs w:val="20"/>
                <w:shd w:val="clear" w:color="auto" w:fill="FFFFFF"/>
              </w:rPr>
              <w:t xml:space="preserve">In 2017, following a careful examination of the evidence and arguments put forth in the invalidation proceedings, IP VIETNAM rendered a </w:t>
            </w:r>
            <w:r w:rsidRPr="0035552E">
              <w:rPr>
                <w:rFonts w:ascii="Arial" w:hAnsi="Arial" w:cs="Arial"/>
                <w:sz w:val="20"/>
                <w:szCs w:val="20"/>
                <w:shd w:val="clear" w:color="auto" w:fill="FFFFFF"/>
              </w:rPr>
              <w:lastRenderedPageBreak/>
              <w:t>Decision to invalidate Trademark Registration No. 172149. This decision was made based on substantial proof provided by BFR Health International, Inc, including:</w:t>
            </w:r>
          </w:p>
          <w:p w14:paraId="0C5DE9BB" w14:textId="77777777" w:rsidR="000F4970" w:rsidRPr="0035552E" w:rsidRDefault="000F4970" w:rsidP="001B7AAC">
            <w:pPr>
              <w:jc w:val="both"/>
              <w:rPr>
                <w:rFonts w:ascii="Arial" w:hAnsi="Arial" w:cs="Arial"/>
                <w:sz w:val="20"/>
                <w:szCs w:val="20"/>
                <w:shd w:val="clear" w:color="auto" w:fill="FFFFFF"/>
              </w:rPr>
            </w:pPr>
          </w:p>
          <w:p w14:paraId="09DC5AAB" w14:textId="0A35532A" w:rsidR="000F4970" w:rsidRDefault="000F4970" w:rsidP="000F4970">
            <w:pPr>
              <w:pStyle w:val="ListParagraph"/>
              <w:numPr>
                <w:ilvl w:val="0"/>
                <w:numId w:val="19"/>
              </w:numPr>
              <w:ind w:left="436" w:hanging="436"/>
              <w:jc w:val="both"/>
              <w:rPr>
                <w:rFonts w:ascii="Arial" w:hAnsi="Arial" w:cs="Arial"/>
                <w:sz w:val="20"/>
                <w:szCs w:val="20"/>
                <w:shd w:val="clear" w:color="auto" w:fill="FFFFFF"/>
              </w:rPr>
            </w:pPr>
            <w:r w:rsidRPr="0035552E">
              <w:rPr>
                <w:rFonts w:ascii="Arial" w:hAnsi="Arial" w:cs="Arial"/>
                <w:sz w:val="20"/>
                <w:szCs w:val="20"/>
                <w:shd w:val="clear" w:color="auto" w:fill="FFFFFF"/>
              </w:rPr>
              <w:t>A Memorandum of Understanding (MOU) jointly executed by BFR Health International, Inc., Mr. Tran Vick Hung Vuong, and two other parties, demonstrating a prior agreement involving the disputed trademark.</w:t>
            </w:r>
          </w:p>
          <w:p w14:paraId="658EFA48" w14:textId="77777777" w:rsidR="000F4970" w:rsidRPr="0035552E" w:rsidRDefault="000F4970" w:rsidP="001B7AAC">
            <w:pPr>
              <w:pStyle w:val="ListParagraph"/>
              <w:ind w:left="436"/>
              <w:jc w:val="both"/>
              <w:rPr>
                <w:rFonts w:ascii="Arial" w:hAnsi="Arial" w:cs="Arial"/>
                <w:sz w:val="20"/>
                <w:szCs w:val="20"/>
                <w:shd w:val="clear" w:color="auto" w:fill="FFFFFF"/>
              </w:rPr>
            </w:pPr>
          </w:p>
          <w:p w14:paraId="392483C8" w14:textId="48B162CF" w:rsidR="000F4970" w:rsidRDefault="000F4970" w:rsidP="000F4970">
            <w:pPr>
              <w:pStyle w:val="ListParagraph"/>
              <w:numPr>
                <w:ilvl w:val="0"/>
                <w:numId w:val="19"/>
              </w:numPr>
              <w:ind w:left="436" w:hanging="436"/>
              <w:jc w:val="both"/>
              <w:rPr>
                <w:rFonts w:ascii="Arial" w:hAnsi="Arial" w:cs="Arial"/>
                <w:sz w:val="20"/>
                <w:szCs w:val="20"/>
                <w:shd w:val="clear" w:color="auto" w:fill="FFFFFF"/>
              </w:rPr>
            </w:pPr>
            <w:r w:rsidRPr="0035552E">
              <w:rPr>
                <w:rFonts w:ascii="Arial" w:hAnsi="Arial" w:cs="Arial"/>
                <w:sz w:val="20"/>
                <w:szCs w:val="20"/>
                <w:shd w:val="clear" w:color="auto" w:fill="FFFFFF"/>
              </w:rPr>
              <w:t>A series of email exchanges between BFR Health International, Inc. and Mr. Tran Vick Hung Vuong, which detailed discussions regarding the "emz-usa, device" trademark.</w:t>
            </w:r>
          </w:p>
          <w:p w14:paraId="48E07183" w14:textId="77777777" w:rsidR="000F4970" w:rsidRPr="0035552E" w:rsidRDefault="000F4970" w:rsidP="001B7AAC">
            <w:pPr>
              <w:pStyle w:val="ListParagraph"/>
              <w:ind w:left="436"/>
              <w:jc w:val="both"/>
              <w:rPr>
                <w:rFonts w:ascii="Arial" w:hAnsi="Arial" w:cs="Arial"/>
                <w:sz w:val="20"/>
                <w:szCs w:val="20"/>
                <w:shd w:val="clear" w:color="auto" w:fill="FFFFFF"/>
              </w:rPr>
            </w:pPr>
          </w:p>
          <w:p w14:paraId="656F90F8" w14:textId="77777777" w:rsidR="000F4970" w:rsidRPr="0035552E" w:rsidRDefault="000F4970" w:rsidP="000F4970">
            <w:pPr>
              <w:pStyle w:val="ListParagraph"/>
              <w:numPr>
                <w:ilvl w:val="0"/>
                <w:numId w:val="19"/>
              </w:numPr>
              <w:ind w:left="436" w:hanging="436"/>
              <w:jc w:val="both"/>
              <w:rPr>
                <w:rFonts w:ascii="Arial" w:eastAsia="Times New Roman" w:hAnsi="Arial" w:cs="Arial"/>
                <w:sz w:val="20"/>
                <w:szCs w:val="20"/>
              </w:rPr>
            </w:pPr>
            <w:r w:rsidRPr="0035552E">
              <w:rPr>
                <w:rFonts w:ascii="Arial" w:hAnsi="Arial" w:cs="Arial"/>
                <w:sz w:val="20"/>
                <w:szCs w:val="20"/>
                <w:shd w:val="clear" w:color="auto" w:fill="FFFFFF"/>
              </w:rPr>
              <w:t>Clear demonstration that BFR Health International, Inc. is the rightful owner of the "emz-usa, device" mark, and allegations that Mr. Tran Vick Hung Vuong filed for the trademark registration in bad faith.</w:t>
            </w:r>
          </w:p>
        </w:tc>
      </w:tr>
    </w:tbl>
    <w:p w14:paraId="5D8D08C6" w14:textId="582874FE" w:rsidR="000F4970" w:rsidRPr="0035552E" w:rsidRDefault="000F4970" w:rsidP="000F4970">
      <w:pPr>
        <w:shd w:val="clear" w:color="auto" w:fill="FFFFFF"/>
        <w:spacing w:after="0" w:line="240" w:lineRule="auto"/>
        <w:rPr>
          <w:rFonts w:ascii="Arial" w:eastAsia="Times New Roman" w:hAnsi="Arial" w:cs="Arial"/>
          <w:b/>
          <w:bCs/>
          <w:sz w:val="20"/>
          <w:szCs w:val="20"/>
          <w:bdr w:val="none" w:sz="0" w:space="0" w:color="auto" w:frame="1"/>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FB7A88A" wp14:editId="24E9C1EA">
                <wp:simplePos x="0" y="0"/>
                <wp:positionH relativeFrom="column">
                  <wp:posOffset>6370955</wp:posOffset>
                </wp:positionH>
                <wp:positionV relativeFrom="paragraph">
                  <wp:posOffset>-2783205</wp:posOffset>
                </wp:positionV>
                <wp:extent cx="346710" cy="10325735"/>
                <wp:effectExtent l="0" t="0" r="15240" b="18415"/>
                <wp:wrapNone/>
                <wp:docPr id="22" name="Rectangle 2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F2D4E4" w14:textId="77777777" w:rsidR="000F4970" w:rsidRPr="00BA68B8" w:rsidRDefault="000F4970" w:rsidP="000F4970">
                            <w:pPr>
                              <w:spacing w:after="0" w:line="240" w:lineRule="auto"/>
                              <w:rPr>
                                <w:rFonts w:ascii="Arial" w:hAnsi="Arial" w:cs="Arial"/>
                                <w:b/>
                                <w:color w:val="FFFFFF" w:themeColor="background1"/>
                                <w:sz w:val="20"/>
                                <w:szCs w:val="20"/>
                              </w:rPr>
                            </w:pPr>
                            <w:r w:rsidRPr="000F4970">
                              <w:rPr>
                                <w:rFonts w:ascii="Arial" w:hAnsi="Arial" w:cs="Arial"/>
                                <w:b/>
                                <w:bCs/>
                                <w:color w:val="FFFFFF" w:themeColor="background1"/>
                                <w:sz w:val="20"/>
                                <w:szCs w:val="20"/>
                              </w:rPr>
                              <w:t>Bad Faith Trademark Cases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7A88A" id="Rectangle 22" o:spid="_x0000_s1028" style="position:absolute;margin-left:501.65pt;margin-top:-219.1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" fillcolor="#00b39c" strokecolor="#00b39c" strokeweight="0">
                <v:textbox style="layout-flow:vertical">
                  <w:txbxContent>
                    <w:p w14:paraId="1AF2D4E4" w14:textId="77777777" w:rsidR="000F4970" w:rsidRPr="00BA68B8" w:rsidRDefault="000F4970" w:rsidP="000F4970">
                      <w:pPr>
                        <w:spacing w:after="0" w:line="240" w:lineRule="auto"/>
                        <w:rPr>
                          <w:rFonts w:ascii="Arial" w:hAnsi="Arial" w:cs="Arial"/>
                          <w:b/>
                          <w:color w:val="FFFFFF" w:themeColor="background1"/>
                          <w:sz w:val="20"/>
                          <w:szCs w:val="20"/>
                        </w:rPr>
                      </w:pPr>
                      <w:r w:rsidRPr="000F4970">
                        <w:rPr>
                          <w:rFonts w:ascii="Arial" w:hAnsi="Arial" w:cs="Arial"/>
                          <w:b/>
                          <w:bCs/>
                          <w:color w:val="FFFFFF" w:themeColor="background1"/>
                          <w:sz w:val="20"/>
                          <w:szCs w:val="20"/>
                        </w:rPr>
                        <w:t>Bad Faith Trademark Cases in Vietnam</w:t>
                      </w:r>
                    </w:p>
                  </w:txbxContent>
                </v:textbox>
              </v:rect>
            </w:pict>
          </mc:Fallback>
        </mc:AlternateContent>
      </w:r>
    </w:p>
    <w:p w14:paraId="06968CDE" w14:textId="77777777" w:rsidR="000F4970" w:rsidRPr="0035552E" w:rsidRDefault="000F4970" w:rsidP="000F4970">
      <w:pPr>
        <w:shd w:val="clear" w:color="auto" w:fill="FFFFFF"/>
        <w:spacing w:after="0" w:line="240" w:lineRule="auto"/>
        <w:rPr>
          <w:rFonts w:ascii="Arial" w:eastAsia="Times New Roman" w:hAnsi="Arial" w:cs="Arial"/>
          <w:b/>
          <w:bCs/>
          <w:color w:val="2F5496" w:themeColor="accent1" w:themeShade="BF"/>
          <w:bdr w:val="none" w:sz="0" w:space="0" w:color="auto" w:frame="1"/>
        </w:rPr>
      </w:pPr>
      <w:r w:rsidRPr="0035552E">
        <w:rPr>
          <w:rFonts w:ascii="Arial" w:eastAsia="Times New Roman" w:hAnsi="Arial" w:cs="Arial"/>
          <w:b/>
          <w:bCs/>
          <w:color w:val="2F5496" w:themeColor="accent1" w:themeShade="BF"/>
          <w:u w:val="single"/>
          <w:bdr w:val="none" w:sz="0" w:space="0" w:color="auto" w:frame="1"/>
        </w:rPr>
        <w:t>Case 3</w:t>
      </w:r>
      <w:r w:rsidRPr="0035552E">
        <w:rPr>
          <w:rFonts w:ascii="Arial" w:eastAsia="Times New Roman" w:hAnsi="Arial" w:cs="Arial"/>
          <w:b/>
          <w:bCs/>
          <w:color w:val="2F5496" w:themeColor="accent1" w:themeShade="BF"/>
          <w:bdr w:val="none" w:sz="0" w:space="0" w:color="auto" w:frame="1"/>
        </w:rPr>
        <w:t>: MAINETTI v. MAINETTI</w:t>
      </w:r>
    </w:p>
    <w:p w14:paraId="58A6DA91" w14:textId="77777777" w:rsidR="000F4970" w:rsidRPr="0035552E" w:rsidRDefault="000F4970" w:rsidP="000F4970">
      <w:pPr>
        <w:shd w:val="clear" w:color="auto" w:fill="FFFFFF"/>
        <w:spacing w:after="0" w:line="240" w:lineRule="auto"/>
        <w:rPr>
          <w:rFonts w:ascii="Arial" w:eastAsia="Times New Roman" w:hAnsi="Arial" w:cs="Arial"/>
          <w:sz w:val="20"/>
          <w:szCs w:val="20"/>
        </w:rPr>
      </w:pPr>
    </w:p>
    <w:p w14:paraId="141BD62E" w14:textId="77777777" w:rsidR="000F4970" w:rsidRDefault="000F4970" w:rsidP="000F4970">
      <w:pPr>
        <w:shd w:val="clear" w:color="auto" w:fill="FFFFFF"/>
        <w:spacing w:after="0" w:line="240" w:lineRule="auto"/>
        <w:jc w:val="both"/>
        <w:rPr>
          <w:rFonts w:ascii="Arial" w:eastAsia="Times New Roman" w:hAnsi="Arial" w:cs="Arial"/>
          <w:sz w:val="20"/>
          <w:szCs w:val="20"/>
        </w:rPr>
      </w:pPr>
      <w:r w:rsidRPr="0035552E">
        <w:rPr>
          <w:rFonts w:ascii="Arial" w:eastAsia="Times New Roman" w:hAnsi="Arial" w:cs="Arial"/>
          <w:i/>
          <w:iCs/>
          <w:sz w:val="20"/>
          <w:szCs w:val="20"/>
          <w:bdr w:val="none" w:sz="0" w:space="0" w:color="auto" w:frame="1"/>
        </w:rPr>
        <w:t>[Executive summary]:</w:t>
      </w:r>
      <w:r w:rsidRPr="0035552E">
        <w:rPr>
          <w:rFonts w:ascii="Arial" w:eastAsia="Times New Roman" w:hAnsi="Arial" w:cs="Arial"/>
          <w:b/>
          <w:bCs/>
          <w:sz w:val="20"/>
          <w:szCs w:val="20"/>
          <w:bdr w:val="none" w:sz="0" w:space="0" w:color="auto" w:frame="1"/>
        </w:rPr>
        <w:t xml:space="preserve"> </w:t>
      </w:r>
      <w:r w:rsidRPr="0035552E">
        <w:rPr>
          <w:rFonts w:ascii="Arial" w:eastAsia="Times New Roman" w:hAnsi="Arial" w:cs="Arial"/>
          <w:sz w:val="20"/>
          <w:szCs w:val="20"/>
        </w:rPr>
        <w:t>Cong ty TNHH Suntex, a Vietnamese enterprise, successfully secured the trademark "MAINETTI" under Registration No. 123570 with IP VIETNAM. Upon discovering this registration, Mainetti (UK) Limited, Scotland-based company that specializes in the manufacturing and distribution of high-quality clothing accessories, including hangers, bags, garment covers, and more, initiated a trademark invalidation proceeding against Trademark Registration No. 123570. The challenge presented by Mainetti (UK) Limited rests on substantial grounds, asserting that the trademark registered by Suntex bears a confusing similarity to its own trademark and trade name "MAINETTI", which has been extensively used prior to the registration date of Suntex’s trademark.</w:t>
      </w:r>
    </w:p>
    <w:p w14:paraId="0AF44C99" w14:textId="77777777" w:rsidR="000F4970" w:rsidRPr="0035552E" w:rsidRDefault="000F4970" w:rsidP="000F4970">
      <w:pPr>
        <w:shd w:val="clear" w:color="auto" w:fill="FFFFFF"/>
        <w:spacing w:after="0" w:line="240" w:lineRule="auto"/>
        <w:jc w:val="both"/>
        <w:rPr>
          <w:rFonts w:ascii="Arial" w:eastAsia="Times New Roman" w:hAnsi="Arial" w:cs="Arial"/>
          <w:sz w:val="20"/>
          <w:szCs w:val="20"/>
        </w:rPr>
      </w:pPr>
    </w:p>
    <w:tbl>
      <w:tblPr>
        <w:tblStyle w:val="TableGrid"/>
        <w:tblW w:w="0" w:type="auto"/>
        <w:tblLook w:val="04A0" w:firstRow="1" w:lastRow="0" w:firstColumn="1" w:lastColumn="0" w:noHBand="0" w:noVBand="1"/>
      </w:tblPr>
      <w:tblGrid>
        <w:gridCol w:w="3070"/>
        <w:gridCol w:w="6559"/>
      </w:tblGrid>
      <w:tr w:rsidR="000F4970" w:rsidRPr="0035552E" w14:paraId="13B05096" w14:textId="77777777" w:rsidTr="001B7AAC">
        <w:tc>
          <w:tcPr>
            <w:tcW w:w="3595" w:type="dxa"/>
          </w:tcPr>
          <w:p w14:paraId="592B51A9" w14:textId="77777777" w:rsidR="000F4970" w:rsidRPr="0035552E" w:rsidRDefault="000F4970" w:rsidP="001B7AAC">
            <w:pPr>
              <w:rPr>
                <w:rFonts w:ascii="Arial" w:eastAsia="Times New Roman" w:hAnsi="Arial" w:cs="Arial"/>
                <w:b/>
                <w:bCs/>
                <w:sz w:val="20"/>
                <w:szCs w:val="20"/>
              </w:rPr>
            </w:pPr>
            <w:r w:rsidRPr="0035552E">
              <w:rPr>
                <w:rFonts w:ascii="Arial" w:eastAsia="Times New Roman" w:hAnsi="Arial" w:cs="Arial"/>
                <w:b/>
                <w:bCs/>
                <w:sz w:val="20"/>
                <w:szCs w:val="20"/>
              </w:rPr>
              <w:t>Category</w:t>
            </w:r>
          </w:p>
        </w:tc>
        <w:tc>
          <w:tcPr>
            <w:tcW w:w="9355" w:type="dxa"/>
          </w:tcPr>
          <w:p w14:paraId="6DE8B68E" w14:textId="77777777" w:rsidR="000F4970" w:rsidRPr="0035552E" w:rsidRDefault="000F4970" w:rsidP="001B7AAC">
            <w:pPr>
              <w:rPr>
                <w:rFonts w:ascii="Arial" w:eastAsia="Times New Roman" w:hAnsi="Arial" w:cs="Arial"/>
                <w:b/>
                <w:bCs/>
                <w:sz w:val="20"/>
                <w:szCs w:val="20"/>
              </w:rPr>
            </w:pPr>
            <w:r w:rsidRPr="0035552E">
              <w:rPr>
                <w:rFonts w:ascii="Arial" w:eastAsia="Times New Roman" w:hAnsi="Arial" w:cs="Arial"/>
                <w:b/>
                <w:bCs/>
                <w:sz w:val="20"/>
                <w:szCs w:val="20"/>
              </w:rPr>
              <w:t>Details</w:t>
            </w:r>
          </w:p>
        </w:tc>
      </w:tr>
      <w:tr w:rsidR="000F4970" w:rsidRPr="0035552E" w14:paraId="40465F50" w14:textId="77777777" w:rsidTr="001B7AAC">
        <w:tc>
          <w:tcPr>
            <w:tcW w:w="3595" w:type="dxa"/>
          </w:tcPr>
          <w:p w14:paraId="6E104CA7"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Applied-for t</w:t>
            </w:r>
            <w:r w:rsidRPr="004C7C59">
              <w:rPr>
                <w:rFonts w:ascii="Arial" w:eastAsia="Times New Roman" w:hAnsi="Arial" w:cs="Arial"/>
                <w:sz w:val="20"/>
                <w:szCs w:val="20"/>
              </w:rPr>
              <w:t>rademark</w:t>
            </w:r>
          </w:p>
        </w:tc>
        <w:tc>
          <w:tcPr>
            <w:tcW w:w="9355" w:type="dxa"/>
          </w:tcPr>
          <w:p w14:paraId="02598B6C"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 xml:space="preserve"> </w:t>
            </w:r>
            <w:r w:rsidRPr="0035552E">
              <w:rPr>
                <w:rFonts w:ascii="Arial" w:eastAsia="Times New Roman" w:hAnsi="Arial" w:cs="Arial"/>
                <w:noProof/>
                <w:sz w:val="20"/>
                <w:szCs w:val="20"/>
              </w:rPr>
              <w:drawing>
                <wp:inline distT="0" distB="0" distL="0" distR="0" wp14:anchorId="6E3CC63D" wp14:editId="2C8E15F6">
                  <wp:extent cx="1486107" cy="27626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6107" cy="276264"/>
                          </a:xfrm>
                          <a:prstGeom prst="rect">
                            <a:avLst/>
                          </a:prstGeom>
                        </pic:spPr>
                      </pic:pic>
                    </a:graphicData>
                  </a:graphic>
                </wp:inline>
              </w:drawing>
            </w:r>
            <w:r w:rsidRPr="0035552E">
              <w:rPr>
                <w:rFonts w:ascii="Arial" w:eastAsia="Times New Roman" w:hAnsi="Arial" w:cs="Arial"/>
                <w:sz w:val="20"/>
                <w:szCs w:val="20"/>
              </w:rPr>
              <w:t xml:space="preserve"> (MAINETTI)</w:t>
            </w:r>
          </w:p>
        </w:tc>
      </w:tr>
      <w:tr w:rsidR="000F4970" w:rsidRPr="0035552E" w14:paraId="77305EFB" w14:textId="77777777" w:rsidTr="001B7AAC">
        <w:tc>
          <w:tcPr>
            <w:tcW w:w="3595" w:type="dxa"/>
          </w:tcPr>
          <w:p w14:paraId="66C358EE"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Class &amp; goods</w:t>
            </w:r>
          </w:p>
        </w:tc>
        <w:tc>
          <w:tcPr>
            <w:tcW w:w="9355" w:type="dxa"/>
          </w:tcPr>
          <w:p w14:paraId="6F377D45" w14:textId="77777777" w:rsidR="000F4970" w:rsidRPr="0035552E" w:rsidRDefault="000F4970" w:rsidP="001B7AAC">
            <w:pPr>
              <w:jc w:val="both"/>
              <w:rPr>
                <w:rFonts w:ascii="Arial" w:eastAsia="Times New Roman" w:hAnsi="Arial" w:cs="Arial"/>
                <w:sz w:val="20"/>
                <w:szCs w:val="20"/>
              </w:rPr>
            </w:pPr>
            <w:r w:rsidRPr="0035552E">
              <w:rPr>
                <w:rFonts w:ascii="Arial" w:eastAsia="Times New Roman" w:hAnsi="Arial" w:cs="Arial"/>
                <w:sz w:val="20"/>
                <w:szCs w:val="20"/>
              </w:rPr>
              <w:t>20 (</w:t>
            </w:r>
            <w:r w:rsidRPr="0035552E">
              <w:rPr>
                <w:rFonts w:ascii="Arial" w:eastAsia="Times New Roman" w:hAnsi="Arial" w:cs="Arial"/>
                <w:i/>
                <w:iCs/>
                <w:sz w:val="20"/>
                <w:szCs w:val="20"/>
              </w:rPr>
              <w:t>Hanger; hat hanger; clothes hanger; curtain hooks; sock hangers; umbrella stands (all non-metal)</w:t>
            </w:r>
            <w:r w:rsidRPr="0035552E">
              <w:rPr>
                <w:rFonts w:ascii="Arial" w:eastAsia="Times New Roman" w:hAnsi="Arial" w:cs="Arial"/>
                <w:sz w:val="20"/>
                <w:szCs w:val="20"/>
              </w:rPr>
              <w:t>)</w:t>
            </w:r>
          </w:p>
          <w:p w14:paraId="3ECDC5F7" w14:textId="77777777" w:rsidR="000F4970" w:rsidRPr="0035552E" w:rsidRDefault="000F4970" w:rsidP="001B7AAC">
            <w:pPr>
              <w:jc w:val="both"/>
              <w:rPr>
                <w:rFonts w:ascii="Arial" w:eastAsia="Times New Roman" w:hAnsi="Arial" w:cs="Arial"/>
                <w:sz w:val="20"/>
                <w:szCs w:val="20"/>
              </w:rPr>
            </w:pPr>
            <w:r w:rsidRPr="0035552E">
              <w:rPr>
                <w:rFonts w:ascii="Arial" w:eastAsia="Times New Roman" w:hAnsi="Arial" w:cs="Arial"/>
                <w:sz w:val="20"/>
                <w:szCs w:val="20"/>
              </w:rPr>
              <w:t>35 (</w:t>
            </w:r>
            <w:r w:rsidRPr="0035552E">
              <w:rPr>
                <w:rFonts w:ascii="Arial" w:eastAsia="Times New Roman" w:hAnsi="Arial" w:cs="Arial"/>
                <w:i/>
                <w:iCs/>
                <w:sz w:val="20"/>
                <w:szCs w:val="20"/>
              </w:rPr>
              <w:t>Trading in all kinds of coat hangers, hat hangers, clothes hangers, curtain hangers, sock hangers, umbrella hangers; advertisement; organize exhibitions for commercial or advertising purposes; import and export; product introduction; auction</w:t>
            </w:r>
            <w:r w:rsidRPr="0035552E">
              <w:rPr>
                <w:rFonts w:ascii="Arial" w:eastAsia="Times New Roman" w:hAnsi="Arial" w:cs="Arial"/>
                <w:sz w:val="20"/>
                <w:szCs w:val="20"/>
              </w:rPr>
              <w:t>)</w:t>
            </w:r>
          </w:p>
        </w:tc>
      </w:tr>
      <w:tr w:rsidR="000F4970" w:rsidRPr="0035552E" w14:paraId="4CDC0A04" w14:textId="77777777" w:rsidTr="001B7AAC">
        <w:tc>
          <w:tcPr>
            <w:tcW w:w="3595" w:type="dxa"/>
          </w:tcPr>
          <w:p w14:paraId="15B8C39D"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Application/Registration</w:t>
            </w:r>
            <w:r w:rsidRPr="004C7C59">
              <w:rPr>
                <w:rFonts w:ascii="Arial" w:eastAsia="Times New Roman" w:hAnsi="Arial" w:cs="Arial"/>
                <w:sz w:val="20"/>
                <w:szCs w:val="20"/>
              </w:rPr>
              <w:t xml:space="preserve"> No.</w:t>
            </w:r>
          </w:p>
        </w:tc>
        <w:tc>
          <w:tcPr>
            <w:tcW w:w="9355" w:type="dxa"/>
          </w:tcPr>
          <w:p w14:paraId="6C351E65" w14:textId="77777777" w:rsidR="000F4970" w:rsidRPr="0035552E" w:rsidRDefault="000F4970" w:rsidP="001B7AAC">
            <w:pPr>
              <w:rPr>
                <w:rFonts w:ascii="Arial" w:eastAsia="Times New Roman" w:hAnsi="Arial" w:cs="Arial"/>
                <w:sz w:val="20"/>
                <w:szCs w:val="20"/>
              </w:rPr>
            </w:pPr>
            <w:r w:rsidRPr="0035552E">
              <w:rPr>
                <w:rFonts w:ascii="Arial" w:hAnsi="Arial" w:cs="Arial"/>
                <w:sz w:val="20"/>
                <w:szCs w:val="20"/>
                <w:shd w:val="clear" w:color="auto" w:fill="FFFFFF"/>
              </w:rPr>
              <w:t>4-2007-26377 (</w:t>
            </w:r>
            <w:r w:rsidRPr="0035552E">
              <w:rPr>
                <w:rFonts w:ascii="Arial" w:eastAsia="Times New Roman" w:hAnsi="Arial" w:cs="Arial"/>
                <w:sz w:val="20"/>
                <w:szCs w:val="20"/>
              </w:rPr>
              <w:t>123570</w:t>
            </w:r>
            <w:r w:rsidRPr="0035552E">
              <w:rPr>
                <w:rFonts w:ascii="Arial" w:hAnsi="Arial" w:cs="Arial"/>
                <w:sz w:val="20"/>
                <w:szCs w:val="20"/>
                <w:shd w:val="clear" w:color="auto" w:fill="FFFFFF"/>
              </w:rPr>
              <w:t>)</w:t>
            </w:r>
          </w:p>
        </w:tc>
      </w:tr>
      <w:tr w:rsidR="000F4970" w:rsidRPr="0035552E" w14:paraId="5C30D6E5" w14:textId="77777777" w:rsidTr="001B7AAC">
        <w:tc>
          <w:tcPr>
            <w:tcW w:w="3595" w:type="dxa"/>
          </w:tcPr>
          <w:p w14:paraId="30792913"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Applicant</w:t>
            </w:r>
          </w:p>
        </w:tc>
        <w:tc>
          <w:tcPr>
            <w:tcW w:w="9355" w:type="dxa"/>
          </w:tcPr>
          <w:p w14:paraId="33298DC7" w14:textId="77777777" w:rsidR="000F4970" w:rsidRPr="0035552E" w:rsidRDefault="000F4970" w:rsidP="001B7AAC">
            <w:pPr>
              <w:rPr>
                <w:rFonts w:ascii="Arial" w:eastAsia="Times New Roman" w:hAnsi="Arial" w:cs="Arial"/>
                <w:sz w:val="20"/>
                <w:szCs w:val="20"/>
              </w:rPr>
            </w:pPr>
            <w:r w:rsidRPr="0035552E">
              <w:rPr>
                <w:rFonts w:ascii="Arial" w:hAnsi="Arial" w:cs="Arial"/>
                <w:sz w:val="20"/>
                <w:szCs w:val="20"/>
                <w:shd w:val="clear" w:color="auto" w:fill="FFFFFF"/>
              </w:rPr>
              <w:t>Công ty TNHH Suntex</w:t>
            </w:r>
          </w:p>
        </w:tc>
      </w:tr>
      <w:tr w:rsidR="000F4970" w:rsidRPr="0035552E" w14:paraId="5686BEBD" w14:textId="77777777" w:rsidTr="001B7AAC">
        <w:tc>
          <w:tcPr>
            <w:tcW w:w="3595" w:type="dxa"/>
          </w:tcPr>
          <w:p w14:paraId="58B0F398"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Genuine trademark owner</w:t>
            </w:r>
          </w:p>
        </w:tc>
        <w:tc>
          <w:tcPr>
            <w:tcW w:w="9355" w:type="dxa"/>
          </w:tcPr>
          <w:p w14:paraId="177DF759"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Mainetti (UK) Limited</w:t>
            </w:r>
          </w:p>
        </w:tc>
      </w:tr>
      <w:tr w:rsidR="000F4970" w:rsidRPr="0035552E" w14:paraId="30086B38" w14:textId="77777777" w:rsidTr="001B7AAC">
        <w:tc>
          <w:tcPr>
            <w:tcW w:w="3595" w:type="dxa"/>
          </w:tcPr>
          <w:p w14:paraId="0A50355A"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Action</w:t>
            </w:r>
          </w:p>
        </w:tc>
        <w:tc>
          <w:tcPr>
            <w:tcW w:w="9355" w:type="dxa"/>
          </w:tcPr>
          <w:p w14:paraId="421B6542" w14:textId="77777777" w:rsidR="000F4970" w:rsidRPr="0035552E" w:rsidRDefault="000F4970" w:rsidP="001B7AAC">
            <w:pPr>
              <w:rPr>
                <w:rFonts w:ascii="Arial" w:eastAsia="Times New Roman" w:hAnsi="Arial" w:cs="Arial"/>
                <w:sz w:val="20"/>
                <w:szCs w:val="20"/>
              </w:rPr>
            </w:pPr>
            <w:r w:rsidRPr="004C7C59">
              <w:rPr>
                <w:rFonts w:ascii="Arial" w:eastAsia="Times New Roman" w:hAnsi="Arial" w:cs="Arial"/>
                <w:sz w:val="20"/>
                <w:szCs w:val="20"/>
              </w:rPr>
              <w:t xml:space="preserve">Filing a </w:t>
            </w:r>
            <w:hyperlink r:id="rId12" w:history="1">
              <w:r w:rsidRPr="003B47BB">
                <w:rPr>
                  <w:rStyle w:val="Hyperlink"/>
                  <w:rFonts w:ascii="Arial" w:eastAsia="Times New Roman" w:hAnsi="Arial" w:cs="Arial"/>
                  <w:sz w:val="20"/>
                  <w:szCs w:val="20"/>
                </w:rPr>
                <w:t>trademark invalidation request</w:t>
              </w:r>
            </w:hyperlink>
          </w:p>
        </w:tc>
      </w:tr>
      <w:tr w:rsidR="000F4970" w:rsidRPr="0035552E" w14:paraId="60DEA3F3" w14:textId="77777777" w:rsidTr="001B7AAC">
        <w:tc>
          <w:tcPr>
            <w:tcW w:w="3595" w:type="dxa"/>
          </w:tcPr>
          <w:p w14:paraId="4E061FCE"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Legal ground</w:t>
            </w:r>
          </w:p>
        </w:tc>
        <w:tc>
          <w:tcPr>
            <w:tcW w:w="9355" w:type="dxa"/>
          </w:tcPr>
          <w:p w14:paraId="5BFF0138" w14:textId="77777777" w:rsidR="000F4970" w:rsidRPr="0035552E" w:rsidRDefault="000F4970" w:rsidP="001B7AAC">
            <w:pPr>
              <w:jc w:val="both"/>
              <w:rPr>
                <w:rFonts w:ascii="Arial" w:hAnsi="Arial" w:cs="Arial"/>
                <w:sz w:val="20"/>
                <w:szCs w:val="20"/>
                <w:shd w:val="clear" w:color="auto" w:fill="FFFFFF"/>
              </w:rPr>
            </w:pPr>
            <w:r w:rsidRPr="0035552E">
              <w:rPr>
                <w:rFonts w:ascii="Arial" w:hAnsi="Arial" w:cs="Arial"/>
                <w:sz w:val="20"/>
                <w:szCs w:val="20"/>
                <w:shd w:val="clear" w:color="auto" w:fill="FFFFFF"/>
              </w:rPr>
              <w:t>Article 74.2(g) (</w:t>
            </w:r>
            <w:r w:rsidRPr="0035552E">
              <w:rPr>
                <w:rFonts w:ascii="Arial" w:hAnsi="Arial" w:cs="Arial"/>
                <w:i/>
                <w:iCs/>
                <w:sz w:val="20"/>
                <w:szCs w:val="20"/>
                <w:shd w:val="clear" w:color="auto" w:fill="FFFFFF"/>
              </w:rPr>
              <w:t>i.e., the registered trademark is confusingly similar to another trademark, which has been extensively utilized prior to the filing date</w:t>
            </w:r>
            <w:r w:rsidRPr="0035552E">
              <w:rPr>
                <w:rFonts w:ascii="Arial" w:hAnsi="Arial" w:cs="Arial"/>
                <w:sz w:val="20"/>
                <w:szCs w:val="20"/>
                <w:shd w:val="clear" w:color="auto" w:fill="FFFFFF"/>
              </w:rPr>
              <w:t>).</w:t>
            </w:r>
          </w:p>
        </w:tc>
      </w:tr>
      <w:tr w:rsidR="000F4970" w:rsidRPr="0035552E" w14:paraId="4D43BCEC" w14:textId="77777777" w:rsidTr="001B7AAC">
        <w:tc>
          <w:tcPr>
            <w:tcW w:w="3595" w:type="dxa"/>
          </w:tcPr>
          <w:p w14:paraId="58447C9D"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R</w:t>
            </w:r>
            <w:r w:rsidRPr="004C7C59">
              <w:rPr>
                <w:rFonts w:ascii="Arial" w:eastAsia="Times New Roman" w:hAnsi="Arial" w:cs="Arial"/>
                <w:sz w:val="20"/>
                <w:szCs w:val="20"/>
              </w:rPr>
              <w:t>uling</w:t>
            </w:r>
          </w:p>
        </w:tc>
        <w:tc>
          <w:tcPr>
            <w:tcW w:w="9355" w:type="dxa"/>
          </w:tcPr>
          <w:p w14:paraId="566D7CFC" w14:textId="77777777" w:rsidR="000F4970" w:rsidRPr="0035552E" w:rsidRDefault="000F4970" w:rsidP="001B7AAC">
            <w:pPr>
              <w:rPr>
                <w:rFonts w:ascii="Arial" w:hAnsi="Arial" w:cs="Arial"/>
                <w:sz w:val="20"/>
                <w:szCs w:val="20"/>
              </w:rPr>
            </w:pPr>
          </w:p>
          <w:p w14:paraId="4160A33E" w14:textId="77777777" w:rsidR="000F4970" w:rsidRPr="0035552E" w:rsidRDefault="000F4970" w:rsidP="001B7AAC">
            <w:pPr>
              <w:jc w:val="both"/>
              <w:rPr>
                <w:rFonts w:ascii="Arial" w:hAnsi="Arial" w:cs="Arial"/>
                <w:sz w:val="20"/>
                <w:szCs w:val="20"/>
              </w:rPr>
            </w:pPr>
            <w:r w:rsidRPr="0035552E">
              <w:rPr>
                <w:rFonts w:ascii="Arial" w:hAnsi="Arial" w:cs="Arial"/>
                <w:sz w:val="20"/>
                <w:szCs w:val="20"/>
              </w:rPr>
              <w:t>The invalidation request was filed by Mainetti (UK) Limited in 2011. The other party defended their mark by claiming they were unaware of the "MAINETTI" trademark owned by the real owner. However, the real owner proved that this claim was false. The case was resolved in 2015 with a decision that favored the genuine owner, leading to the cancellation of the "MAINETTI" trademark under Registration No. 123570.</w:t>
            </w:r>
          </w:p>
          <w:p w14:paraId="3363573E" w14:textId="77777777" w:rsidR="000F4970" w:rsidRPr="0035552E" w:rsidRDefault="000F4970" w:rsidP="001B7AAC">
            <w:pPr>
              <w:jc w:val="both"/>
              <w:rPr>
                <w:rFonts w:ascii="Arial" w:hAnsi="Arial" w:cs="Arial"/>
                <w:sz w:val="20"/>
                <w:szCs w:val="20"/>
              </w:rPr>
            </w:pPr>
          </w:p>
          <w:p w14:paraId="0516B793" w14:textId="77777777" w:rsidR="000F4970" w:rsidRDefault="000F4970" w:rsidP="001B7AAC">
            <w:pPr>
              <w:jc w:val="both"/>
              <w:rPr>
                <w:rFonts w:ascii="Arial" w:hAnsi="Arial" w:cs="Arial"/>
                <w:sz w:val="20"/>
                <w:szCs w:val="20"/>
              </w:rPr>
            </w:pPr>
            <w:r w:rsidRPr="0035552E">
              <w:rPr>
                <w:rFonts w:ascii="Arial" w:hAnsi="Arial" w:cs="Arial"/>
                <w:sz w:val="20"/>
                <w:szCs w:val="20"/>
              </w:rPr>
              <w:t>IP VIETNAM’S invalidation Decision was made based on substantial proof provided by Mainetti (UK) Limited, including:</w:t>
            </w:r>
          </w:p>
          <w:p w14:paraId="538D31E8" w14:textId="77777777" w:rsidR="000F4970" w:rsidRPr="0035552E" w:rsidRDefault="000F4970" w:rsidP="001B7AAC">
            <w:pPr>
              <w:jc w:val="both"/>
              <w:rPr>
                <w:rFonts w:ascii="Arial" w:hAnsi="Arial" w:cs="Arial"/>
                <w:sz w:val="20"/>
                <w:szCs w:val="20"/>
              </w:rPr>
            </w:pPr>
          </w:p>
          <w:p w14:paraId="6AC07143" w14:textId="77777777" w:rsidR="000F4970" w:rsidRDefault="000F4970" w:rsidP="000F4970">
            <w:pPr>
              <w:pStyle w:val="ListParagraph"/>
              <w:numPr>
                <w:ilvl w:val="0"/>
                <w:numId w:val="20"/>
              </w:numPr>
              <w:ind w:left="556" w:hanging="556"/>
              <w:jc w:val="both"/>
              <w:rPr>
                <w:rFonts w:ascii="Arial" w:hAnsi="Arial" w:cs="Arial"/>
                <w:sz w:val="20"/>
                <w:szCs w:val="20"/>
              </w:rPr>
            </w:pPr>
            <w:r w:rsidRPr="0035552E">
              <w:rPr>
                <w:rFonts w:ascii="Arial" w:hAnsi="Arial" w:cs="Arial"/>
                <w:sz w:val="20"/>
                <w:szCs w:val="20"/>
              </w:rPr>
              <w:t xml:space="preserve">Mainetti (UK) Limited has created the mark “Mainetti” and used it as a </w:t>
            </w:r>
            <w:hyperlink r:id="rId13" w:history="1">
              <w:r w:rsidRPr="003B47BB">
                <w:rPr>
                  <w:rStyle w:val="Hyperlink"/>
                  <w:rFonts w:ascii="Arial" w:hAnsi="Arial" w:cs="Arial"/>
                  <w:sz w:val="20"/>
                  <w:szCs w:val="20"/>
                </w:rPr>
                <w:t>trade name</w:t>
              </w:r>
            </w:hyperlink>
            <w:r w:rsidRPr="0035552E">
              <w:rPr>
                <w:rFonts w:ascii="Arial" w:hAnsi="Arial" w:cs="Arial"/>
                <w:sz w:val="20"/>
                <w:szCs w:val="20"/>
              </w:rPr>
              <w:t xml:space="preserve"> since its inception.</w:t>
            </w:r>
          </w:p>
          <w:p w14:paraId="73C60B53" w14:textId="77777777" w:rsidR="000F4970" w:rsidRPr="0035552E" w:rsidRDefault="000F4970" w:rsidP="001B7AAC">
            <w:pPr>
              <w:pStyle w:val="ListParagraph"/>
              <w:ind w:left="556"/>
              <w:jc w:val="both"/>
              <w:rPr>
                <w:rFonts w:ascii="Arial" w:hAnsi="Arial" w:cs="Arial"/>
                <w:sz w:val="20"/>
                <w:szCs w:val="20"/>
              </w:rPr>
            </w:pPr>
          </w:p>
          <w:p w14:paraId="0FAD7640" w14:textId="78B8B20B" w:rsidR="000F4970" w:rsidRDefault="000F4970" w:rsidP="000F4970">
            <w:pPr>
              <w:pStyle w:val="ListParagraph"/>
              <w:numPr>
                <w:ilvl w:val="0"/>
                <w:numId w:val="20"/>
              </w:numPr>
              <w:ind w:left="556" w:hanging="556"/>
              <w:jc w:val="both"/>
              <w:rPr>
                <w:rFonts w:ascii="Arial" w:hAnsi="Arial" w:cs="Arial"/>
                <w:sz w:val="20"/>
                <w:szCs w:val="20"/>
              </w:rPr>
            </w:pPr>
            <w:r w:rsidRPr="0035552E">
              <w:rPr>
                <w:rFonts w:ascii="Arial" w:hAnsi="Arial" w:cs="Arial"/>
                <w:sz w:val="20"/>
                <w:szCs w:val="20"/>
              </w:rPr>
              <w:lastRenderedPageBreak/>
              <w:t>The mark “M MAINENETI” has been extensively used in commerce in various countries worldwide before Suntex’s filing date.</w:t>
            </w:r>
          </w:p>
          <w:p w14:paraId="0C9E3BE9" w14:textId="325EC3A9" w:rsidR="000F4970" w:rsidRPr="0035552E" w:rsidRDefault="000F4970" w:rsidP="001B7AAC">
            <w:pPr>
              <w:pStyle w:val="ListParagraph"/>
              <w:ind w:left="556"/>
              <w:jc w:val="both"/>
              <w:rPr>
                <w:rFonts w:ascii="Arial" w:hAnsi="Arial" w:cs="Arial"/>
                <w:sz w:val="20"/>
                <w:szCs w:val="20"/>
              </w:rPr>
            </w:pPr>
          </w:p>
          <w:p w14:paraId="2D6D1823" w14:textId="77777777" w:rsidR="000F4970" w:rsidRPr="0035552E" w:rsidRDefault="000F4970" w:rsidP="000F4970">
            <w:pPr>
              <w:pStyle w:val="ListParagraph"/>
              <w:numPr>
                <w:ilvl w:val="0"/>
                <w:numId w:val="20"/>
              </w:numPr>
              <w:ind w:left="556" w:hanging="556"/>
              <w:jc w:val="both"/>
              <w:rPr>
                <w:rFonts w:ascii="Arial" w:eastAsia="Times New Roman" w:hAnsi="Arial" w:cs="Arial"/>
                <w:sz w:val="20"/>
                <w:szCs w:val="20"/>
              </w:rPr>
            </w:pPr>
            <w:r w:rsidRPr="0035552E">
              <w:rPr>
                <w:rFonts w:ascii="Arial" w:hAnsi="Arial" w:cs="Arial"/>
                <w:sz w:val="20"/>
                <w:szCs w:val="20"/>
              </w:rPr>
              <w:t xml:space="preserve"> “MAINETTI</w:t>
            </w:r>
            <w:r w:rsidRPr="0035552E">
              <w:rPr>
                <w:rFonts w:ascii="Arial" w:hAnsi="Arial" w:cs="Arial"/>
                <w:sz w:val="20"/>
                <w:szCs w:val="20"/>
                <w:shd w:val="clear" w:color="auto" w:fill="FFFFFF"/>
              </w:rPr>
              <w:t xml:space="preserve"> serves as a distinctive trade name for its subsidiary, which has been operational in Vietnam since 2003.</w:t>
            </w:r>
            <w:r w:rsidRPr="0035552E">
              <w:rPr>
                <w:rFonts w:ascii="Arial" w:hAnsi="Arial" w:cs="Arial"/>
                <w:sz w:val="20"/>
                <w:szCs w:val="20"/>
              </w:rPr>
              <w:t>.</w:t>
            </w:r>
          </w:p>
        </w:tc>
      </w:tr>
    </w:tbl>
    <w:p w14:paraId="3AB38B24" w14:textId="24350901" w:rsidR="000F4970" w:rsidRPr="0035552E" w:rsidRDefault="000F4970" w:rsidP="000F4970">
      <w:pPr>
        <w:shd w:val="clear" w:color="auto" w:fill="FFFFFF"/>
        <w:spacing w:after="0" w:line="240" w:lineRule="auto"/>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37BCF381" wp14:editId="5E475E12">
                <wp:simplePos x="0" y="0"/>
                <wp:positionH relativeFrom="column">
                  <wp:posOffset>6372225</wp:posOffset>
                </wp:positionH>
                <wp:positionV relativeFrom="paragraph">
                  <wp:posOffset>-1213485</wp:posOffset>
                </wp:positionV>
                <wp:extent cx="346710" cy="10325735"/>
                <wp:effectExtent l="0" t="0" r="15240" b="18415"/>
                <wp:wrapNone/>
                <wp:docPr id="23" name="Rectangle 2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C0E827" w14:textId="77777777" w:rsidR="000F4970" w:rsidRPr="00BA68B8" w:rsidRDefault="000F4970" w:rsidP="000F4970">
                            <w:pPr>
                              <w:spacing w:after="0" w:line="240" w:lineRule="auto"/>
                              <w:rPr>
                                <w:rFonts w:ascii="Arial" w:hAnsi="Arial" w:cs="Arial"/>
                                <w:b/>
                                <w:color w:val="FFFFFF" w:themeColor="background1"/>
                                <w:sz w:val="20"/>
                                <w:szCs w:val="20"/>
                              </w:rPr>
                            </w:pPr>
                            <w:r w:rsidRPr="000F4970">
                              <w:rPr>
                                <w:rFonts w:ascii="Arial" w:hAnsi="Arial" w:cs="Arial"/>
                                <w:b/>
                                <w:bCs/>
                                <w:color w:val="FFFFFF" w:themeColor="background1"/>
                                <w:sz w:val="20"/>
                                <w:szCs w:val="20"/>
                              </w:rPr>
                              <w:t>Bad Faith Trademark Cases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CF381" id="Rectangle 23" o:spid="_x0000_s1029" style="position:absolute;margin-left:501.75pt;margin-top:-95.5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" fillcolor="#00b39c" strokecolor="#00b39c" strokeweight="0">
                <v:textbox style="layout-flow:vertical">
                  <w:txbxContent>
                    <w:p w14:paraId="36C0E827" w14:textId="77777777" w:rsidR="000F4970" w:rsidRPr="00BA68B8" w:rsidRDefault="000F4970" w:rsidP="000F4970">
                      <w:pPr>
                        <w:spacing w:after="0" w:line="240" w:lineRule="auto"/>
                        <w:rPr>
                          <w:rFonts w:ascii="Arial" w:hAnsi="Arial" w:cs="Arial"/>
                          <w:b/>
                          <w:color w:val="FFFFFF" w:themeColor="background1"/>
                          <w:sz w:val="20"/>
                          <w:szCs w:val="20"/>
                        </w:rPr>
                      </w:pPr>
                      <w:r w:rsidRPr="000F4970">
                        <w:rPr>
                          <w:rFonts w:ascii="Arial" w:hAnsi="Arial" w:cs="Arial"/>
                          <w:b/>
                          <w:bCs/>
                          <w:color w:val="FFFFFF" w:themeColor="background1"/>
                          <w:sz w:val="20"/>
                          <w:szCs w:val="20"/>
                        </w:rPr>
                        <w:t>Bad Faith Trademark Cases in Vietnam</w:t>
                      </w:r>
                    </w:p>
                  </w:txbxContent>
                </v:textbox>
              </v:rect>
            </w:pict>
          </mc:Fallback>
        </mc:AlternateContent>
      </w:r>
    </w:p>
    <w:p w14:paraId="14EDC304" w14:textId="10654CF5" w:rsidR="000F4970" w:rsidRPr="0035552E" w:rsidRDefault="000F4970" w:rsidP="000F4970">
      <w:pPr>
        <w:shd w:val="clear" w:color="auto" w:fill="FFFFFF"/>
        <w:spacing w:after="0" w:line="240" w:lineRule="auto"/>
        <w:rPr>
          <w:rFonts w:ascii="Arial" w:eastAsia="Times New Roman" w:hAnsi="Arial" w:cs="Arial"/>
          <w:sz w:val="20"/>
          <w:szCs w:val="20"/>
        </w:rPr>
      </w:pPr>
    </w:p>
    <w:p w14:paraId="005F2941" w14:textId="6FDA4925" w:rsidR="000F4970" w:rsidRPr="0035552E" w:rsidRDefault="000F4970" w:rsidP="000F4970">
      <w:pPr>
        <w:shd w:val="clear" w:color="auto" w:fill="FFFFFF"/>
        <w:spacing w:after="0" w:line="240" w:lineRule="auto"/>
        <w:rPr>
          <w:rFonts w:ascii="Arial" w:eastAsia="Times New Roman" w:hAnsi="Arial" w:cs="Arial"/>
          <w:color w:val="2F5496" w:themeColor="accent1" w:themeShade="BF"/>
        </w:rPr>
      </w:pPr>
      <w:r w:rsidRPr="00B906F4">
        <w:rPr>
          <w:rFonts w:ascii="Arial" w:eastAsia="Times New Roman" w:hAnsi="Arial" w:cs="Arial"/>
          <w:b/>
          <w:bCs/>
          <w:color w:val="2F5496" w:themeColor="accent1" w:themeShade="BF"/>
          <w:u w:val="single"/>
        </w:rPr>
        <w:t>Case 4</w:t>
      </w:r>
      <w:r w:rsidRPr="0035552E">
        <w:rPr>
          <w:rFonts w:ascii="Arial" w:eastAsia="Times New Roman" w:hAnsi="Arial" w:cs="Arial"/>
          <w:b/>
          <w:bCs/>
          <w:color w:val="2F5496" w:themeColor="accent1" w:themeShade="BF"/>
        </w:rPr>
        <w:t>:</w:t>
      </w:r>
      <w:r w:rsidRPr="0035552E">
        <w:rPr>
          <w:rFonts w:ascii="Arial" w:eastAsia="Times New Roman" w:hAnsi="Arial" w:cs="Arial"/>
          <w:color w:val="2F5496" w:themeColor="accent1" w:themeShade="BF"/>
        </w:rPr>
        <w:t xml:space="preserve"> </w:t>
      </w:r>
      <w:r w:rsidRPr="0035552E">
        <w:rPr>
          <w:rFonts w:ascii="Arial" w:eastAsia="Times New Roman" w:hAnsi="Arial" w:cs="Arial"/>
          <w:noProof/>
          <w:color w:val="2F5496" w:themeColor="accent1" w:themeShade="BF"/>
        </w:rPr>
        <w:drawing>
          <wp:inline distT="0" distB="0" distL="0" distR="0" wp14:anchorId="61ED4553" wp14:editId="66895B84">
            <wp:extent cx="800100" cy="32127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63542" cy="346751"/>
                    </a:xfrm>
                    <a:prstGeom prst="rect">
                      <a:avLst/>
                    </a:prstGeom>
                  </pic:spPr>
                </pic:pic>
              </a:graphicData>
            </a:graphic>
          </wp:inline>
        </w:drawing>
      </w:r>
      <w:r w:rsidRPr="0035552E">
        <w:rPr>
          <w:rFonts w:ascii="Arial" w:eastAsia="Times New Roman" w:hAnsi="Arial" w:cs="Arial"/>
          <w:color w:val="2F5496" w:themeColor="accent1" w:themeShade="BF"/>
        </w:rPr>
        <w:t xml:space="preserve">v. </w:t>
      </w:r>
      <w:r w:rsidRPr="0035552E">
        <w:rPr>
          <w:rFonts w:ascii="Arial" w:eastAsia="Times New Roman" w:hAnsi="Arial" w:cs="Arial"/>
          <w:noProof/>
          <w:color w:val="2F5496" w:themeColor="accent1" w:themeShade="BF"/>
        </w:rPr>
        <w:drawing>
          <wp:inline distT="0" distB="0" distL="0" distR="0" wp14:anchorId="3E88B30A" wp14:editId="1D49698A">
            <wp:extent cx="656828" cy="3879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2858" cy="415161"/>
                    </a:xfrm>
                    <a:prstGeom prst="rect">
                      <a:avLst/>
                    </a:prstGeom>
                  </pic:spPr>
                </pic:pic>
              </a:graphicData>
            </a:graphic>
          </wp:inline>
        </w:drawing>
      </w:r>
      <w:r w:rsidRPr="0035552E">
        <w:rPr>
          <w:rFonts w:ascii="Arial" w:eastAsia="Times New Roman" w:hAnsi="Arial" w:cs="Arial"/>
          <w:color w:val="2F5496" w:themeColor="accent1" w:themeShade="BF"/>
        </w:rPr>
        <w:t xml:space="preserve"> </w:t>
      </w:r>
      <w:r w:rsidRPr="0035552E">
        <w:rPr>
          <w:rFonts w:ascii="Arial" w:eastAsia="Times New Roman" w:hAnsi="Arial" w:cs="Arial"/>
        </w:rPr>
        <w:t>(CAF v. CAF PROFESSIONAL SOUND)</w:t>
      </w:r>
    </w:p>
    <w:p w14:paraId="5DBE49F3" w14:textId="77777777" w:rsidR="000F4970" w:rsidRPr="0035552E" w:rsidRDefault="000F4970" w:rsidP="000F4970">
      <w:pPr>
        <w:shd w:val="clear" w:color="auto" w:fill="FFFFFF"/>
        <w:spacing w:after="0" w:line="240" w:lineRule="auto"/>
        <w:rPr>
          <w:rFonts w:ascii="Arial" w:eastAsia="Times New Roman" w:hAnsi="Arial" w:cs="Arial"/>
          <w:sz w:val="20"/>
          <w:szCs w:val="20"/>
        </w:rPr>
      </w:pPr>
    </w:p>
    <w:p w14:paraId="6827D6FA" w14:textId="77777777" w:rsidR="000F4970" w:rsidRPr="0035552E" w:rsidRDefault="000F4970" w:rsidP="000F4970">
      <w:pPr>
        <w:shd w:val="clear" w:color="auto" w:fill="FFFFFF"/>
        <w:spacing w:after="0" w:line="240" w:lineRule="auto"/>
        <w:jc w:val="both"/>
        <w:rPr>
          <w:rFonts w:ascii="Arial" w:hAnsi="Arial" w:cs="Arial"/>
          <w:sz w:val="20"/>
          <w:szCs w:val="20"/>
        </w:rPr>
      </w:pPr>
      <w:r w:rsidRPr="0035552E">
        <w:rPr>
          <w:rFonts w:ascii="Arial" w:eastAsia="Times New Roman" w:hAnsi="Arial" w:cs="Arial"/>
          <w:i/>
          <w:iCs/>
          <w:sz w:val="20"/>
          <w:szCs w:val="20"/>
          <w:bdr w:val="none" w:sz="0" w:space="0" w:color="auto" w:frame="1"/>
        </w:rPr>
        <w:t>[Executive summary]:</w:t>
      </w:r>
      <w:r w:rsidRPr="0035552E">
        <w:rPr>
          <w:rFonts w:ascii="Arial" w:eastAsia="Times New Roman" w:hAnsi="Arial" w:cs="Arial"/>
          <w:b/>
          <w:bCs/>
          <w:sz w:val="20"/>
          <w:szCs w:val="20"/>
          <w:bdr w:val="none" w:sz="0" w:space="0" w:color="auto" w:frame="1"/>
        </w:rPr>
        <w:t xml:space="preserve"> </w:t>
      </w:r>
      <w:r w:rsidRPr="0035552E">
        <w:rPr>
          <w:rFonts w:ascii="Arial" w:eastAsia="Times New Roman" w:hAnsi="Arial" w:cs="Arial"/>
          <w:sz w:val="20"/>
          <w:szCs w:val="20"/>
        </w:rPr>
        <w:t xml:space="preserve">Tân Việt Company, a Vietnamese </w:t>
      </w:r>
      <w:r w:rsidRPr="0035552E">
        <w:rPr>
          <w:rFonts w:ascii="Arial" w:hAnsi="Arial" w:cs="Arial"/>
          <w:sz w:val="20"/>
          <w:szCs w:val="20"/>
        </w:rPr>
        <w:t xml:space="preserve">enterprise, successfully secured the trademark "CAF PROFESSIONAL SOUND" under Registration No. </w:t>
      </w:r>
      <w:r w:rsidRPr="00996828">
        <w:rPr>
          <w:rFonts w:ascii="Arial" w:hAnsi="Arial" w:cs="Arial"/>
          <w:sz w:val="20"/>
          <w:szCs w:val="20"/>
          <w:shd w:val="clear" w:color="auto" w:fill="FFFFFF"/>
        </w:rPr>
        <w:t>390821</w:t>
      </w:r>
      <w:r w:rsidRPr="0035552E">
        <w:rPr>
          <w:rFonts w:ascii="Arial" w:hAnsi="Arial" w:cs="Arial"/>
          <w:sz w:val="20"/>
          <w:szCs w:val="20"/>
        </w:rPr>
        <w:t xml:space="preserve"> with IP VIETNAM. Upon discovering this registration, Kafu Company, a China-based company, filed an invalidation with IP VIETNAM.</w:t>
      </w:r>
    </w:p>
    <w:p w14:paraId="5B6F2C08" w14:textId="77777777" w:rsidR="000F4970" w:rsidRPr="0035552E" w:rsidRDefault="000F4970" w:rsidP="000F4970">
      <w:pPr>
        <w:shd w:val="clear" w:color="auto" w:fill="FFFFFF"/>
        <w:spacing w:after="0" w:line="240" w:lineRule="auto"/>
        <w:rPr>
          <w:rFonts w:ascii="Arial" w:eastAsia="Times New Roman" w:hAnsi="Arial" w:cs="Arial"/>
          <w:sz w:val="20"/>
          <w:szCs w:val="20"/>
        </w:rPr>
      </w:pPr>
    </w:p>
    <w:tbl>
      <w:tblPr>
        <w:tblStyle w:val="TableGrid"/>
        <w:tblW w:w="0" w:type="auto"/>
        <w:tblLook w:val="04A0" w:firstRow="1" w:lastRow="0" w:firstColumn="1" w:lastColumn="0" w:noHBand="0" w:noVBand="1"/>
      </w:tblPr>
      <w:tblGrid>
        <w:gridCol w:w="3071"/>
        <w:gridCol w:w="6558"/>
      </w:tblGrid>
      <w:tr w:rsidR="000F4970" w:rsidRPr="0035552E" w14:paraId="70F25C62" w14:textId="77777777" w:rsidTr="001B7AAC">
        <w:tc>
          <w:tcPr>
            <w:tcW w:w="3595" w:type="dxa"/>
          </w:tcPr>
          <w:p w14:paraId="52F9085F" w14:textId="77777777" w:rsidR="000F4970" w:rsidRPr="0035552E" w:rsidRDefault="000F4970" w:rsidP="001B7AAC">
            <w:pPr>
              <w:rPr>
                <w:rFonts w:ascii="Arial" w:eastAsia="Times New Roman" w:hAnsi="Arial" w:cs="Arial"/>
                <w:b/>
                <w:bCs/>
                <w:sz w:val="20"/>
                <w:szCs w:val="20"/>
              </w:rPr>
            </w:pPr>
            <w:r w:rsidRPr="0035552E">
              <w:rPr>
                <w:rFonts w:ascii="Arial" w:eastAsia="Times New Roman" w:hAnsi="Arial" w:cs="Arial"/>
                <w:b/>
                <w:bCs/>
                <w:sz w:val="20"/>
                <w:szCs w:val="20"/>
              </w:rPr>
              <w:t>Category</w:t>
            </w:r>
          </w:p>
        </w:tc>
        <w:tc>
          <w:tcPr>
            <w:tcW w:w="9355" w:type="dxa"/>
          </w:tcPr>
          <w:p w14:paraId="36C2F9B5" w14:textId="77777777" w:rsidR="000F4970" w:rsidRPr="0035552E" w:rsidRDefault="000F4970" w:rsidP="001B7AAC">
            <w:pPr>
              <w:rPr>
                <w:rFonts w:ascii="Arial" w:eastAsia="Times New Roman" w:hAnsi="Arial" w:cs="Arial"/>
                <w:b/>
                <w:bCs/>
                <w:sz w:val="20"/>
                <w:szCs w:val="20"/>
              </w:rPr>
            </w:pPr>
            <w:r w:rsidRPr="0035552E">
              <w:rPr>
                <w:rFonts w:ascii="Arial" w:eastAsia="Times New Roman" w:hAnsi="Arial" w:cs="Arial"/>
                <w:b/>
                <w:bCs/>
                <w:sz w:val="20"/>
                <w:szCs w:val="20"/>
              </w:rPr>
              <w:t>Details</w:t>
            </w:r>
          </w:p>
        </w:tc>
      </w:tr>
      <w:tr w:rsidR="000F4970" w:rsidRPr="0035552E" w14:paraId="172AE32C" w14:textId="77777777" w:rsidTr="001B7AAC">
        <w:tc>
          <w:tcPr>
            <w:tcW w:w="3595" w:type="dxa"/>
          </w:tcPr>
          <w:p w14:paraId="1CCF0E52"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Applied-for t</w:t>
            </w:r>
            <w:r w:rsidRPr="004C7C59">
              <w:rPr>
                <w:rFonts w:ascii="Arial" w:eastAsia="Times New Roman" w:hAnsi="Arial" w:cs="Arial"/>
                <w:sz w:val="20"/>
                <w:szCs w:val="20"/>
              </w:rPr>
              <w:t>rademark</w:t>
            </w:r>
          </w:p>
        </w:tc>
        <w:tc>
          <w:tcPr>
            <w:tcW w:w="9355" w:type="dxa"/>
          </w:tcPr>
          <w:p w14:paraId="4E6516DC"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 xml:space="preserve"> </w:t>
            </w:r>
            <w:r w:rsidRPr="0035552E">
              <w:rPr>
                <w:rFonts w:ascii="Arial" w:eastAsia="Times New Roman" w:hAnsi="Arial" w:cs="Arial"/>
                <w:noProof/>
                <w:sz w:val="20"/>
                <w:szCs w:val="20"/>
              </w:rPr>
              <w:drawing>
                <wp:inline distT="0" distB="0" distL="0" distR="0" wp14:anchorId="2462A3FC" wp14:editId="7739ADA5">
                  <wp:extent cx="656828" cy="3879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2858" cy="415161"/>
                          </a:xfrm>
                          <a:prstGeom prst="rect">
                            <a:avLst/>
                          </a:prstGeom>
                        </pic:spPr>
                      </pic:pic>
                    </a:graphicData>
                  </a:graphic>
                </wp:inline>
              </w:drawing>
            </w:r>
          </w:p>
        </w:tc>
      </w:tr>
      <w:tr w:rsidR="000F4970" w:rsidRPr="0035552E" w14:paraId="1A794678" w14:textId="77777777" w:rsidTr="001B7AAC">
        <w:tc>
          <w:tcPr>
            <w:tcW w:w="3595" w:type="dxa"/>
          </w:tcPr>
          <w:p w14:paraId="6359BC04"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Class &amp; goods</w:t>
            </w:r>
          </w:p>
        </w:tc>
        <w:tc>
          <w:tcPr>
            <w:tcW w:w="9355" w:type="dxa"/>
          </w:tcPr>
          <w:p w14:paraId="048EC5AA" w14:textId="77777777" w:rsidR="000F4970" w:rsidRPr="0035552E" w:rsidRDefault="000F4970" w:rsidP="001B7AAC">
            <w:pPr>
              <w:jc w:val="both"/>
              <w:rPr>
                <w:rFonts w:ascii="Arial" w:eastAsia="Times New Roman" w:hAnsi="Arial" w:cs="Arial"/>
                <w:sz w:val="20"/>
                <w:szCs w:val="20"/>
              </w:rPr>
            </w:pPr>
            <w:r w:rsidRPr="0035552E">
              <w:rPr>
                <w:rFonts w:ascii="Arial" w:eastAsia="Times New Roman" w:hAnsi="Arial" w:cs="Arial"/>
                <w:sz w:val="20"/>
                <w:szCs w:val="20"/>
              </w:rPr>
              <w:t xml:space="preserve">09 </w:t>
            </w:r>
            <w:r w:rsidRPr="0035552E">
              <w:rPr>
                <w:rFonts w:ascii="Arial" w:eastAsia="Times New Roman" w:hAnsi="Arial" w:cs="Arial"/>
                <w:i/>
                <w:iCs/>
                <w:sz w:val="20"/>
                <w:szCs w:val="20"/>
              </w:rPr>
              <w:t>(Audio equipment such as speakers, audio amplifiers, disc players)</w:t>
            </w:r>
            <w:r>
              <w:rPr>
                <w:rFonts w:ascii="Arial" w:eastAsia="Times New Roman" w:hAnsi="Arial" w:cs="Arial"/>
                <w:i/>
                <w:iCs/>
                <w:sz w:val="20"/>
                <w:szCs w:val="20"/>
              </w:rPr>
              <w:t>.</w:t>
            </w:r>
          </w:p>
          <w:p w14:paraId="7441C6EC" w14:textId="77777777" w:rsidR="000F4970" w:rsidRPr="0035552E" w:rsidRDefault="000F4970" w:rsidP="001B7AAC">
            <w:pPr>
              <w:jc w:val="both"/>
              <w:rPr>
                <w:rFonts w:ascii="Arial" w:eastAsia="Times New Roman" w:hAnsi="Arial" w:cs="Arial"/>
                <w:sz w:val="20"/>
                <w:szCs w:val="20"/>
              </w:rPr>
            </w:pPr>
            <w:r w:rsidRPr="0035552E">
              <w:rPr>
                <w:rFonts w:ascii="Arial" w:eastAsia="Times New Roman" w:hAnsi="Arial" w:cs="Arial"/>
                <w:sz w:val="20"/>
                <w:szCs w:val="20"/>
              </w:rPr>
              <w:t xml:space="preserve">35 </w:t>
            </w:r>
            <w:r w:rsidRPr="0035552E">
              <w:rPr>
                <w:rFonts w:ascii="Arial" w:eastAsia="Times New Roman" w:hAnsi="Arial" w:cs="Arial"/>
                <w:i/>
                <w:iCs/>
                <w:sz w:val="20"/>
                <w:szCs w:val="20"/>
              </w:rPr>
              <w:t>(Trading, importing and exporting audio equipment such as speakers, sound amplifiers, disc players).</w:t>
            </w:r>
          </w:p>
        </w:tc>
      </w:tr>
      <w:tr w:rsidR="000F4970" w:rsidRPr="0035552E" w14:paraId="60792C44" w14:textId="77777777" w:rsidTr="001B7AAC">
        <w:tc>
          <w:tcPr>
            <w:tcW w:w="3595" w:type="dxa"/>
          </w:tcPr>
          <w:p w14:paraId="39913173"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Application/Registration</w:t>
            </w:r>
            <w:r w:rsidRPr="004C7C59">
              <w:rPr>
                <w:rFonts w:ascii="Arial" w:eastAsia="Times New Roman" w:hAnsi="Arial" w:cs="Arial"/>
                <w:sz w:val="20"/>
                <w:szCs w:val="20"/>
              </w:rPr>
              <w:t xml:space="preserve"> No.</w:t>
            </w:r>
          </w:p>
        </w:tc>
        <w:tc>
          <w:tcPr>
            <w:tcW w:w="9355" w:type="dxa"/>
          </w:tcPr>
          <w:p w14:paraId="1222EA0A" w14:textId="77777777" w:rsidR="000F4970" w:rsidRPr="00996828" w:rsidRDefault="000F4970" w:rsidP="001B7AAC">
            <w:pPr>
              <w:jc w:val="both"/>
              <w:rPr>
                <w:rFonts w:ascii="Arial" w:eastAsia="Times New Roman" w:hAnsi="Arial" w:cs="Arial"/>
                <w:sz w:val="20"/>
                <w:szCs w:val="20"/>
              </w:rPr>
            </w:pPr>
            <w:r w:rsidRPr="0035552E">
              <w:rPr>
                <w:rFonts w:ascii="Arial" w:hAnsi="Arial" w:cs="Arial"/>
                <w:sz w:val="20"/>
                <w:szCs w:val="20"/>
                <w:shd w:val="clear" w:color="auto" w:fill="FFFFFF"/>
              </w:rPr>
              <w:t>4-2018-28713 (</w:t>
            </w:r>
            <w:r w:rsidRPr="00996828">
              <w:rPr>
                <w:rFonts w:ascii="Arial" w:hAnsi="Arial" w:cs="Arial"/>
                <w:sz w:val="20"/>
                <w:szCs w:val="20"/>
                <w:shd w:val="clear" w:color="auto" w:fill="FFFFFF"/>
              </w:rPr>
              <w:t>390821)</w:t>
            </w:r>
          </w:p>
        </w:tc>
      </w:tr>
      <w:tr w:rsidR="000F4970" w:rsidRPr="0035552E" w14:paraId="7AF02D38" w14:textId="77777777" w:rsidTr="001B7AAC">
        <w:tc>
          <w:tcPr>
            <w:tcW w:w="3595" w:type="dxa"/>
          </w:tcPr>
          <w:p w14:paraId="23A4141B"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Applicant</w:t>
            </w:r>
          </w:p>
        </w:tc>
        <w:tc>
          <w:tcPr>
            <w:tcW w:w="9355" w:type="dxa"/>
          </w:tcPr>
          <w:p w14:paraId="68A41CC2" w14:textId="77777777" w:rsidR="000F4970" w:rsidRPr="0035552E" w:rsidRDefault="000F4970" w:rsidP="001B7AAC">
            <w:pPr>
              <w:jc w:val="both"/>
              <w:rPr>
                <w:rFonts w:ascii="Arial" w:eastAsia="Times New Roman" w:hAnsi="Arial" w:cs="Arial"/>
                <w:sz w:val="20"/>
                <w:szCs w:val="20"/>
              </w:rPr>
            </w:pPr>
            <w:r w:rsidRPr="0035552E">
              <w:rPr>
                <w:rFonts w:ascii="Arial" w:hAnsi="Arial" w:cs="Arial"/>
                <w:sz w:val="20"/>
                <w:szCs w:val="20"/>
                <w:shd w:val="clear" w:color="auto" w:fill="FFFFFF"/>
              </w:rPr>
              <w:t>Công ty cổ phần xuất nhập khẩu &amp; đầu tư phát triển Tân Việt (</w:t>
            </w:r>
            <w:r w:rsidRPr="0035552E">
              <w:rPr>
                <w:rFonts w:ascii="Arial" w:hAnsi="Arial" w:cs="Arial"/>
                <w:b/>
                <w:bCs/>
                <w:sz w:val="20"/>
                <w:szCs w:val="20"/>
                <w:shd w:val="clear" w:color="auto" w:fill="FFFFFF"/>
              </w:rPr>
              <w:t>Tan Viet Company</w:t>
            </w:r>
            <w:r w:rsidRPr="0035552E">
              <w:rPr>
                <w:rFonts w:ascii="Arial" w:hAnsi="Arial" w:cs="Arial"/>
                <w:sz w:val="20"/>
                <w:szCs w:val="20"/>
                <w:shd w:val="clear" w:color="auto" w:fill="FFFFFF"/>
              </w:rPr>
              <w:t>)</w:t>
            </w:r>
          </w:p>
        </w:tc>
      </w:tr>
      <w:tr w:rsidR="000F4970" w:rsidRPr="0035552E" w14:paraId="3ECE45B3" w14:textId="77777777" w:rsidTr="001B7AAC">
        <w:tc>
          <w:tcPr>
            <w:tcW w:w="3595" w:type="dxa"/>
          </w:tcPr>
          <w:p w14:paraId="6B03A903"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Genuine trademark owner</w:t>
            </w:r>
          </w:p>
        </w:tc>
        <w:tc>
          <w:tcPr>
            <w:tcW w:w="9355" w:type="dxa"/>
          </w:tcPr>
          <w:p w14:paraId="0677D90C" w14:textId="77777777" w:rsidR="000F4970" w:rsidRPr="0035552E" w:rsidRDefault="000F4970" w:rsidP="001B7AAC">
            <w:pPr>
              <w:jc w:val="both"/>
              <w:rPr>
                <w:rFonts w:ascii="Arial" w:eastAsia="Times New Roman" w:hAnsi="Arial" w:cs="Arial"/>
                <w:sz w:val="20"/>
                <w:szCs w:val="20"/>
              </w:rPr>
            </w:pPr>
            <w:r w:rsidRPr="0035552E">
              <w:rPr>
                <w:rFonts w:ascii="Arial" w:hAnsi="Arial" w:cs="Arial"/>
                <w:sz w:val="20"/>
                <w:szCs w:val="20"/>
                <w:shd w:val="clear" w:color="auto" w:fill="FFFFFF"/>
              </w:rPr>
              <w:t>Foshan City Nanhai Kafu Professional Audio Equipment Factory (</w:t>
            </w:r>
            <w:r w:rsidRPr="0035552E">
              <w:rPr>
                <w:rFonts w:ascii="Arial" w:hAnsi="Arial" w:cs="Arial"/>
                <w:b/>
                <w:bCs/>
                <w:sz w:val="20"/>
                <w:szCs w:val="20"/>
                <w:shd w:val="clear" w:color="auto" w:fill="FFFFFF"/>
              </w:rPr>
              <w:t>Kafu Company</w:t>
            </w:r>
            <w:r w:rsidRPr="0035552E">
              <w:rPr>
                <w:rFonts w:ascii="Arial" w:hAnsi="Arial" w:cs="Arial"/>
                <w:sz w:val="20"/>
                <w:szCs w:val="20"/>
                <w:shd w:val="clear" w:color="auto" w:fill="FFFFFF"/>
              </w:rPr>
              <w:t>)</w:t>
            </w:r>
          </w:p>
        </w:tc>
      </w:tr>
      <w:tr w:rsidR="000F4970" w:rsidRPr="0035552E" w14:paraId="1CA6CAD3" w14:textId="77777777" w:rsidTr="001B7AAC">
        <w:tc>
          <w:tcPr>
            <w:tcW w:w="3595" w:type="dxa"/>
          </w:tcPr>
          <w:p w14:paraId="0A54C18B"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Action</w:t>
            </w:r>
          </w:p>
        </w:tc>
        <w:tc>
          <w:tcPr>
            <w:tcW w:w="9355" w:type="dxa"/>
          </w:tcPr>
          <w:p w14:paraId="709198FB" w14:textId="77777777" w:rsidR="000F4970" w:rsidRPr="0035552E" w:rsidRDefault="000F4970" w:rsidP="001B7AAC">
            <w:pPr>
              <w:jc w:val="both"/>
              <w:rPr>
                <w:rFonts w:ascii="Arial" w:eastAsia="Times New Roman" w:hAnsi="Arial" w:cs="Arial"/>
                <w:sz w:val="20"/>
                <w:szCs w:val="20"/>
              </w:rPr>
            </w:pPr>
            <w:r w:rsidRPr="004C7C59">
              <w:rPr>
                <w:rFonts w:ascii="Arial" w:eastAsia="Times New Roman" w:hAnsi="Arial" w:cs="Arial"/>
                <w:sz w:val="20"/>
                <w:szCs w:val="20"/>
              </w:rPr>
              <w:t xml:space="preserve">Filing a </w:t>
            </w:r>
            <w:r w:rsidRPr="0035552E">
              <w:rPr>
                <w:rFonts w:ascii="Arial" w:eastAsia="Times New Roman" w:hAnsi="Arial" w:cs="Arial"/>
                <w:sz w:val="20"/>
                <w:szCs w:val="20"/>
              </w:rPr>
              <w:t>trademark invalidation request</w:t>
            </w:r>
          </w:p>
        </w:tc>
      </w:tr>
      <w:tr w:rsidR="000F4970" w:rsidRPr="0035552E" w14:paraId="2A455AE7" w14:textId="77777777" w:rsidTr="001B7AAC">
        <w:tc>
          <w:tcPr>
            <w:tcW w:w="3595" w:type="dxa"/>
          </w:tcPr>
          <w:p w14:paraId="45BFBB05"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Legal grounds</w:t>
            </w:r>
          </w:p>
        </w:tc>
        <w:tc>
          <w:tcPr>
            <w:tcW w:w="9355" w:type="dxa"/>
          </w:tcPr>
          <w:p w14:paraId="67769BC3" w14:textId="77777777" w:rsidR="000F4970" w:rsidRPr="0035552E" w:rsidRDefault="000F4970" w:rsidP="000F4970">
            <w:pPr>
              <w:pStyle w:val="ListParagraph"/>
              <w:numPr>
                <w:ilvl w:val="0"/>
                <w:numId w:val="21"/>
              </w:numPr>
              <w:ind w:left="271" w:hanging="271"/>
              <w:jc w:val="both"/>
              <w:rPr>
                <w:rFonts w:ascii="Arial" w:hAnsi="Arial" w:cs="Arial"/>
                <w:sz w:val="20"/>
                <w:szCs w:val="20"/>
                <w:shd w:val="clear" w:color="auto" w:fill="FFFFFF"/>
              </w:rPr>
            </w:pPr>
            <w:r w:rsidRPr="0035552E">
              <w:rPr>
                <w:rFonts w:ascii="Arial" w:hAnsi="Arial" w:cs="Arial"/>
                <w:sz w:val="20"/>
                <w:szCs w:val="20"/>
                <w:shd w:val="clear" w:color="auto" w:fill="FFFFFF"/>
              </w:rPr>
              <w:t xml:space="preserve">Article 87.2 </w:t>
            </w:r>
            <w:r w:rsidRPr="0035552E">
              <w:rPr>
                <w:rFonts w:ascii="Arial" w:hAnsi="Arial" w:cs="Arial"/>
                <w:i/>
                <w:iCs/>
                <w:sz w:val="20"/>
                <w:szCs w:val="20"/>
                <w:shd w:val="clear" w:color="auto" w:fill="FFFFFF"/>
              </w:rPr>
              <w:t>(i.e., Organizations and individuals may register a trademark for goods they distribute or sell even if they do not manufacture these goods themselves, as long as the manufacturer agrees to this arrangement and does not use the mark themselves</w:t>
            </w:r>
            <w:r w:rsidRPr="0035552E">
              <w:rPr>
                <w:rFonts w:ascii="Arial" w:hAnsi="Arial" w:cs="Arial"/>
                <w:sz w:val="20"/>
                <w:szCs w:val="20"/>
                <w:shd w:val="clear" w:color="auto" w:fill="FFFFFF"/>
              </w:rPr>
              <w:t>)</w:t>
            </w:r>
          </w:p>
          <w:p w14:paraId="4C4265B9" w14:textId="77777777" w:rsidR="000F4970" w:rsidRPr="0035552E" w:rsidRDefault="000F4970" w:rsidP="000F4970">
            <w:pPr>
              <w:pStyle w:val="ListParagraph"/>
              <w:numPr>
                <w:ilvl w:val="0"/>
                <w:numId w:val="21"/>
              </w:numPr>
              <w:ind w:left="271" w:hanging="271"/>
              <w:jc w:val="both"/>
              <w:rPr>
                <w:rFonts w:ascii="Arial" w:hAnsi="Arial" w:cs="Arial"/>
                <w:sz w:val="20"/>
                <w:szCs w:val="20"/>
                <w:shd w:val="clear" w:color="auto" w:fill="FFFFFF"/>
              </w:rPr>
            </w:pPr>
            <w:r w:rsidRPr="0035552E">
              <w:rPr>
                <w:rFonts w:ascii="Arial" w:hAnsi="Arial" w:cs="Arial"/>
                <w:sz w:val="20"/>
                <w:szCs w:val="20"/>
                <w:shd w:val="clear" w:color="auto" w:fill="FFFFFF"/>
              </w:rPr>
              <w:t>Article 87.7 (</w:t>
            </w:r>
            <w:r w:rsidRPr="0035552E">
              <w:rPr>
                <w:rFonts w:ascii="Arial" w:hAnsi="Arial" w:cs="Arial"/>
                <w:i/>
                <w:iCs/>
                <w:sz w:val="20"/>
                <w:szCs w:val="20"/>
                <w:shd w:val="clear" w:color="auto" w:fill="FFFFFF"/>
              </w:rPr>
              <w:t>i.e., preventing representatives or agents from registering trademarks in their own name without the consent of the actual trademark owner, in countries that are parties to treaties that Vietnam has agreed to. An agent or representative can only register a mark under their name if: (i) They have explicit agreement from the original trademark owner, or (ii)There is a justifiable reason for the registration</w:t>
            </w:r>
            <w:r w:rsidRPr="0035552E">
              <w:rPr>
                <w:rFonts w:ascii="Arial" w:hAnsi="Arial" w:cs="Arial"/>
                <w:sz w:val="20"/>
                <w:szCs w:val="20"/>
                <w:shd w:val="clear" w:color="auto" w:fill="FFFFFF"/>
              </w:rPr>
              <w:t>).</w:t>
            </w:r>
          </w:p>
        </w:tc>
      </w:tr>
      <w:tr w:rsidR="000F4970" w:rsidRPr="0035552E" w14:paraId="70FC42DD" w14:textId="77777777" w:rsidTr="001B7AAC">
        <w:tc>
          <w:tcPr>
            <w:tcW w:w="3595" w:type="dxa"/>
          </w:tcPr>
          <w:p w14:paraId="41BD0A96"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R</w:t>
            </w:r>
            <w:r w:rsidRPr="004C7C59">
              <w:rPr>
                <w:rFonts w:ascii="Arial" w:eastAsia="Times New Roman" w:hAnsi="Arial" w:cs="Arial"/>
                <w:sz w:val="20"/>
                <w:szCs w:val="20"/>
              </w:rPr>
              <w:t>uling</w:t>
            </w:r>
          </w:p>
        </w:tc>
        <w:tc>
          <w:tcPr>
            <w:tcW w:w="9355" w:type="dxa"/>
          </w:tcPr>
          <w:p w14:paraId="0C4BFEF4" w14:textId="77777777" w:rsidR="000F4970" w:rsidRDefault="000F4970" w:rsidP="001B7AAC">
            <w:pPr>
              <w:jc w:val="both"/>
              <w:rPr>
                <w:rFonts w:ascii="Arial" w:hAnsi="Arial" w:cs="Arial"/>
                <w:sz w:val="20"/>
                <w:szCs w:val="20"/>
                <w:shd w:val="clear" w:color="auto" w:fill="FFFFFF"/>
              </w:rPr>
            </w:pPr>
          </w:p>
          <w:p w14:paraId="5A807DAD" w14:textId="77777777" w:rsidR="000F4970" w:rsidRPr="0035552E" w:rsidRDefault="000F4970" w:rsidP="001B7AAC">
            <w:pPr>
              <w:jc w:val="both"/>
              <w:rPr>
                <w:rFonts w:ascii="Arial" w:hAnsi="Arial" w:cs="Arial"/>
                <w:sz w:val="20"/>
                <w:szCs w:val="20"/>
                <w:shd w:val="clear" w:color="auto" w:fill="FFFFFF"/>
              </w:rPr>
            </w:pPr>
            <w:r w:rsidRPr="0035552E">
              <w:rPr>
                <w:rFonts w:ascii="Arial" w:hAnsi="Arial" w:cs="Arial"/>
                <w:sz w:val="20"/>
                <w:szCs w:val="20"/>
                <w:shd w:val="clear" w:color="auto" w:fill="FFFFFF"/>
              </w:rPr>
              <w:t xml:space="preserve">After a thorough review of the evidence and arguments presented, IP VIETNAM decided to invalidate Trademark Registration No. </w:t>
            </w:r>
            <w:r w:rsidRPr="0035552E">
              <w:rPr>
                <w:rFonts w:ascii="Arial" w:hAnsi="Arial" w:cs="Arial"/>
                <w:sz w:val="20"/>
                <w:szCs w:val="20"/>
              </w:rPr>
              <w:t xml:space="preserve">123570, </w:t>
            </w:r>
            <w:r w:rsidRPr="0035552E">
              <w:rPr>
                <w:rFonts w:ascii="Arial" w:hAnsi="Arial" w:cs="Arial"/>
                <w:sz w:val="20"/>
                <w:szCs w:val="20"/>
                <w:shd w:val="clear" w:color="auto" w:fill="FFFFFF"/>
              </w:rPr>
              <w:t xml:space="preserve">citing Article 87.2 and 87.7 as legal grounds. </w:t>
            </w:r>
          </w:p>
          <w:p w14:paraId="0E62480B" w14:textId="77777777" w:rsidR="000F4970" w:rsidRPr="0035552E" w:rsidRDefault="000F4970" w:rsidP="001B7AAC">
            <w:pPr>
              <w:jc w:val="both"/>
              <w:rPr>
                <w:rFonts w:ascii="Arial" w:hAnsi="Arial" w:cs="Arial"/>
                <w:sz w:val="20"/>
                <w:szCs w:val="20"/>
              </w:rPr>
            </w:pPr>
          </w:p>
          <w:p w14:paraId="6B727A93" w14:textId="77777777" w:rsidR="000F4970" w:rsidRPr="0035552E" w:rsidRDefault="000F4970" w:rsidP="001B7AAC">
            <w:pPr>
              <w:jc w:val="both"/>
              <w:rPr>
                <w:rFonts w:ascii="Arial" w:hAnsi="Arial" w:cs="Arial"/>
                <w:sz w:val="20"/>
                <w:szCs w:val="20"/>
              </w:rPr>
            </w:pPr>
            <w:r w:rsidRPr="0035552E">
              <w:rPr>
                <w:rFonts w:ascii="Arial" w:hAnsi="Arial" w:cs="Arial"/>
                <w:sz w:val="20"/>
                <w:szCs w:val="20"/>
              </w:rPr>
              <w:t>IP VIETNAM’S invalidation Decision was made based on substantial proof provided by Mainetti (UK) Limited, including:</w:t>
            </w:r>
          </w:p>
          <w:p w14:paraId="21D55C87" w14:textId="77777777" w:rsidR="000F4970" w:rsidRPr="0035552E" w:rsidRDefault="000F4970" w:rsidP="001B7AAC">
            <w:pPr>
              <w:jc w:val="both"/>
              <w:rPr>
                <w:rFonts w:ascii="Arial" w:hAnsi="Arial" w:cs="Arial"/>
                <w:sz w:val="20"/>
                <w:szCs w:val="20"/>
              </w:rPr>
            </w:pPr>
          </w:p>
          <w:p w14:paraId="114B7C17" w14:textId="77777777" w:rsidR="000F4970" w:rsidRDefault="000F4970" w:rsidP="000F4970">
            <w:pPr>
              <w:pStyle w:val="ListParagraph"/>
              <w:numPr>
                <w:ilvl w:val="0"/>
                <w:numId w:val="22"/>
              </w:numPr>
              <w:ind w:left="391" w:hanging="389"/>
              <w:jc w:val="both"/>
              <w:rPr>
                <w:rFonts w:ascii="Arial" w:hAnsi="Arial" w:cs="Arial"/>
                <w:sz w:val="20"/>
                <w:szCs w:val="20"/>
              </w:rPr>
            </w:pPr>
            <w:r w:rsidRPr="0035552E">
              <w:rPr>
                <w:rFonts w:ascii="Arial" w:hAnsi="Arial" w:cs="Arial"/>
                <w:sz w:val="20"/>
                <w:szCs w:val="20"/>
              </w:rPr>
              <w:t>Kafu Company and Tan Viet Company had a commercial relationship since 2016. Tan Viet Company was a</w:t>
            </w:r>
            <w:r>
              <w:rPr>
                <w:rFonts w:ascii="Arial" w:hAnsi="Arial" w:cs="Arial"/>
                <w:sz w:val="20"/>
                <w:szCs w:val="20"/>
              </w:rPr>
              <w:t>n</w:t>
            </w:r>
            <w:r w:rsidRPr="0035552E">
              <w:rPr>
                <w:rFonts w:ascii="Arial" w:hAnsi="Arial" w:cs="Arial"/>
                <w:sz w:val="20"/>
                <w:szCs w:val="20"/>
              </w:rPr>
              <w:t xml:space="preserve"> exclusive agent of Kafu Company.</w:t>
            </w:r>
            <w:r>
              <w:rPr>
                <w:rFonts w:ascii="Arial" w:hAnsi="Arial" w:cs="Arial"/>
                <w:sz w:val="20"/>
                <w:szCs w:val="20"/>
              </w:rPr>
              <w:t xml:space="preserve"> </w:t>
            </w:r>
            <w:r w:rsidRPr="0035552E">
              <w:rPr>
                <w:rFonts w:ascii="Arial" w:hAnsi="Arial" w:cs="Arial"/>
                <w:sz w:val="20"/>
                <w:szCs w:val="20"/>
              </w:rPr>
              <w:t>Documentation attesting to this partnership includes a variety of pivotal records:</w:t>
            </w:r>
          </w:p>
          <w:p w14:paraId="17E4380E" w14:textId="77777777" w:rsidR="000F4970" w:rsidRPr="0035552E" w:rsidRDefault="000F4970" w:rsidP="001B7AAC">
            <w:pPr>
              <w:pStyle w:val="ListParagraph"/>
              <w:ind w:left="391"/>
              <w:jc w:val="both"/>
              <w:rPr>
                <w:rFonts w:ascii="Arial" w:hAnsi="Arial" w:cs="Arial"/>
                <w:sz w:val="20"/>
                <w:szCs w:val="20"/>
              </w:rPr>
            </w:pPr>
          </w:p>
          <w:p w14:paraId="29471F52" w14:textId="77777777" w:rsidR="000F4970" w:rsidRDefault="000F4970" w:rsidP="000F4970">
            <w:pPr>
              <w:pStyle w:val="ListParagraph"/>
              <w:numPr>
                <w:ilvl w:val="0"/>
                <w:numId w:val="23"/>
              </w:numPr>
              <w:ind w:left="841" w:hanging="450"/>
              <w:jc w:val="both"/>
              <w:rPr>
                <w:rFonts w:ascii="Arial" w:hAnsi="Arial" w:cs="Arial"/>
                <w:sz w:val="20"/>
                <w:szCs w:val="20"/>
              </w:rPr>
            </w:pPr>
            <w:r w:rsidRPr="0035552E">
              <w:rPr>
                <w:rFonts w:ascii="Arial" w:hAnsi="Arial" w:cs="Arial"/>
                <w:b/>
                <w:bCs/>
                <w:sz w:val="20"/>
                <w:szCs w:val="20"/>
              </w:rPr>
              <w:t>Contract details</w:t>
            </w:r>
            <w:r w:rsidRPr="0035552E">
              <w:rPr>
                <w:rFonts w:ascii="Arial" w:hAnsi="Arial" w:cs="Arial"/>
                <w:sz w:val="20"/>
                <w:szCs w:val="20"/>
              </w:rPr>
              <w:t>: The "CAF" sign is prominently displayed on the "box speaker" under Contract No. 01/NK/2016, executed on August 8, 2016.</w:t>
            </w:r>
          </w:p>
          <w:p w14:paraId="2889430A" w14:textId="77777777" w:rsidR="000F4970" w:rsidRDefault="000F4970" w:rsidP="000F4970">
            <w:pPr>
              <w:pStyle w:val="ListParagraph"/>
              <w:numPr>
                <w:ilvl w:val="0"/>
                <w:numId w:val="23"/>
              </w:numPr>
              <w:ind w:left="841" w:hanging="450"/>
              <w:jc w:val="both"/>
              <w:rPr>
                <w:rFonts w:ascii="Arial" w:hAnsi="Arial" w:cs="Arial"/>
                <w:sz w:val="20"/>
                <w:szCs w:val="20"/>
              </w:rPr>
            </w:pPr>
            <w:r w:rsidRPr="0035552E">
              <w:rPr>
                <w:rFonts w:ascii="Arial" w:hAnsi="Arial" w:cs="Arial"/>
                <w:b/>
                <w:bCs/>
                <w:sz w:val="20"/>
                <w:szCs w:val="20"/>
              </w:rPr>
              <w:t>Invoice evidence</w:t>
            </w:r>
            <w:r w:rsidRPr="0035552E">
              <w:rPr>
                <w:rFonts w:ascii="Arial" w:hAnsi="Arial" w:cs="Arial"/>
                <w:sz w:val="20"/>
                <w:szCs w:val="20"/>
              </w:rPr>
              <w:t>: The logo of Kafu Company is featured on Invoice number CAF1002, issued on July 29, 2016.</w:t>
            </w:r>
          </w:p>
          <w:p w14:paraId="34DD9D97" w14:textId="77777777" w:rsidR="000F4970" w:rsidRDefault="000F4970" w:rsidP="000F4970">
            <w:pPr>
              <w:pStyle w:val="ListParagraph"/>
              <w:numPr>
                <w:ilvl w:val="0"/>
                <w:numId w:val="23"/>
              </w:numPr>
              <w:ind w:left="841" w:hanging="450"/>
              <w:jc w:val="both"/>
              <w:rPr>
                <w:rFonts w:ascii="Arial" w:hAnsi="Arial" w:cs="Arial"/>
                <w:sz w:val="20"/>
                <w:szCs w:val="20"/>
              </w:rPr>
            </w:pPr>
            <w:r w:rsidRPr="0035552E">
              <w:rPr>
                <w:rFonts w:ascii="Arial" w:hAnsi="Arial" w:cs="Arial"/>
                <w:b/>
                <w:bCs/>
                <w:sz w:val="20"/>
                <w:szCs w:val="20"/>
              </w:rPr>
              <w:t>Distributorshi</w:t>
            </w:r>
            <w:r w:rsidRPr="0035552E">
              <w:rPr>
                <w:rFonts w:ascii="Arial" w:hAnsi="Arial" w:cs="Arial"/>
                <w:sz w:val="20"/>
                <w:szCs w:val="20"/>
              </w:rPr>
              <w:t>p: An Exclusive Distributor Certificate validates the exclusive rights granted to the partnership, spanning from 2016 to 2019</w:t>
            </w:r>
            <w:r>
              <w:rPr>
                <w:rFonts w:ascii="Arial" w:hAnsi="Arial" w:cs="Arial"/>
                <w:sz w:val="20"/>
                <w:szCs w:val="20"/>
              </w:rPr>
              <w:t>.</w:t>
            </w:r>
          </w:p>
          <w:p w14:paraId="34F38438" w14:textId="77777777" w:rsidR="000F4970" w:rsidRPr="0035552E" w:rsidRDefault="000F4970" w:rsidP="001B7AAC">
            <w:pPr>
              <w:pStyle w:val="ListParagraph"/>
              <w:ind w:left="1051"/>
              <w:jc w:val="both"/>
              <w:rPr>
                <w:rFonts w:ascii="Arial" w:hAnsi="Arial" w:cs="Arial"/>
                <w:sz w:val="20"/>
                <w:szCs w:val="20"/>
              </w:rPr>
            </w:pPr>
          </w:p>
          <w:p w14:paraId="7D24346D" w14:textId="77777777" w:rsidR="000F4970" w:rsidRPr="0035552E" w:rsidRDefault="000F4970" w:rsidP="000F4970">
            <w:pPr>
              <w:pStyle w:val="ListParagraph"/>
              <w:numPr>
                <w:ilvl w:val="0"/>
                <w:numId w:val="22"/>
              </w:numPr>
              <w:ind w:left="391" w:hanging="389"/>
              <w:jc w:val="both"/>
              <w:rPr>
                <w:rFonts w:ascii="Arial" w:eastAsia="Times New Roman" w:hAnsi="Arial" w:cs="Arial"/>
                <w:sz w:val="20"/>
                <w:szCs w:val="20"/>
              </w:rPr>
            </w:pPr>
            <w:r w:rsidRPr="0035552E">
              <w:rPr>
                <w:rFonts w:ascii="Arial" w:hAnsi="Arial" w:cs="Arial"/>
                <w:sz w:val="20"/>
                <w:szCs w:val="20"/>
              </w:rPr>
              <w:lastRenderedPageBreak/>
              <w:t>No written authorization of Kafu Company for Tan Viet Company to apply for registration of the trademark "CAF PROFESSIONAL SOUND, fig" for products and services in class 09 and 35 in Vietnam. Kafu Company has never agreed to let Tan Viet Company register the CAF trademark in Viet Nam.</w:t>
            </w:r>
          </w:p>
        </w:tc>
      </w:tr>
    </w:tbl>
    <w:p w14:paraId="189E0F80" w14:textId="77777777" w:rsidR="000F4970" w:rsidRPr="0035552E" w:rsidRDefault="000F4970" w:rsidP="000F4970">
      <w:pPr>
        <w:shd w:val="clear" w:color="auto" w:fill="FFFFFF"/>
        <w:spacing w:after="0" w:line="240" w:lineRule="auto"/>
        <w:rPr>
          <w:rFonts w:ascii="Arial" w:eastAsia="Times New Roman" w:hAnsi="Arial" w:cs="Arial"/>
          <w:sz w:val="20"/>
          <w:szCs w:val="20"/>
        </w:rPr>
      </w:pPr>
    </w:p>
    <w:p w14:paraId="02C554AE" w14:textId="77777777" w:rsidR="000F4970" w:rsidRPr="0035552E" w:rsidRDefault="000F4970" w:rsidP="000F4970">
      <w:pPr>
        <w:shd w:val="clear" w:color="auto" w:fill="FFFFFF"/>
        <w:spacing w:after="0" w:line="240" w:lineRule="auto"/>
        <w:rPr>
          <w:rFonts w:ascii="Arial" w:eastAsia="Times New Roman" w:hAnsi="Arial" w:cs="Arial"/>
          <w:b/>
          <w:bCs/>
          <w:color w:val="2F5496" w:themeColor="accent1" w:themeShade="BF"/>
        </w:rPr>
      </w:pPr>
      <w:r w:rsidRPr="00B906F4">
        <w:rPr>
          <w:rFonts w:ascii="Arial" w:eastAsia="Times New Roman" w:hAnsi="Arial" w:cs="Arial"/>
          <w:b/>
          <w:bCs/>
          <w:color w:val="2F5496" w:themeColor="accent1" w:themeShade="BF"/>
          <w:u w:val="single"/>
        </w:rPr>
        <w:t>Case 5</w:t>
      </w:r>
      <w:r w:rsidRPr="0035552E">
        <w:rPr>
          <w:rFonts w:ascii="Arial" w:eastAsia="Times New Roman" w:hAnsi="Arial" w:cs="Arial"/>
          <w:b/>
          <w:bCs/>
          <w:color w:val="2F5496" w:themeColor="accent1" w:themeShade="BF"/>
        </w:rPr>
        <w:t xml:space="preserve">: </w:t>
      </w:r>
      <w:r w:rsidRPr="00F6020D">
        <w:rPr>
          <w:rFonts w:ascii="Arial" w:eastAsia="Times New Roman" w:hAnsi="Arial" w:cs="Arial"/>
          <w:b/>
          <w:bCs/>
          <w:noProof/>
          <w:color w:val="2F5496" w:themeColor="accent1" w:themeShade="BF"/>
        </w:rPr>
        <w:drawing>
          <wp:inline distT="0" distB="0" distL="0" distR="0" wp14:anchorId="7AC78E7F" wp14:editId="54B28C35">
            <wp:extent cx="1390650" cy="395071"/>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01984" cy="398291"/>
                    </a:xfrm>
                    <a:prstGeom prst="rect">
                      <a:avLst/>
                    </a:prstGeom>
                  </pic:spPr>
                </pic:pic>
              </a:graphicData>
            </a:graphic>
          </wp:inline>
        </w:drawing>
      </w:r>
      <w:r w:rsidRPr="0035552E">
        <w:rPr>
          <w:rFonts w:ascii="Arial" w:eastAsia="Times New Roman" w:hAnsi="Arial" w:cs="Arial"/>
          <w:b/>
          <w:bCs/>
          <w:color w:val="2F5496" w:themeColor="accent1" w:themeShade="BF"/>
        </w:rPr>
        <w:t xml:space="preserve">v. </w:t>
      </w:r>
      <w:r w:rsidRPr="0035552E">
        <w:rPr>
          <w:rFonts w:ascii="Arial" w:hAnsi="Arial" w:cs="Arial"/>
          <w:b/>
          <w:bCs/>
          <w:noProof/>
          <w:color w:val="2F5496" w:themeColor="accent1" w:themeShade="BF"/>
          <w:lang w:eastAsia="ko-KR"/>
        </w:rPr>
        <w:drawing>
          <wp:inline distT="0" distB="0" distL="0" distR="0" wp14:anchorId="60B9A0A6" wp14:editId="4C54E083">
            <wp:extent cx="1173480" cy="310515"/>
            <wp:effectExtent l="0" t="0" r="7620" b="0"/>
            <wp:docPr id="10" name="Picture 10" descr="Description: https://ipplatform.gov.vn:88/TM_PIC_LOCATION/2010_2010/11/17567141Pictu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3531517662591297671Picture 1" descr="Description: https://ipplatform.gov.vn:88/TM_PIC_LOCATION/2010_2010/11/17567141Pictu001.jp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173480" cy="310515"/>
                    </a:xfrm>
                    <a:prstGeom prst="rect">
                      <a:avLst/>
                    </a:prstGeom>
                    <a:noFill/>
                    <a:ln>
                      <a:noFill/>
                    </a:ln>
                  </pic:spPr>
                </pic:pic>
              </a:graphicData>
            </a:graphic>
          </wp:inline>
        </w:drawing>
      </w:r>
      <w:r w:rsidRPr="0035552E">
        <w:rPr>
          <w:rFonts w:ascii="Arial" w:eastAsia="Times New Roman" w:hAnsi="Arial" w:cs="Arial"/>
          <w:b/>
          <w:bCs/>
          <w:color w:val="2F5496" w:themeColor="accent1" w:themeShade="BF"/>
        </w:rPr>
        <w:t xml:space="preserve"> </w:t>
      </w:r>
    </w:p>
    <w:p w14:paraId="674E4D02" w14:textId="77777777" w:rsidR="000F4970" w:rsidRPr="0035552E" w:rsidRDefault="000F4970" w:rsidP="000F4970">
      <w:pPr>
        <w:shd w:val="clear" w:color="auto" w:fill="FFFFFF"/>
        <w:spacing w:after="0" w:line="240" w:lineRule="auto"/>
        <w:rPr>
          <w:rFonts w:ascii="Arial" w:eastAsia="Times New Roman" w:hAnsi="Arial" w:cs="Arial"/>
          <w:sz w:val="20"/>
          <w:szCs w:val="20"/>
        </w:rPr>
      </w:pPr>
    </w:p>
    <w:p w14:paraId="41ED2F9A" w14:textId="1BE77837" w:rsidR="000F4970" w:rsidRPr="0035552E" w:rsidRDefault="000F4970" w:rsidP="000F4970">
      <w:pPr>
        <w:shd w:val="clear" w:color="auto" w:fill="FFFFFF"/>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71552" behindDoc="0" locked="0" layoutInCell="1" allowOverlap="1" wp14:anchorId="535692C2" wp14:editId="3B48FF88">
                <wp:simplePos x="0" y="0"/>
                <wp:positionH relativeFrom="column">
                  <wp:posOffset>6385560</wp:posOffset>
                </wp:positionH>
                <wp:positionV relativeFrom="paragraph">
                  <wp:posOffset>-1843405</wp:posOffset>
                </wp:positionV>
                <wp:extent cx="346710" cy="10325735"/>
                <wp:effectExtent l="0" t="0" r="15240" b="18415"/>
                <wp:wrapNone/>
                <wp:docPr id="24" name="Rectangle 2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0BE37" w14:textId="77777777" w:rsidR="000F4970" w:rsidRPr="00BA68B8" w:rsidRDefault="000F4970" w:rsidP="000F4970">
                            <w:pPr>
                              <w:spacing w:after="0" w:line="240" w:lineRule="auto"/>
                              <w:rPr>
                                <w:rFonts w:ascii="Arial" w:hAnsi="Arial" w:cs="Arial"/>
                                <w:b/>
                                <w:color w:val="FFFFFF" w:themeColor="background1"/>
                                <w:sz w:val="20"/>
                                <w:szCs w:val="20"/>
                              </w:rPr>
                            </w:pPr>
                            <w:r w:rsidRPr="000F4970">
                              <w:rPr>
                                <w:rFonts w:ascii="Arial" w:hAnsi="Arial" w:cs="Arial"/>
                                <w:b/>
                                <w:bCs/>
                                <w:color w:val="FFFFFF" w:themeColor="background1"/>
                                <w:sz w:val="20"/>
                                <w:szCs w:val="20"/>
                              </w:rPr>
                              <w:t>Bad Faith Trademark Cases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692C2" id="Rectangle 24" o:spid="_x0000_s1030" style="position:absolute;left:0;text-align:left;margin-left:502.8pt;margin-top:-145.1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" fillcolor="#00b39c" strokecolor="#00b39c" strokeweight="0">
                <v:textbox style="layout-flow:vertical">
                  <w:txbxContent>
                    <w:p w14:paraId="72F0BE37" w14:textId="77777777" w:rsidR="000F4970" w:rsidRPr="00BA68B8" w:rsidRDefault="000F4970" w:rsidP="000F4970">
                      <w:pPr>
                        <w:spacing w:after="0" w:line="240" w:lineRule="auto"/>
                        <w:rPr>
                          <w:rFonts w:ascii="Arial" w:hAnsi="Arial" w:cs="Arial"/>
                          <w:b/>
                          <w:color w:val="FFFFFF" w:themeColor="background1"/>
                          <w:sz w:val="20"/>
                          <w:szCs w:val="20"/>
                        </w:rPr>
                      </w:pPr>
                      <w:r w:rsidRPr="000F4970">
                        <w:rPr>
                          <w:rFonts w:ascii="Arial" w:hAnsi="Arial" w:cs="Arial"/>
                          <w:b/>
                          <w:bCs/>
                          <w:color w:val="FFFFFF" w:themeColor="background1"/>
                          <w:sz w:val="20"/>
                          <w:szCs w:val="20"/>
                        </w:rPr>
                        <w:t>Bad Faith Trademark Cases in Vietnam</w:t>
                      </w:r>
                    </w:p>
                  </w:txbxContent>
                </v:textbox>
              </v:rect>
            </w:pict>
          </mc:Fallback>
        </mc:AlternateContent>
      </w:r>
      <w:r w:rsidRPr="0035552E">
        <w:rPr>
          <w:rFonts w:ascii="Arial" w:eastAsia="Times New Roman" w:hAnsi="Arial" w:cs="Arial"/>
          <w:i/>
          <w:iCs/>
          <w:sz w:val="20"/>
          <w:szCs w:val="20"/>
          <w:bdr w:val="none" w:sz="0" w:space="0" w:color="auto" w:frame="1"/>
        </w:rPr>
        <w:t>[Executive summary]:</w:t>
      </w:r>
      <w:r w:rsidRPr="0035552E">
        <w:rPr>
          <w:rFonts w:ascii="Arial" w:eastAsia="Times New Roman" w:hAnsi="Arial" w:cs="Arial"/>
          <w:b/>
          <w:bCs/>
          <w:sz w:val="20"/>
          <w:szCs w:val="20"/>
          <w:bdr w:val="none" w:sz="0" w:space="0" w:color="auto" w:frame="1"/>
        </w:rPr>
        <w:t xml:space="preserve"> </w:t>
      </w:r>
      <w:r w:rsidRPr="0035552E">
        <w:rPr>
          <w:rFonts w:ascii="Arial" w:hAnsi="Arial" w:cs="Arial"/>
          <w:sz w:val="20"/>
          <w:szCs w:val="20"/>
        </w:rPr>
        <w:t>Cao Thanh Hai, a Vietnamese natural person, applied to register the mark “EVELINE COSMETICS, Device” for the goods in Class 03 (</w:t>
      </w:r>
      <w:r>
        <w:rPr>
          <w:rFonts w:ascii="Arial" w:hAnsi="Arial" w:cs="Arial"/>
          <w:sz w:val="20"/>
          <w:szCs w:val="20"/>
        </w:rPr>
        <w:t>cosmetics</w:t>
      </w:r>
      <w:r w:rsidRPr="0035552E">
        <w:rPr>
          <w:rFonts w:ascii="Arial" w:hAnsi="Arial" w:cs="Arial"/>
          <w:sz w:val="20"/>
          <w:szCs w:val="20"/>
        </w:rPr>
        <w:t>). Przedsiebiorstwo Produkcyjno-Handlowe "EVELINE COSMETICS", a Polish company which engages in manufacturing a wide range of makeup, facial and body care products, founded in 1983, the company's products are now available in more than 70 countries around the world. Upon identifying the potential infringement represented by the trademark application, Eveline Cosmetics engaged KENFOX IP &amp; Law Office to execute a Notice of Opposition against the registration, safeguarding its esteemed brand and its international market presence.</w:t>
      </w:r>
    </w:p>
    <w:p w14:paraId="43480AAD" w14:textId="77777777" w:rsidR="000F4970" w:rsidRPr="0035552E" w:rsidRDefault="000F4970" w:rsidP="000F4970">
      <w:pPr>
        <w:shd w:val="clear" w:color="auto" w:fill="FFFFFF"/>
        <w:spacing w:after="0" w:line="240" w:lineRule="auto"/>
        <w:rPr>
          <w:rFonts w:ascii="Arial" w:eastAsia="Times New Roman" w:hAnsi="Arial" w:cs="Arial"/>
          <w:sz w:val="20"/>
          <w:szCs w:val="20"/>
        </w:rPr>
      </w:pPr>
    </w:p>
    <w:tbl>
      <w:tblPr>
        <w:tblStyle w:val="TableGrid"/>
        <w:tblW w:w="0" w:type="auto"/>
        <w:tblLook w:val="04A0" w:firstRow="1" w:lastRow="0" w:firstColumn="1" w:lastColumn="0" w:noHBand="0" w:noVBand="1"/>
      </w:tblPr>
      <w:tblGrid>
        <w:gridCol w:w="2772"/>
        <w:gridCol w:w="6857"/>
      </w:tblGrid>
      <w:tr w:rsidR="000F4970" w:rsidRPr="0035552E" w14:paraId="2C36A24B" w14:textId="77777777" w:rsidTr="001B7AAC">
        <w:tc>
          <w:tcPr>
            <w:tcW w:w="3595" w:type="dxa"/>
          </w:tcPr>
          <w:p w14:paraId="3DCE5F9F" w14:textId="77777777" w:rsidR="000F4970" w:rsidRPr="0035552E" w:rsidRDefault="000F4970" w:rsidP="001B7AAC">
            <w:pPr>
              <w:rPr>
                <w:rFonts w:ascii="Arial" w:eastAsia="Times New Roman" w:hAnsi="Arial" w:cs="Arial"/>
                <w:b/>
                <w:bCs/>
                <w:sz w:val="20"/>
                <w:szCs w:val="20"/>
              </w:rPr>
            </w:pPr>
            <w:r w:rsidRPr="0035552E">
              <w:rPr>
                <w:rFonts w:ascii="Arial" w:eastAsia="Times New Roman" w:hAnsi="Arial" w:cs="Arial"/>
                <w:b/>
                <w:bCs/>
                <w:sz w:val="20"/>
                <w:szCs w:val="20"/>
              </w:rPr>
              <w:t>Category</w:t>
            </w:r>
          </w:p>
        </w:tc>
        <w:tc>
          <w:tcPr>
            <w:tcW w:w="9355" w:type="dxa"/>
          </w:tcPr>
          <w:p w14:paraId="31372942" w14:textId="77777777" w:rsidR="000F4970" w:rsidRPr="0035552E" w:rsidRDefault="000F4970" w:rsidP="001B7AAC">
            <w:pPr>
              <w:rPr>
                <w:rFonts w:ascii="Arial" w:eastAsia="Times New Roman" w:hAnsi="Arial" w:cs="Arial"/>
                <w:b/>
                <w:bCs/>
                <w:sz w:val="20"/>
                <w:szCs w:val="20"/>
              </w:rPr>
            </w:pPr>
            <w:r w:rsidRPr="0035552E">
              <w:rPr>
                <w:rFonts w:ascii="Arial" w:eastAsia="Times New Roman" w:hAnsi="Arial" w:cs="Arial"/>
                <w:b/>
                <w:bCs/>
                <w:sz w:val="20"/>
                <w:szCs w:val="20"/>
              </w:rPr>
              <w:t>Details</w:t>
            </w:r>
          </w:p>
        </w:tc>
      </w:tr>
      <w:tr w:rsidR="000F4970" w:rsidRPr="0035552E" w14:paraId="499E8043" w14:textId="77777777" w:rsidTr="001B7AAC">
        <w:tc>
          <w:tcPr>
            <w:tcW w:w="3595" w:type="dxa"/>
          </w:tcPr>
          <w:p w14:paraId="46FCDE81"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Applied-for t</w:t>
            </w:r>
            <w:r w:rsidRPr="004C7C59">
              <w:rPr>
                <w:rFonts w:ascii="Arial" w:eastAsia="Times New Roman" w:hAnsi="Arial" w:cs="Arial"/>
                <w:sz w:val="20"/>
                <w:szCs w:val="20"/>
              </w:rPr>
              <w:t>rademark</w:t>
            </w:r>
          </w:p>
        </w:tc>
        <w:tc>
          <w:tcPr>
            <w:tcW w:w="9355" w:type="dxa"/>
          </w:tcPr>
          <w:p w14:paraId="6DF0CABC" w14:textId="77777777" w:rsidR="000F4970" w:rsidRPr="0035552E" w:rsidRDefault="000F4970" w:rsidP="001B7AAC">
            <w:pPr>
              <w:rPr>
                <w:rFonts w:ascii="Arial" w:eastAsia="Times New Roman" w:hAnsi="Arial" w:cs="Arial"/>
                <w:sz w:val="20"/>
                <w:szCs w:val="20"/>
              </w:rPr>
            </w:pPr>
            <w:r w:rsidRPr="0035552E">
              <w:rPr>
                <w:rFonts w:ascii="Arial" w:hAnsi="Arial" w:cs="Arial"/>
                <w:b/>
                <w:bCs/>
                <w:noProof/>
                <w:sz w:val="20"/>
                <w:szCs w:val="20"/>
              </w:rPr>
              <w:drawing>
                <wp:inline distT="0" distB="0" distL="0" distR="0" wp14:anchorId="6F35E41E" wp14:editId="017D4DA3">
                  <wp:extent cx="1173480" cy="310515"/>
                  <wp:effectExtent l="0" t="0" r="7620" b="0"/>
                  <wp:docPr id="20" name="Picture 20" descr="Description: https://ipplatform.gov.vn:88/TM_PIC_LOCATION/2010_2010/11/17567141Pictu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3531517662591297671Picture 1" descr="Description: https://ipplatform.gov.vn:88/TM_PIC_LOCATION/2010_2010/11/17567141Pictu001.jp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173480" cy="310515"/>
                          </a:xfrm>
                          <a:prstGeom prst="rect">
                            <a:avLst/>
                          </a:prstGeom>
                          <a:noFill/>
                          <a:ln>
                            <a:noFill/>
                          </a:ln>
                        </pic:spPr>
                      </pic:pic>
                    </a:graphicData>
                  </a:graphic>
                </wp:inline>
              </w:drawing>
            </w:r>
          </w:p>
        </w:tc>
      </w:tr>
      <w:tr w:rsidR="000F4970" w:rsidRPr="0035552E" w14:paraId="14BCE778" w14:textId="77777777" w:rsidTr="001B7AAC">
        <w:tc>
          <w:tcPr>
            <w:tcW w:w="3595" w:type="dxa"/>
          </w:tcPr>
          <w:p w14:paraId="60AB6ED1"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Class &amp; goods</w:t>
            </w:r>
          </w:p>
        </w:tc>
        <w:tc>
          <w:tcPr>
            <w:tcW w:w="9355" w:type="dxa"/>
          </w:tcPr>
          <w:p w14:paraId="2BC73805"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03 (</w:t>
            </w:r>
            <w:r>
              <w:rPr>
                <w:rFonts w:ascii="Arial" w:eastAsia="Times New Roman" w:hAnsi="Arial" w:cs="Arial"/>
                <w:sz w:val="20"/>
                <w:szCs w:val="20"/>
              </w:rPr>
              <w:t>cosmetic</w:t>
            </w:r>
            <w:r w:rsidRPr="0035552E">
              <w:rPr>
                <w:rFonts w:ascii="Arial" w:eastAsia="Times New Roman" w:hAnsi="Arial" w:cs="Arial"/>
                <w:sz w:val="20"/>
                <w:szCs w:val="20"/>
              </w:rPr>
              <w:t>)</w:t>
            </w:r>
          </w:p>
        </w:tc>
      </w:tr>
      <w:tr w:rsidR="000F4970" w:rsidRPr="0035552E" w14:paraId="2796984F" w14:textId="77777777" w:rsidTr="001B7AAC">
        <w:tc>
          <w:tcPr>
            <w:tcW w:w="3595" w:type="dxa"/>
          </w:tcPr>
          <w:p w14:paraId="2E089D4B" w14:textId="77777777" w:rsidR="000F4970" w:rsidRPr="0035552E" w:rsidRDefault="000F4970" w:rsidP="001B7AAC">
            <w:pPr>
              <w:rPr>
                <w:rFonts w:ascii="Arial" w:eastAsia="Times New Roman" w:hAnsi="Arial" w:cs="Arial"/>
                <w:sz w:val="20"/>
                <w:szCs w:val="20"/>
              </w:rPr>
            </w:pPr>
            <w:r w:rsidRPr="004C7C59">
              <w:rPr>
                <w:rFonts w:ascii="Arial" w:eastAsia="Times New Roman" w:hAnsi="Arial" w:cs="Arial"/>
                <w:sz w:val="20"/>
                <w:szCs w:val="20"/>
              </w:rPr>
              <w:t>Application No.</w:t>
            </w:r>
          </w:p>
        </w:tc>
        <w:tc>
          <w:tcPr>
            <w:tcW w:w="9355" w:type="dxa"/>
          </w:tcPr>
          <w:p w14:paraId="1B8710A7"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4-2010-22897</w:t>
            </w:r>
          </w:p>
        </w:tc>
      </w:tr>
      <w:tr w:rsidR="000F4970" w:rsidRPr="0035552E" w14:paraId="3FE10CA5" w14:textId="77777777" w:rsidTr="001B7AAC">
        <w:tc>
          <w:tcPr>
            <w:tcW w:w="3595" w:type="dxa"/>
          </w:tcPr>
          <w:p w14:paraId="575DC6AB"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Applicant</w:t>
            </w:r>
          </w:p>
        </w:tc>
        <w:tc>
          <w:tcPr>
            <w:tcW w:w="9355" w:type="dxa"/>
          </w:tcPr>
          <w:p w14:paraId="439B8243"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Cao Thanh Hai</w:t>
            </w:r>
          </w:p>
        </w:tc>
      </w:tr>
      <w:tr w:rsidR="000F4970" w:rsidRPr="0035552E" w14:paraId="794F730C" w14:textId="77777777" w:rsidTr="001B7AAC">
        <w:tc>
          <w:tcPr>
            <w:tcW w:w="3595" w:type="dxa"/>
          </w:tcPr>
          <w:p w14:paraId="37AEFAA5"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Genuine trademark owner</w:t>
            </w:r>
          </w:p>
        </w:tc>
        <w:tc>
          <w:tcPr>
            <w:tcW w:w="9355" w:type="dxa"/>
          </w:tcPr>
          <w:p w14:paraId="4ED26A93"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Przedsiebiorstwo Produkcyjno-Handlowe "EVELINE COSMETICS"</w:t>
            </w:r>
          </w:p>
        </w:tc>
      </w:tr>
      <w:tr w:rsidR="000F4970" w:rsidRPr="0035552E" w14:paraId="2645968B" w14:textId="77777777" w:rsidTr="001B7AAC">
        <w:tc>
          <w:tcPr>
            <w:tcW w:w="3595" w:type="dxa"/>
          </w:tcPr>
          <w:p w14:paraId="77FD97E8"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Action</w:t>
            </w:r>
          </w:p>
        </w:tc>
        <w:tc>
          <w:tcPr>
            <w:tcW w:w="9355" w:type="dxa"/>
          </w:tcPr>
          <w:p w14:paraId="56B9858F" w14:textId="77777777" w:rsidR="000F4970" w:rsidRPr="0035552E" w:rsidRDefault="000F4970" w:rsidP="001B7AAC">
            <w:pPr>
              <w:rPr>
                <w:rFonts w:ascii="Arial" w:eastAsia="Times New Roman" w:hAnsi="Arial" w:cs="Arial"/>
                <w:sz w:val="20"/>
                <w:szCs w:val="20"/>
              </w:rPr>
            </w:pPr>
            <w:r w:rsidRPr="004C7C59">
              <w:rPr>
                <w:rFonts w:ascii="Arial" w:eastAsia="Times New Roman" w:hAnsi="Arial" w:cs="Arial"/>
                <w:sz w:val="20"/>
                <w:szCs w:val="20"/>
              </w:rPr>
              <w:t>Filing a Notice of Opposition</w:t>
            </w:r>
          </w:p>
        </w:tc>
      </w:tr>
      <w:tr w:rsidR="000F4970" w:rsidRPr="0035552E" w14:paraId="7873A176" w14:textId="77777777" w:rsidTr="001B7AAC">
        <w:tc>
          <w:tcPr>
            <w:tcW w:w="3595" w:type="dxa"/>
          </w:tcPr>
          <w:p w14:paraId="56AD12EF" w14:textId="77777777" w:rsidR="000F4970" w:rsidRPr="0035552E" w:rsidRDefault="000F4970" w:rsidP="001B7AAC">
            <w:pPr>
              <w:rPr>
                <w:rFonts w:ascii="Arial" w:eastAsia="Times New Roman" w:hAnsi="Arial" w:cs="Arial"/>
                <w:sz w:val="20"/>
                <w:szCs w:val="20"/>
              </w:rPr>
            </w:pPr>
            <w:r w:rsidRPr="0035552E">
              <w:rPr>
                <w:rFonts w:ascii="Arial" w:eastAsia="Times New Roman" w:hAnsi="Arial" w:cs="Arial"/>
                <w:sz w:val="20"/>
                <w:szCs w:val="20"/>
              </w:rPr>
              <w:t>Legal ground</w:t>
            </w:r>
          </w:p>
        </w:tc>
        <w:tc>
          <w:tcPr>
            <w:tcW w:w="9355" w:type="dxa"/>
          </w:tcPr>
          <w:p w14:paraId="48BC3CC1" w14:textId="77777777" w:rsidR="000F4970" w:rsidRPr="0035552E" w:rsidRDefault="000F4970" w:rsidP="001B7AAC">
            <w:pPr>
              <w:rPr>
                <w:rFonts w:ascii="Arial" w:hAnsi="Arial" w:cs="Arial"/>
                <w:sz w:val="20"/>
                <w:szCs w:val="20"/>
                <w:shd w:val="clear" w:color="auto" w:fill="FFFFFF"/>
              </w:rPr>
            </w:pPr>
            <w:r w:rsidRPr="0035552E">
              <w:rPr>
                <w:rFonts w:ascii="Arial" w:hAnsi="Arial" w:cs="Arial"/>
                <w:sz w:val="20"/>
                <w:szCs w:val="20"/>
                <w:shd w:val="clear" w:color="auto" w:fill="FFFFFF"/>
              </w:rPr>
              <w:t>Article 74.2(g) of Vietnam’s IP Law (i.e., confusingly similar to a widely used and recognized trademark of others)</w:t>
            </w:r>
          </w:p>
        </w:tc>
      </w:tr>
      <w:tr w:rsidR="000F4970" w:rsidRPr="0035552E" w14:paraId="61496F35" w14:textId="77777777" w:rsidTr="001B7AAC">
        <w:tc>
          <w:tcPr>
            <w:tcW w:w="3595" w:type="dxa"/>
          </w:tcPr>
          <w:p w14:paraId="0706148C" w14:textId="77777777" w:rsidR="000F4970" w:rsidRPr="0035552E" w:rsidRDefault="000F4970" w:rsidP="001B7AAC">
            <w:pPr>
              <w:rPr>
                <w:rFonts w:ascii="Arial" w:eastAsia="Times New Roman" w:hAnsi="Arial" w:cs="Arial"/>
                <w:sz w:val="20"/>
                <w:szCs w:val="20"/>
              </w:rPr>
            </w:pPr>
            <w:r w:rsidRPr="004C7C59">
              <w:rPr>
                <w:rFonts w:ascii="Arial" w:eastAsia="Times New Roman" w:hAnsi="Arial" w:cs="Arial"/>
                <w:sz w:val="20"/>
                <w:szCs w:val="20"/>
              </w:rPr>
              <w:t xml:space="preserve">Initial </w:t>
            </w:r>
            <w:r w:rsidRPr="0035552E">
              <w:rPr>
                <w:rFonts w:ascii="Arial" w:eastAsia="Times New Roman" w:hAnsi="Arial" w:cs="Arial"/>
                <w:sz w:val="20"/>
                <w:szCs w:val="20"/>
              </w:rPr>
              <w:t>r</w:t>
            </w:r>
            <w:r w:rsidRPr="004C7C59">
              <w:rPr>
                <w:rFonts w:ascii="Arial" w:eastAsia="Times New Roman" w:hAnsi="Arial" w:cs="Arial"/>
                <w:sz w:val="20"/>
                <w:szCs w:val="20"/>
              </w:rPr>
              <w:t>uling</w:t>
            </w:r>
          </w:p>
        </w:tc>
        <w:tc>
          <w:tcPr>
            <w:tcW w:w="9355" w:type="dxa"/>
          </w:tcPr>
          <w:p w14:paraId="0F4EE8E6" w14:textId="77777777" w:rsidR="000F4970" w:rsidRPr="0035552E" w:rsidRDefault="000F4970" w:rsidP="001B7AAC">
            <w:pPr>
              <w:rPr>
                <w:rFonts w:ascii="Arial" w:eastAsia="Times New Roman" w:hAnsi="Arial" w:cs="Arial"/>
                <w:sz w:val="20"/>
                <w:szCs w:val="20"/>
              </w:rPr>
            </w:pPr>
            <w:r w:rsidRPr="0035552E">
              <w:rPr>
                <w:rFonts w:ascii="Arial" w:hAnsi="Arial" w:cs="Arial"/>
                <w:sz w:val="20"/>
                <w:szCs w:val="20"/>
                <w:shd w:val="clear" w:color="auto" w:fill="FFFFFF"/>
              </w:rPr>
              <w:t>After a thorough review of the evidence and arguments presented during the opposition proceedings, IP VIETNAM rendered a decision to refuse the trademark registration. The refusal was grounded on Article 74.2(g) of the legal ground which served as the basis for rejecting the application.</w:t>
            </w:r>
          </w:p>
        </w:tc>
      </w:tr>
    </w:tbl>
    <w:p w14:paraId="593C322C" w14:textId="77777777" w:rsidR="000F4970" w:rsidRDefault="000F4970" w:rsidP="000F4970">
      <w:pPr>
        <w:shd w:val="clear" w:color="auto" w:fill="FFFFFF"/>
        <w:spacing w:after="0" w:line="240" w:lineRule="auto"/>
        <w:rPr>
          <w:rFonts w:ascii="Arial" w:eastAsia="Times New Roman" w:hAnsi="Arial" w:cs="Arial"/>
          <w:sz w:val="20"/>
          <w:szCs w:val="20"/>
        </w:rPr>
      </w:pPr>
    </w:p>
    <w:p w14:paraId="755DADBA" w14:textId="77777777" w:rsidR="000F4970" w:rsidRPr="00A4174F" w:rsidRDefault="000F4970" w:rsidP="000F4970">
      <w:pPr>
        <w:shd w:val="clear" w:color="auto" w:fill="FFFFFF"/>
        <w:spacing w:after="0" w:line="240" w:lineRule="auto"/>
        <w:jc w:val="both"/>
        <w:rPr>
          <w:rFonts w:ascii="Arial" w:eastAsia="Times New Roman" w:hAnsi="Arial" w:cs="Arial"/>
          <w:b/>
          <w:bCs/>
          <w:color w:val="2F5496" w:themeColor="accent1" w:themeShade="BF"/>
        </w:rPr>
      </w:pPr>
      <w:r w:rsidRPr="00A4174F">
        <w:rPr>
          <w:rFonts w:ascii="Arial" w:eastAsia="Times New Roman" w:hAnsi="Arial" w:cs="Arial"/>
          <w:b/>
          <w:bCs/>
          <w:color w:val="2F5496" w:themeColor="accent1" w:themeShade="BF"/>
        </w:rPr>
        <w:t>Final thoughts</w:t>
      </w:r>
    </w:p>
    <w:p w14:paraId="25DEC06B" w14:textId="77777777" w:rsidR="000F4970" w:rsidRDefault="000F4970" w:rsidP="000F4970">
      <w:pPr>
        <w:shd w:val="clear" w:color="auto" w:fill="FFFFFF"/>
        <w:spacing w:after="0" w:line="240" w:lineRule="auto"/>
        <w:jc w:val="both"/>
        <w:rPr>
          <w:rFonts w:ascii="Arial" w:hAnsi="Arial" w:cs="Arial"/>
          <w:sz w:val="20"/>
          <w:szCs w:val="20"/>
          <w:shd w:val="clear" w:color="auto" w:fill="FFFFFF"/>
        </w:rPr>
      </w:pPr>
    </w:p>
    <w:p w14:paraId="6D88887C" w14:textId="77777777" w:rsidR="000F4970" w:rsidRDefault="000F4970" w:rsidP="000F4970">
      <w:pPr>
        <w:shd w:val="clear" w:color="auto" w:fill="FFFFFF"/>
        <w:spacing w:after="0" w:line="240" w:lineRule="auto"/>
        <w:jc w:val="both"/>
        <w:rPr>
          <w:rFonts w:ascii="Arial" w:hAnsi="Arial" w:cs="Arial"/>
          <w:sz w:val="20"/>
          <w:szCs w:val="20"/>
          <w:shd w:val="clear" w:color="auto" w:fill="FFFFFF"/>
        </w:rPr>
      </w:pPr>
      <w:r w:rsidRPr="004E25AA">
        <w:rPr>
          <w:rFonts w:ascii="Arial" w:hAnsi="Arial" w:cs="Arial"/>
          <w:sz w:val="20"/>
          <w:szCs w:val="20"/>
          <w:shd w:val="clear" w:color="auto" w:fill="FFFFFF"/>
        </w:rPr>
        <w:t xml:space="preserve">Even if a third party has filed for registration of the trademark in advance, the door to regaining trademark rights is not closed. </w:t>
      </w:r>
      <w:r w:rsidRPr="00A4174F">
        <w:rPr>
          <w:rFonts w:ascii="Arial" w:hAnsi="Arial" w:cs="Arial"/>
          <w:sz w:val="20"/>
          <w:szCs w:val="20"/>
          <w:shd w:val="clear" w:color="auto" w:fill="FFFFFF"/>
        </w:rPr>
        <w:t xml:space="preserve">However, there is no guaranteed path to victory. </w:t>
      </w:r>
      <w:hyperlink r:id="rId19" w:history="1">
        <w:r w:rsidRPr="003B47BB">
          <w:rPr>
            <w:rStyle w:val="Hyperlink"/>
            <w:rFonts w:ascii="Arial" w:hAnsi="Arial" w:cs="Arial"/>
            <w:sz w:val="20"/>
            <w:szCs w:val="20"/>
            <w:shd w:val="clear" w:color="auto" w:fill="FFFFFF"/>
          </w:rPr>
          <w:t>Trademark squatters in Vietnam</w:t>
        </w:r>
      </w:hyperlink>
      <w:r w:rsidRPr="00A4174F">
        <w:rPr>
          <w:rFonts w:ascii="Arial" w:hAnsi="Arial" w:cs="Arial"/>
          <w:sz w:val="20"/>
          <w:szCs w:val="20"/>
          <w:shd w:val="clear" w:color="auto" w:fill="FFFFFF"/>
        </w:rPr>
        <w:t xml:space="preserve"> are becoming increasingly professional and are employing very sophisticated tactics. As a result, replicating the victories achieved in past cases will not be straightforward, and the battle against trademark squatting is expected to become increasingly fierce.</w:t>
      </w:r>
    </w:p>
    <w:p w14:paraId="29E8DF0E" w14:textId="77777777" w:rsidR="000F4970" w:rsidRDefault="000F4970" w:rsidP="000F4970">
      <w:pPr>
        <w:shd w:val="clear" w:color="auto" w:fill="FFFFFF"/>
        <w:spacing w:after="0" w:line="240" w:lineRule="auto"/>
        <w:jc w:val="both"/>
        <w:rPr>
          <w:rFonts w:ascii="Arial" w:hAnsi="Arial" w:cs="Arial"/>
          <w:sz w:val="20"/>
          <w:szCs w:val="20"/>
          <w:shd w:val="clear" w:color="auto" w:fill="FFFFFF"/>
        </w:rPr>
      </w:pPr>
    </w:p>
    <w:p w14:paraId="65C1E60A" w14:textId="77777777" w:rsidR="000F4970" w:rsidRDefault="000F4970" w:rsidP="000F497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Contact KENFOX IP &amp; Law Office in case you require our professional advice on bad faith trademark issues in Vietnam. </w:t>
      </w:r>
    </w:p>
    <w:p w14:paraId="3417F9CB" w14:textId="4D81F80A" w:rsidR="00F17DF3" w:rsidRDefault="00F17DF3" w:rsidP="003B5350">
      <w:pPr>
        <w:shd w:val="clear" w:color="auto" w:fill="FFFFFF"/>
        <w:spacing w:after="0" w:line="240" w:lineRule="auto"/>
        <w:jc w:val="both"/>
        <w:rPr>
          <w:rFonts w:ascii="Arial" w:eastAsia="Times New Roman" w:hAnsi="Arial" w:cs="Arial"/>
          <w:sz w:val="20"/>
          <w:szCs w:val="20"/>
        </w:rPr>
      </w:pP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NLc3+R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20"/>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955CE" w14:textId="77777777" w:rsidR="002760AF" w:rsidRDefault="002760AF">
      <w:pPr>
        <w:spacing w:after="0" w:line="240" w:lineRule="auto"/>
      </w:pPr>
      <w:r>
        <w:separator/>
      </w:r>
    </w:p>
  </w:endnote>
  <w:endnote w:type="continuationSeparator" w:id="0">
    <w:p w14:paraId="65E01584" w14:textId="77777777" w:rsidR="002760AF" w:rsidRDefault="00276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4E9EE644" w:rsidR="00C62253" w:rsidRPr="00FF7ED4" w:rsidRDefault="002760AF">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0F4970">
              <w:rPr>
                <w:rFonts w:ascii="Arial" w:hAnsi="Arial" w:cs="Arial"/>
                <w:b/>
                <w:sz w:val="18"/>
                <w:szCs w:val="18"/>
              </w:rPr>
              <w:t xml:space="preserve">Page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276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22F46" w14:textId="77777777" w:rsidR="002760AF" w:rsidRDefault="002760AF">
      <w:pPr>
        <w:spacing w:after="0" w:line="240" w:lineRule="auto"/>
      </w:pPr>
      <w:r>
        <w:separator/>
      </w:r>
    </w:p>
  </w:footnote>
  <w:footnote w:type="continuationSeparator" w:id="0">
    <w:p w14:paraId="4A10C2A6" w14:textId="77777777" w:rsidR="002760AF" w:rsidRDefault="00276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610A0"/>
    <w:multiLevelType w:val="hybridMultilevel"/>
    <w:tmpl w:val="F9528C12"/>
    <w:lvl w:ilvl="0" w:tplc="0409000D">
      <w:start w:val="1"/>
      <w:numFmt w:val="bullet"/>
      <w:lvlText w:val=""/>
      <w:lvlJc w:val="left"/>
      <w:pPr>
        <w:ind w:left="1441" w:hanging="360"/>
      </w:pPr>
      <w:rPr>
        <w:rFonts w:ascii="Wingdings" w:hAnsi="Wingdings"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50493"/>
    <w:multiLevelType w:val="hybridMultilevel"/>
    <w:tmpl w:val="479EF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67DB2"/>
    <w:multiLevelType w:val="hybridMultilevel"/>
    <w:tmpl w:val="09F6781E"/>
    <w:lvl w:ilvl="0" w:tplc="9B442696">
      <w:start w:val="1"/>
      <w:numFmt w:val="lowerRoman"/>
      <w:lvlText w:val="(%1)"/>
      <w:lvlJc w:val="left"/>
      <w:pPr>
        <w:ind w:left="720" w:hanging="360"/>
      </w:pPr>
      <w:rPr>
        <w:rFonts w:ascii="Arial" w:hAnsi="Arial" w:cs="Arial" w:hint="default"/>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03CD0"/>
    <w:multiLevelType w:val="hybridMultilevel"/>
    <w:tmpl w:val="B95ED984"/>
    <w:lvl w:ilvl="0" w:tplc="53240A04">
      <w:start w:val="1"/>
      <w:numFmt w:val="lowerRoman"/>
      <w:lvlText w:val="(%1)"/>
      <w:lvlJc w:val="left"/>
      <w:pPr>
        <w:ind w:left="720" w:hanging="360"/>
      </w:pPr>
      <w:rPr>
        <w:rFonts w:ascii="Arial" w:hAnsi="Arial" w:cs="Arial" w:hint="default"/>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87959"/>
    <w:multiLevelType w:val="hybridMultilevel"/>
    <w:tmpl w:val="17823588"/>
    <w:lvl w:ilvl="0" w:tplc="FC26C370">
      <w:start w:val="1"/>
      <w:numFmt w:val="lowerRoman"/>
      <w:lvlText w:val="(%1)"/>
      <w:lvlJc w:val="left"/>
      <w:pPr>
        <w:ind w:left="720" w:hanging="360"/>
      </w:pPr>
      <w:rPr>
        <w:rFonts w:ascii="Arial" w:hAnsi="Arial" w:cs="Arial" w:hint="default"/>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0"/>
  </w:num>
  <w:num w:numId="4">
    <w:abstractNumId w:val="17"/>
  </w:num>
  <w:num w:numId="5">
    <w:abstractNumId w:val="12"/>
  </w:num>
  <w:num w:numId="6">
    <w:abstractNumId w:val="0"/>
  </w:num>
  <w:num w:numId="7">
    <w:abstractNumId w:val="4"/>
  </w:num>
  <w:num w:numId="8">
    <w:abstractNumId w:val="20"/>
  </w:num>
  <w:num w:numId="9">
    <w:abstractNumId w:val="6"/>
  </w:num>
  <w:num w:numId="10">
    <w:abstractNumId w:val="3"/>
  </w:num>
  <w:num w:numId="11">
    <w:abstractNumId w:val="16"/>
  </w:num>
  <w:num w:numId="12">
    <w:abstractNumId w:val="1"/>
  </w:num>
  <w:num w:numId="13">
    <w:abstractNumId w:val="11"/>
  </w:num>
  <w:num w:numId="14">
    <w:abstractNumId w:val="15"/>
  </w:num>
  <w:num w:numId="15">
    <w:abstractNumId w:val="7"/>
  </w:num>
  <w:num w:numId="16">
    <w:abstractNumId w:val="21"/>
  </w:num>
  <w:num w:numId="17">
    <w:abstractNumId w:val="2"/>
  </w:num>
  <w:num w:numId="18">
    <w:abstractNumId w:val="8"/>
  </w:num>
  <w:num w:numId="19">
    <w:abstractNumId w:val="14"/>
  </w:num>
  <w:num w:numId="20">
    <w:abstractNumId w:val="19"/>
  </w:num>
  <w:num w:numId="21">
    <w:abstractNumId w:val="13"/>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F4970"/>
    <w:rsid w:val="00126CC7"/>
    <w:rsid w:val="001515AA"/>
    <w:rsid w:val="001A5024"/>
    <w:rsid w:val="001D1CDD"/>
    <w:rsid w:val="001E0868"/>
    <w:rsid w:val="00215B22"/>
    <w:rsid w:val="00234C16"/>
    <w:rsid w:val="002753DD"/>
    <w:rsid w:val="002760AF"/>
    <w:rsid w:val="002B63C0"/>
    <w:rsid w:val="00300104"/>
    <w:rsid w:val="0032315D"/>
    <w:rsid w:val="0033574A"/>
    <w:rsid w:val="003756D4"/>
    <w:rsid w:val="00397534"/>
    <w:rsid w:val="003B5350"/>
    <w:rsid w:val="003D7C8C"/>
    <w:rsid w:val="003E03BE"/>
    <w:rsid w:val="004A1761"/>
    <w:rsid w:val="004D64BC"/>
    <w:rsid w:val="00531173"/>
    <w:rsid w:val="00576438"/>
    <w:rsid w:val="005A71C4"/>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B12E41"/>
    <w:rsid w:val="00C13ACF"/>
    <w:rsid w:val="00CA3F97"/>
    <w:rsid w:val="00CE035D"/>
    <w:rsid w:val="00D02775"/>
    <w:rsid w:val="00D03044"/>
    <w:rsid w:val="00D04B4E"/>
    <w:rsid w:val="00D417C1"/>
    <w:rsid w:val="00D645F2"/>
    <w:rsid w:val="00D75958"/>
    <w:rsid w:val="00D9190F"/>
    <w:rsid w:val="00E02884"/>
    <w:rsid w:val="00E8509E"/>
    <w:rsid w:val="00EB31BA"/>
    <w:rsid w:val="00EC12BB"/>
    <w:rsid w:val="00EC5B6B"/>
    <w:rsid w:val="00F17DF3"/>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how-to-successfully-argue-wide-use-evidence-in-trademark-opposition-and-cancellation-cases-in-vietnam" TargetMode="External"/><Relationship Id="rId13" Type="http://schemas.openxmlformats.org/officeDocument/2006/relationships/hyperlink" Target="https://kenfoxlaw.com/resolving-disputes-between-trade-names-and-trademarks-in-vietnam-how-to-proceed" TargetMode="External"/><Relationship Id="rId18" Type="http://schemas.openxmlformats.org/officeDocument/2006/relationships/image" Target="cid:178a9f1d1698546ed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enfoxlaw.com/bad-faith-malicious-a-legal-basis-for-trademark-opposition-or-invalidation-in-vietnam" TargetMode="External"/><Relationship Id="rId12" Type="http://schemas.openxmlformats.org/officeDocument/2006/relationships/hyperlink" Target="https://kenfoxlaw.com/invalidating-a-bad-faith-trademark-registration-in-vietnam"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kenfoxlaw.com/bad-faith-trademark-filing-registration" TargetMode="External"/><Relationship Id="rId19" Type="http://schemas.openxmlformats.org/officeDocument/2006/relationships/hyperlink" Target="https://kenfoxlaw.com/vi/dau-co-nhan-hieu-xu-huong-bao-dong-cho-cac-chu-doanh-nghiep-tai-viet-na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12</cp:revision>
  <cp:lastPrinted>2024-04-15T10:49:00Z</cp:lastPrinted>
  <dcterms:created xsi:type="dcterms:W3CDTF">2023-02-07T03:35:00Z</dcterms:created>
  <dcterms:modified xsi:type="dcterms:W3CDTF">2024-04-16T07:30:00Z</dcterms:modified>
</cp:coreProperties>
</file>