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FAEDC" w14:textId="77777777" w:rsidR="00F46BA4" w:rsidRDefault="0015574F" w:rsidP="0015574F">
      <w:pPr>
        <w:jc w:val="center"/>
        <w:rPr>
          <w:rFonts w:ascii="Arial" w:hAnsi="Arial" w:cs="Arial"/>
          <w:b/>
          <w:bCs/>
          <w:color w:val="C00000"/>
        </w:rPr>
      </w:pPr>
      <w:r w:rsidRPr="009B7499">
        <w:rPr>
          <w:rFonts w:ascii="Arial" w:hAnsi="Arial" w:cs="Arial"/>
          <w:b/>
          <w:bCs/>
          <w:color w:val="C00000"/>
        </w:rPr>
        <w:t xml:space="preserve">Trademark </w:t>
      </w:r>
      <w:r>
        <w:rPr>
          <w:rFonts w:ascii="Arial" w:hAnsi="Arial" w:cs="Arial"/>
          <w:b/>
          <w:bCs/>
          <w:color w:val="C00000"/>
        </w:rPr>
        <w:t>O</w:t>
      </w:r>
      <w:r w:rsidRPr="009B7499">
        <w:rPr>
          <w:rFonts w:ascii="Arial" w:hAnsi="Arial" w:cs="Arial"/>
          <w:b/>
          <w:bCs/>
          <w:color w:val="C00000"/>
        </w:rPr>
        <w:t>pposition</w:t>
      </w:r>
      <w:r>
        <w:rPr>
          <w:rFonts w:ascii="Arial" w:hAnsi="Arial" w:cs="Arial"/>
          <w:b/>
          <w:bCs/>
          <w:color w:val="C00000"/>
        </w:rPr>
        <w:t>s</w:t>
      </w:r>
      <w:r w:rsidRPr="009B7499">
        <w:rPr>
          <w:rFonts w:ascii="Arial" w:hAnsi="Arial" w:cs="Arial"/>
          <w:b/>
          <w:bCs/>
          <w:color w:val="C00000"/>
        </w:rPr>
        <w:t xml:space="preserve"> </w:t>
      </w:r>
      <w:r>
        <w:rPr>
          <w:rFonts w:ascii="Arial" w:hAnsi="Arial" w:cs="Arial"/>
          <w:b/>
          <w:bCs/>
          <w:color w:val="C00000"/>
        </w:rPr>
        <w:t>I</w:t>
      </w:r>
      <w:r w:rsidRPr="009B7499">
        <w:rPr>
          <w:rFonts w:ascii="Arial" w:hAnsi="Arial" w:cs="Arial"/>
          <w:b/>
          <w:bCs/>
          <w:color w:val="C00000"/>
        </w:rPr>
        <w:t xml:space="preserve">n Vietnam: </w:t>
      </w:r>
    </w:p>
    <w:p w14:paraId="57E47BE8" w14:textId="7B3E7C33" w:rsidR="0015574F" w:rsidRPr="009B7499" w:rsidRDefault="0015574F" w:rsidP="0015574F">
      <w:pPr>
        <w:jc w:val="center"/>
        <w:rPr>
          <w:rFonts w:ascii="Arial" w:hAnsi="Arial" w:cs="Arial"/>
          <w:b/>
          <w:bCs/>
          <w:color w:val="C00000"/>
        </w:rPr>
      </w:pPr>
      <w:r w:rsidRPr="009B7499">
        <w:rPr>
          <w:rFonts w:ascii="Arial" w:hAnsi="Arial" w:cs="Arial"/>
          <w:b/>
          <w:bCs/>
          <w:color w:val="C00000"/>
        </w:rPr>
        <w:t xml:space="preserve">What Grounds </w:t>
      </w:r>
      <w:r>
        <w:rPr>
          <w:rFonts w:ascii="Arial" w:hAnsi="Arial" w:cs="Arial"/>
          <w:b/>
          <w:bCs/>
          <w:color w:val="C00000"/>
        </w:rPr>
        <w:t>A</w:t>
      </w:r>
      <w:r w:rsidRPr="009B7499">
        <w:rPr>
          <w:rFonts w:ascii="Arial" w:hAnsi="Arial" w:cs="Arial"/>
          <w:b/>
          <w:bCs/>
          <w:color w:val="C00000"/>
        </w:rPr>
        <w:t xml:space="preserve">nd How To </w:t>
      </w:r>
      <w:r w:rsidR="00F46BA4">
        <w:rPr>
          <w:rFonts w:ascii="Arial" w:hAnsi="Arial" w:cs="Arial"/>
          <w:b/>
          <w:bCs/>
          <w:color w:val="C00000"/>
        </w:rPr>
        <w:t xml:space="preserve">Effectively </w:t>
      </w:r>
      <w:r w:rsidRPr="009B7499">
        <w:rPr>
          <w:rFonts w:ascii="Arial" w:hAnsi="Arial" w:cs="Arial"/>
          <w:b/>
          <w:bCs/>
          <w:color w:val="C00000"/>
        </w:rPr>
        <w:t>Apply</w:t>
      </w:r>
      <w:r w:rsidR="00D70261">
        <w:rPr>
          <w:rFonts w:ascii="Arial" w:hAnsi="Arial" w:cs="Arial"/>
          <w:b/>
          <w:bCs/>
          <w:color w:val="C00000"/>
        </w:rPr>
        <w:t>?</w:t>
      </w:r>
    </w:p>
    <w:p w14:paraId="737257FB" w14:textId="77777777" w:rsidR="0015574F" w:rsidRDefault="0015574F" w:rsidP="0015574F">
      <w:pPr>
        <w:rPr>
          <w:rFonts w:ascii="Arial" w:hAnsi="Arial" w:cs="Arial"/>
          <w:b/>
          <w:bCs/>
          <w:sz w:val="20"/>
          <w:szCs w:val="20"/>
        </w:rPr>
      </w:pPr>
    </w:p>
    <w:p w14:paraId="04A63D2F" w14:textId="77777777" w:rsidR="0015574F" w:rsidRDefault="0015574F" w:rsidP="0015574F">
      <w:pPr>
        <w:jc w:val="both"/>
        <w:rPr>
          <w:rFonts w:ascii="Arial" w:hAnsi="Arial" w:cs="Arial"/>
          <w:i/>
          <w:iCs/>
          <w:sz w:val="20"/>
          <w:szCs w:val="20"/>
        </w:rPr>
      </w:pPr>
      <w:r>
        <w:rPr>
          <w:rFonts w:ascii="Arial" w:hAnsi="Arial" w:cs="Arial"/>
          <w:i/>
          <w:iCs/>
          <w:sz w:val="20"/>
          <w:szCs w:val="20"/>
        </w:rPr>
        <w:t>I</w:t>
      </w:r>
      <w:r w:rsidRPr="00172C96">
        <w:rPr>
          <w:rFonts w:ascii="Arial" w:hAnsi="Arial" w:cs="Arial"/>
          <w:i/>
          <w:iCs/>
          <w:sz w:val="20"/>
          <w:szCs w:val="20"/>
        </w:rPr>
        <w:t>ntellectual property rights (</w:t>
      </w:r>
      <w:r w:rsidRPr="00172C96">
        <w:rPr>
          <w:rFonts w:ascii="Arial" w:hAnsi="Arial" w:cs="Arial"/>
          <w:b/>
          <w:bCs/>
          <w:i/>
          <w:iCs/>
          <w:sz w:val="20"/>
          <w:szCs w:val="20"/>
        </w:rPr>
        <w:t>IPR</w:t>
      </w:r>
      <w:r w:rsidRPr="00172C96">
        <w:rPr>
          <w:rFonts w:ascii="Arial" w:hAnsi="Arial" w:cs="Arial"/>
          <w:i/>
          <w:iCs/>
          <w:sz w:val="20"/>
          <w:szCs w:val="20"/>
        </w:rPr>
        <w:t>) holders never want their competitors to register a mark closely resembling their own marks. This is to mitigate legal risks, particularly in preventing confusion among consumers and deterring unauthorized trademark use or free riding on their goodwill associated with their mark.</w:t>
      </w:r>
    </w:p>
    <w:p w14:paraId="7885F76E" w14:textId="77777777" w:rsidR="0015574F" w:rsidRDefault="0015574F" w:rsidP="0015574F">
      <w:pPr>
        <w:jc w:val="both"/>
        <w:rPr>
          <w:rFonts w:ascii="Arial" w:hAnsi="Arial" w:cs="Arial"/>
          <w:i/>
          <w:iCs/>
          <w:sz w:val="20"/>
          <w:szCs w:val="20"/>
        </w:rPr>
      </w:pPr>
    </w:p>
    <w:p w14:paraId="4672427A" w14:textId="09F4DC0F" w:rsidR="0015574F" w:rsidRPr="00DB6954" w:rsidRDefault="0015574F" w:rsidP="0015574F">
      <w:pPr>
        <w:jc w:val="both"/>
        <w:rPr>
          <w:rFonts w:ascii="Arial" w:hAnsi="Arial" w:cs="Arial"/>
          <w:i/>
          <w:iCs/>
          <w:sz w:val="20"/>
          <w:szCs w:val="20"/>
        </w:rPr>
      </w:pPr>
      <w:r w:rsidRPr="00DB6954">
        <w:rPr>
          <w:rFonts w:ascii="Arial" w:hAnsi="Arial" w:cs="Arial"/>
          <w:i/>
          <w:iCs/>
          <w:sz w:val="20"/>
          <w:szCs w:val="20"/>
        </w:rPr>
        <w:t>To mitigate these risks and safeguard the value of their brands and intellectual property in Vietnam, intellectual property rights holders must clearly understand the legal grounds for exercising the right to</w:t>
      </w:r>
      <w:r w:rsidR="00020F0B">
        <w:rPr>
          <w:rFonts w:ascii="Arial" w:hAnsi="Arial" w:cs="Arial"/>
          <w:i/>
          <w:iCs/>
          <w:sz w:val="20"/>
          <w:szCs w:val="20"/>
        </w:rPr>
        <w:t xml:space="preserve"> </w:t>
      </w:r>
      <w:r>
        <w:rPr>
          <w:rFonts w:ascii="Arial" w:hAnsi="Arial" w:cs="Arial"/>
          <w:i/>
          <w:iCs/>
          <w:sz w:val="20"/>
          <w:szCs w:val="20"/>
        </w:rPr>
        <w:t>”oppose”</w:t>
      </w:r>
      <w:r w:rsidRPr="00DB6954">
        <w:rPr>
          <w:rFonts w:ascii="Arial" w:hAnsi="Arial" w:cs="Arial"/>
          <w:i/>
          <w:iCs/>
          <w:sz w:val="20"/>
          <w:szCs w:val="20"/>
        </w:rPr>
        <w:t xml:space="preserve"> a trademark or to provide 'third-p</w:t>
      </w:r>
      <w:bookmarkStart w:id="0" w:name="_GoBack"/>
      <w:bookmarkEnd w:id="0"/>
      <w:r w:rsidRPr="00DB6954">
        <w:rPr>
          <w:rFonts w:ascii="Arial" w:hAnsi="Arial" w:cs="Arial"/>
          <w:i/>
          <w:iCs/>
          <w:sz w:val="20"/>
          <w:szCs w:val="20"/>
        </w:rPr>
        <w:t xml:space="preserve">arty </w:t>
      </w:r>
      <w:r>
        <w:rPr>
          <w:rFonts w:ascii="Arial" w:hAnsi="Arial" w:cs="Arial"/>
          <w:i/>
          <w:iCs/>
          <w:sz w:val="20"/>
          <w:szCs w:val="20"/>
        </w:rPr>
        <w:t>observation”</w:t>
      </w:r>
      <w:r w:rsidRPr="00DB6954">
        <w:rPr>
          <w:rFonts w:ascii="Arial" w:hAnsi="Arial" w:cs="Arial"/>
          <w:i/>
          <w:iCs/>
          <w:sz w:val="20"/>
          <w:szCs w:val="20"/>
        </w:rPr>
        <w:t>, as outlined in Articles 112 and 112a of the amended 2022 IP Law. What legal grounds justify opposing a trademark application? How can these legal bases be effectively understood and applied? KENFOX IP &amp; Law Office will offer analysis, interpretation, and practical examples to assist intellectual property rights holders in effectively utilizing the trademark opposition mechanism and third-party observation mechanisms in Vietnam to protect their legal rights.</w:t>
      </w:r>
    </w:p>
    <w:p w14:paraId="286D248E" w14:textId="77777777" w:rsidR="0015574F" w:rsidRDefault="0015574F" w:rsidP="0015574F">
      <w:pPr>
        <w:jc w:val="both"/>
        <w:rPr>
          <w:rFonts w:ascii="Arial" w:hAnsi="Arial" w:cs="Arial"/>
          <w:sz w:val="20"/>
          <w:szCs w:val="20"/>
        </w:rPr>
      </w:pPr>
    </w:p>
    <w:p w14:paraId="7E201414" w14:textId="77777777" w:rsidR="0015574F" w:rsidRPr="00CE3EF6" w:rsidRDefault="0015574F" w:rsidP="0015574F">
      <w:pPr>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1. Identical Or Confusingly Similar Trademarks</w:t>
      </w:r>
    </w:p>
    <w:p w14:paraId="2FAF41D2" w14:textId="77777777" w:rsidR="0015574F" w:rsidRPr="006D5966" w:rsidRDefault="0015574F" w:rsidP="0015574F">
      <w:pPr>
        <w:rPr>
          <w:rFonts w:ascii="Arial" w:hAnsi="Arial" w:cs="Arial"/>
          <w:sz w:val="20"/>
          <w:szCs w:val="20"/>
        </w:rPr>
      </w:pPr>
    </w:p>
    <w:p w14:paraId="717CE72F" w14:textId="77777777" w:rsidR="0015574F" w:rsidRPr="006D5966" w:rsidRDefault="0015574F" w:rsidP="0015574F">
      <w:pPr>
        <w:jc w:val="both"/>
        <w:rPr>
          <w:rFonts w:ascii="Arial" w:hAnsi="Arial" w:cs="Arial"/>
          <w:sz w:val="20"/>
          <w:szCs w:val="20"/>
        </w:rPr>
      </w:pPr>
      <w:r w:rsidRPr="0015574F">
        <w:rPr>
          <w:rFonts w:ascii="Arial" w:hAnsi="Arial" w:cs="Arial"/>
          <w:b/>
          <w:bCs/>
          <w:sz w:val="22"/>
          <w:szCs w:val="22"/>
        </w:rPr>
        <w:t>Earlier registered marks</w:t>
      </w:r>
      <w:r w:rsidRPr="006D5966">
        <w:rPr>
          <w:rFonts w:ascii="Arial" w:hAnsi="Arial" w:cs="Arial"/>
          <w:b/>
          <w:bCs/>
          <w:sz w:val="20"/>
          <w:szCs w:val="20"/>
        </w:rPr>
        <w:t xml:space="preserve"> </w:t>
      </w:r>
      <w:r w:rsidRPr="0015574F">
        <w:rPr>
          <w:rFonts w:ascii="Arial" w:hAnsi="Arial" w:cs="Arial"/>
          <w:sz w:val="20"/>
          <w:szCs w:val="20"/>
        </w:rPr>
        <w:t>(</w:t>
      </w:r>
      <w:r w:rsidRPr="0015574F">
        <w:rPr>
          <w:rFonts w:ascii="Arial" w:hAnsi="Arial" w:cs="Arial"/>
          <w:i/>
          <w:iCs/>
          <w:sz w:val="20"/>
          <w:szCs w:val="20"/>
        </w:rPr>
        <w:t>Article 74.2e</w:t>
      </w:r>
      <w:r w:rsidRPr="0015574F">
        <w:rPr>
          <w:rFonts w:ascii="Arial" w:hAnsi="Arial" w:cs="Arial"/>
          <w:sz w:val="20"/>
          <w:szCs w:val="20"/>
        </w:rPr>
        <w:t>):</w:t>
      </w:r>
      <w:r w:rsidRPr="006D5966">
        <w:rPr>
          <w:rFonts w:ascii="Arial" w:hAnsi="Arial" w:cs="Arial"/>
          <w:sz w:val="20"/>
          <w:szCs w:val="20"/>
        </w:rPr>
        <w:t xml:space="preserve"> A trademark application can be opposed if it is identical or confusingly similar to an earlier mark that is already protected for identical or similar goods or services. This includes marks registered in Vietnam and those filed under international treaties to which Vietnam is a party. </w:t>
      </w:r>
    </w:p>
    <w:p w14:paraId="5FBDE45E" w14:textId="77777777" w:rsidR="0015574F" w:rsidRPr="006D5966" w:rsidRDefault="0015574F" w:rsidP="0015574F">
      <w:pPr>
        <w:jc w:val="both"/>
        <w:rPr>
          <w:rFonts w:ascii="Arial" w:hAnsi="Arial" w:cs="Arial"/>
          <w:sz w:val="20"/>
          <w:szCs w:val="20"/>
        </w:rPr>
      </w:pPr>
    </w:p>
    <w:p w14:paraId="12EED260" w14:textId="77777777" w:rsidR="0015574F" w:rsidRPr="006D5966" w:rsidRDefault="0015574F" w:rsidP="0015574F">
      <w:pPr>
        <w:jc w:val="both"/>
        <w:rPr>
          <w:rFonts w:ascii="Arial" w:hAnsi="Arial" w:cs="Arial"/>
          <w:sz w:val="20"/>
          <w:szCs w:val="20"/>
        </w:rPr>
      </w:pPr>
      <w:r w:rsidRPr="0015574F">
        <w:rPr>
          <w:rFonts w:ascii="Arial" w:hAnsi="Arial" w:cs="Arial"/>
          <w:b/>
          <w:bCs/>
          <w:sz w:val="22"/>
          <w:szCs w:val="22"/>
        </w:rPr>
        <w:t>Earlier filing date</w:t>
      </w:r>
      <w:r w:rsidRPr="006D5966">
        <w:rPr>
          <w:rFonts w:ascii="Arial" w:hAnsi="Arial" w:cs="Arial"/>
          <w:b/>
          <w:bCs/>
          <w:sz w:val="20"/>
          <w:szCs w:val="20"/>
        </w:rPr>
        <w:t xml:space="preserve"> </w:t>
      </w:r>
      <w:r w:rsidRPr="0015574F">
        <w:rPr>
          <w:rFonts w:ascii="Arial" w:hAnsi="Arial" w:cs="Arial"/>
          <w:sz w:val="20"/>
          <w:szCs w:val="20"/>
        </w:rPr>
        <w:t>(</w:t>
      </w:r>
      <w:r w:rsidRPr="0015574F">
        <w:rPr>
          <w:rFonts w:ascii="Arial" w:hAnsi="Arial" w:cs="Arial"/>
          <w:i/>
          <w:iCs/>
          <w:sz w:val="20"/>
          <w:szCs w:val="20"/>
        </w:rPr>
        <w:t>Article 90.2</w:t>
      </w:r>
      <w:r w:rsidRPr="0015574F">
        <w:rPr>
          <w:rFonts w:ascii="Arial" w:hAnsi="Arial" w:cs="Arial"/>
          <w:sz w:val="20"/>
          <w:szCs w:val="20"/>
        </w:rPr>
        <w:t xml:space="preserve">): </w:t>
      </w:r>
      <w:r w:rsidRPr="006D5966">
        <w:rPr>
          <w:rFonts w:ascii="Arial" w:hAnsi="Arial" w:cs="Arial"/>
          <w:sz w:val="20"/>
          <w:szCs w:val="20"/>
        </w:rPr>
        <w:t>Article 90.2 embodies the first-to-file principle, which accords protection to the trademark application that has the earliest filing date, provided it meets all the requisite conditions for protection. Therefore, if you have filed a trademark application before another party's similar or identical trademark application, you may use this as a ground to oppose their application.</w:t>
      </w:r>
    </w:p>
    <w:p w14:paraId="6F0979C0" w14:textId="77777777" w:rsidR="0015574F" w:rsidRPr="006D5966" w:rsidRDefault="0015574F" w:rsidP="0015574F">
      <w:pPr>
        <w:jc w:val="both"/>
        <w:rPr>
          <w:rFonts w:ascii="Arial" w:hAnsi="Arial" w:cs="Arial"/>
          <w:b/>
          <w:bCs/>
          <w:sz w:val="20"/>
          <w:szCs w:val="20"/>
        </w:rPr>
      </w:pPr>
    </w:p>
    <w:p w14:paraId="5990A286" w14:textId="2D4AB7EC" w:rsidR="0015574F" w:rsidRDefault="0015574F" w:rsidP="00020F0B">
      <w:pPr>
        <w:jc w:val="both"/>
        <w:rPr>
          <w:rFonts w:ascii="Arial" w:hAnsi="Arial" w:cs="Arial"/>
          <w:sz w:val="20"/>
          <w:szCs w:val="20"/>
        </w:rPr>
      </w:pPr>
      <w:r w:rsidRPr="0015574F">
        <w:rPr>
          <w:rFonts w:ascii="Arial" w:hAnsi="Arial" w:cs="Arial"/>
          <w:b/>
          <w:bCs/>
          <w:sz w:val="22"/>
          <w:szCs w:val="22"/>
        </w:rPr>
        <w:t>Widely-used and recognized unregistered marks</w:t>
      </w:r>
      <w:r w:rsidRPr="006D5966">
        <w:rPr>
          <w:rFonts w:ascii="Arial" w:hAnsi="Arial" w:cs="Arial"/>
          <w:b/>
          <w:bCs/>
          <w:sz w:val="20"/>
          <w:szCs w:val="20"/>
        </w:rPr>
        <w:t xml:space="preserve"> </w:t>
      </w:r>
      <w:r w:rsidRPr="0015574F">
        <w:rPr>
          <w:rFonts w:ascii="Arial" w:hAnsi="Arial" w:cs="Arial"/>
          <w:sz w:val="20"/>
          <w:szCs w:val="20"/>
        </w:rPr>
        <w:t>(</w:t>
      </w:r>
      <w:r w:rsidRPr="0015574F">
        <w:rPr>
          <w:rFonts w:ascii="Arial" w:hAnsi="Arial" w:cs="Arial"/>
          <w:i/>
          <w:iCs/>
          <w:sz w:val="20"/>
          <w:szCs w:val="20"/>
        </w:rPr>
        <w:t>Article 74.2g</w:t>
      </w:r>
      <w:r w:rsidRPr="0015574F">
        <w:rPr>
          <w:rFonts w:ascii="Arial" w:hAnsi="Arial" w:cs="Arial"/>
          <w:sz w:val="20"/>
          <w:szCs w:val="20"/>
        </w:rPr>
        <w:t>):</w:t>
      </w:r>
      <w:r w:rsidRPr="006D5966">
        <w:rPr>
          <w:rFonts w:ascii="Arial" w:hAnsi="Arial" w:cs="Arial"/>
          <w:sz w:val="20"/>
          <w:szCs w:val="20"/>
        </w:rPr>
        <w:t xml:space="preserve"> </w:t>
      </w:r>
      <w:r w:rsidRPr="00DB6954">
        <w:rPr>
          <w:rFonts w:ascii="Arial" w:hAnsi="Arial" w:cs="Arial"/>
          <w:sz w:val="20"/>
          <w:szCs w:val="20"/>
        </w:rPr>
        <w:t xml:space="preserve">Unregistered trademarks that have become </w:t>
      </w:r>
      <w:hyperlink r:id="rId5" w:history="1">
        <w:r w:rsidRPr="00D43E51">
          <w:rPr>
            <w:rStyle w:val="Hyperlink"/>
            <w:rFonts w:ascii="Arial" w:hAnsi="Arial" w:cs="Arial"/>
            <w:sz w:val="20"/>
            <w:szCs w:val="20"/>
          </w:rPr>
          <w:t>widely recognized</w:t>
        </w:r>
      </w:hyperlink>
      <w:r w:rsidRPr="00DB6954">
        <w:rPr>
          <w:rFonts w:ascii="Arial" w:hAnsi="Arial" w:cs="Arial"/>
          <w:sz w:val="20"/>
          <w:szCs w:val="20"/>
        </w:rPr>
        <w:t xml:space="preserve"> can serve as grounds to oppose another's earlier trademark application</w:t>
      </w:r>
      <w:r>
        <w:rPr>
          <w:rFonts w:ascii="Arial" w:hAnsi="Arial" w:cs="Arial"/>
          <w:sz w:val="20"/>
          <w:szCs w:val="20"/>
        </w:rPr>
        <w:t>.</w:t>
      </w:r>
    </w:p>
    <w:p w14:paraId="1CB7DE8D" w14:textId="77777777" w:rsidR="0015574F" w:rsidRPr="006D5966" w:rsidRDefault="0015574F" w:rsidP="0015574F">
      <w:pPr>
        <w:rPr>
          <w:rFonts w:ascii="Arial" w:hAnsi="Arial" w:cs="Arial"/>
          <w:sz w:val="20"/>
          <w:szCs w:val="20"/>
        </w:rPr>
      </w:pPr>
    </w:p>
    <w:p w14:paraId="64BBCBD4" w14:textId="4059D23F" w:rsidR="0015574F" w:rsidRDefault="0015574F" w:rsidP="0015574F">
      <w:pPr>
        <w:rPr>
          <w:rFonts w:ascii="Arial" w:hAnsi="Arial" w:cs="Arial"/>
          <w:sz w:val="20"/>
          <w:szCs w:val="20"/>
        </w:rPr>
      </w:pPr>
      <w:r>
        <w:rPr>
          <w:rFonts w:ascii="Arial" w:hAnsi="Arial" w:cs="Arial"/>
          <w:sz w:val="20"/>
          <w:szCs w:val="20"/>
        </w:rPr>
        <w:t>An opposition based on Article 74.2g</w:t>
      </w:r>
      <w:r w:rsidRPr="006D5966">
        <w:rPr>
          <w:rFonts w:ascii="Arial" w:hAnsi="Arial" w:cs="Arial"/>
          <w:sz w:val="20"/>
          <w:szCs w:val="20"/>
        </w:rPr>
        <w:t xml:space="preserve"> </w:t>
      </w:r>
      <w:r>
        <w:rPr>
          <w:rFonts w:ascii="Arial" w:hAnsi="Arial" w:cs="Arial"/>
          <w:sz w:val="20"/>
          <w:szCs w:val="20"/>
        </w:rPr>
        <w:t>illustrated in the below table</w:t>
      </w:r>
      <w:r w:rsidRPr="006D5966">
        <w:rPr>
          <w:rFonts w:ascii="Arial" w:hAnsi="Arial" w:cs="Arial"/>
          <w:sz w:val="20"/>
          <w:szCs w:val="20"/>
        </w:rPr>
        <w:t>:</w:t>
      </w:r>
    </w:p>
    <w:p w14:paraId="6A43CA27" w14:textId="77777777" w:rsidR="0015574F" w:rsidRPr="006D5966" w:rsidRDefault="0015574F" w:rsidP="0015574F">
      <w:pP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15574F" w:rsidRPr="006D5966" w14:paraId="1F991AA1" w14:textId="77777777" w:rsidTr="0062163A">
        <w:tc>
          <w:tcPr>
            <w:tcW w:w="4675" w:type="dxa"/>
          </w:tcPr>
          <w:p w14:paraId="45AF29D0" w14:textId="77777777" w:rsidR="0015574F" w:rsidRPr="006D5966" w:rsidRDefault="0015574F" w:rsidP="0015574F">
            <w:pPr>
              <w:jc w:val="center"/>
              <w:rPr>
                <w:rFonts w:ascii="Arial" w:hAnsi="Arial" w:cs="Arial"/>
                <w:b/>
                <w:bCs/>
                <w:sz w:val="20"/>
                <w:szCs w:val="20"/>
              </w:rPr>
            </w:pPr>
            <w:r w:rsidRPr="006D5966">
              <w:rPr>
                <w:rFonts w:ascii="Arial" w:hAnsi="Arial" w:cs="Arial"/>
                <w:b/>
                <w:bCs/>
                <w:sz w:val="20"/>
                <w:szCs w:val="20"/>
              </w:rPr>
              <w:t>The adverse party’s applied-for mark</w:t>
            </w:r>
          </w:p>
        </w:tc>
        <w:tc>
          <w:tcPr>
            <w:tcW w:w="4675" w:type="dxa"/>
          </w:tcPr>
          <w:p w14:paraId="6BE3DCC3" w14:textId="77777777" w:rsidR="0015574F" w:rsidRPr="006D5966" w:rsidRDefault="0015574F" w:rsidP="0015574F">
            <w:pPr>
              <w:jc w:val="center"/>
              <w:rPr>
                <w:rFonts w:ascii="Arial" w:hAnsi="Arial" w:cs="Arial"/>
                <w:b/>
                <w:bCs/>
                <w:sz w:val="20"/>
                <w:szCs w:val="20"/>
              </w:rPr>
            </w:pPr>
            <w:r w:rsidRPr="006D5966">
              <w:rPr>
                <w:rFonts w:ascii="Arial" w:hAnsi="Arial" w:cs="Arial"/>
                <w:b/>
                <w:bCs/>
                <w:sz w:val="20"/>
                <w:szCs w:val="20"/>
              </w:rPr>
              <w:t>KENFOX client’s mark</w:t>
            </w:r>
          </w:p>
        </w:tc>
      </w:tr>
      <w:tr w:rsidR="0015574F" w:rsidRPr="006D5966" w14:paraId="5ABD00A1" w14:textId="77777777" w:rsidTr="0062163A">
        <w:tc>
          <w:tcPr>
            <w:tcW w:w="4675" w:type="dxa"/>
          </w:tcPr>
          <w:p w14:paraId="4F9F5AA5" w14:textId="77777777" w:rsidR="0015574F" w:rsidRPr="006D5966" w:rsidRDefault="0015574F" w:rsidP="0015574F">
            <w:pPr>
              <w:jc w:val="center"/>
              <w:rPr>
                <w:rFonts w:ascii="Arial" w:hAnsi="Arial" w:cs="Arial"/>
                <w:sz w:val="20"/>
                <w:szCs w:val="20"/>
              </w:rPr>
            </w:pPr>
            <w:r w:rsidRPr="006D5966">
              <w:rPr>
                <w:rFonts w:ascii="Arial" w:hAnsi="Arial" w:cs="Arial"/>
                <w:noProof/>
                <w:sz w:val="20"/>
                <w:szCs w:val="20"/>
                <w:lang w:val="fr-FR"/>
              </w:rPr>
              <w:drawing>
                <wp:inline distT="0" distB="0" distL="0" distR="0" wp14:anchorId="2F5812C7" wp14:editId="60D5336F">
                  <wp:extent cx="9715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647825"/>
                          </a:xfrm>
                          <a:prstGeom prst="rect">
                            <a:avLst/>
                          </a:prstGeom>
                          <a:noFill/>
                          <a:ln>
                            <a:noFill/>
                          </a:ln>
                        </pic:spPr>
                      </pic:pic>
                    </a:graphicData>
                  </a:graphic>
                </wp:inline>
              </w:drawing>
            </w:r>
          </w:p>
        </w:tc>
        <w:tc>
          <w:tcPr>
            <w:tcW w:w="4675" w:type="dxa"/>
          </w:tcPr>
          <w:p w14:paraId="2F6542B6" w14:textId="77777777" w:rsidR="0015574F" w:rsidRPr="006D5966" w:rsidRDefault="0015574F" w:rsidP="0015574F">
            <w:pPr>
              <w:jc w:val="center"/>
              <w:rPr>
                <w:rFonts w:ascii="Arial" w:hAnsi="Arial" w:cs="Arial"/>
                <w:sz w:val="20"/>
                <w:szCs w:val="20"/>
              </w:rPr>
            </w:pPr>
            <w:r w:rsidRPr="006D5966">
              <w:rPr>
                <w:rFonts w:ascii="Arial" w:hAnsi="Arial" w:cs="Arial"/>
                <w:noProof/>
                <w:sz w:val="20"/>
                <w:szCs w:val="20"/>
              </w:rPr>
              <w:drawing>
                <wp:inline distT="0" distB="0" distL="0" distR="0" wp14:anchorId="6E230CAD" wp14:editId="51AA4381">
                  <wp:extent cx="96202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4" t="4420" r="8264" b="5524"/>
                          <a:stretch/>
                        </pic:blipFill>
                        <pic:spPr bwMode="auto">
                          <a:xfrm>
                            <a:off x="0" y="0"/>
                            <a:ext cx="962025" cy="15525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5574F" w:rsidRPr="006D5966" w14:paraId="45CE2F94" w14:textId="77777777" w:rsidTr="0022787B">
        <w:tc>
          <w:tcPr>
            <w:tcW w:w="9350" w:type="dxa"/>
            <w:gridSpan w:val="2"/>
          </w:tcPr>
          <w:p w14:paraId="55269FD2" w14:textId="06F3AC6C" w:rsidR="0015574F" w:rsidRPr="006D5966" w:rsidRDefault="0015574F" w:rsidP="0015574F">
            <w:pPr>
              <w:jc w:val="both"/>
              <w:rPr>
                <w:rFonts w:ascii="Arial" w:hAnsi="Arial" w:cs="Arial"/>
                <w:noProof/>
                <w:sz w:val="20"/>
                <w:szCs w:val="20"/>
              </w:rPr>
            </w:pPr>
            <w:r w:rsidRPr="006D5966">
              <w:rPr>
                <w:rFonts w:ascii="Arial" w:hAnsi="Arial" w:cs="Arial"/>
                <w:sz w:val="20"/>
                <w:szCs w:val="20"/>
              </w:rPr>
              <w:t xml:space="preserve">KENFOX achieved a successful opposition against the registration of the "HAINOZAL + figurative element" trademark. This opposition was grounded in the substantial use of our client's mark in commerce </w:t>
            </w:r>
            <w:r>
              <w:rPr>
                <w:rFonts w:ascii="Arial" w:hAnsi="Arial" w:cs="Arial"/>
                <w:sz w:val="20"/>
                <w:szCs w:val="20"/>
              </w:rPr>
              <w:t>in Vietnam</w:t>
            </w:r>
            <w:r w:rsidRPr="006D5966">
              <w:rPr>
                <w:rFonts w:ascii="Arial" w:hAnsi="Arial" w:cs="Arial"/>
                <w:sz w:val="20"/>
                <w:szCs w:val="20"/>
              </w:rPr>
              <w:t xml:space="preserve">, even though </w:t>
            </w:r>
            <w:r w:rsidRPr="006D5966">
              <w:rPr>
                <w:rFonts w:ascii="Arial" w:hAnsi="Arial" w:cs="Arial"/>
                <w:b/>
                <w:bCs/>
                <w:sz w:val="20"/>
                <w:szCs w:val="20"/>
              </w:rPr>
              <w:t>(</w:t>
            </w:r>
            <w:r>
              <w:rPr>
                <w:rFonts w:ascii="Arial" w:hAnsi="Arial" w:cs="Arial"/>
                <w:b/>
                <w:bCs/>
                <w:sz w:val="20"/>
                <w:szCs w:val="20"/>
              </w:rPr>
              <w:t>i</w:t>
            </w:r>
            <w:r w:rsidRPr="006D5966">
              <w:rPr>
                <w:rFonts w:ascii="Arial" w:hAnsi="Arial" w:cs="Arial"/>
                <w:b/>
                <w:bCs/>
                <w:sz w:val="20"/>
                <w:szCs w:val="20"/>
              </w:rPr>
              <w:t>)</w:t>
            </w:r>
            <w:r w:rsidRPr="006D5966">
              <w:rPr>
                <w:rFonts w:ascii="Arial" w:hAnsi="Arial" w:cs="Arial"/>
                <w:sz w:val="20"/>
                <w:szCs w:val="20"/>
              </w:rPr>
              <w:t xml:space="preserve"> the verbal element "HAINOZAL" of the adverse party’s mark did not present significant similarity to the verbal element “HAICNEAL” ofour client’s mark, and </w:t>
            </w:r>
            <w:r w:rsidRPr="006D5966">
              <w:rPr>
                <w:rFonts w:ascii="Arial" w:hAnsi="Arial" w:cs="Arial"/>
                <w:b/>
                <w:bCs/>
                <w:sz w:val="20"/>
                <w:szCs w:val="20"/>
              </w:rPr>
              <w:t>(</w:t>
            </w:r>
            <w:r>
              <w:rPr>
                <w:rFonts w:ascii="Arial" w:hAnsi="Arial" w:cs="Arial"/>
                <w:b/>
                <w:bCs/>
                <w:sz w:val="20"/>
                <w:szCs w:val="20"/>
              </w:rPr>
              <w:t>ii</w:t>
            </w:r>
            <w:r w:rsidRPr="006D5966">
              <w:rPr>
                <w:rFonts w:ascii="Arial" w:hAnsi="Arial" w:cs="Arial"/>
                <w:b/>
                <w:bCs/>
                <w:sz w:val="20"/>
                <w:szCs w:val="20"/>
              </w:rPr>
              <w:t xml:space="preserve">) </w:t>
            </w:r>
            <w:r w:rsidRPr="006D5966">
              <w:rPr>
                <w:rFonts w:ascii="Arial" w:hAnsi="Arial" w:cs="Arial"/>
                <w:sz w:val="20"/>
                <w:szCs w:val="20"/>
              </w:rPr>
              <w:t>the "figurative element" of our client's mark was not officially registered in Vietnam. In this particular case, the Intellectual Property Office of Vietnam (</w:t>
            </w:r>
            <w:r w:rsidRPr="006D5966">
              <w:rPr>
                <w:rFonts w:ascii="Arial" w:hAnsi="Arial" w:cs="Arial"/>
                <w:b/>
                <w:bCs/>
                <w:sz w:val="20"/>
                <w:szCs w:val="20"/>
              </w:rPr>
              <w:t>IP VIETNAM</w:t>
            </w:r>
            <w:r w:rsidRPr="006D5966">
              <w:rPr>
                <w:rFonts w:ascii="Arial" w:hAnsi="Arial" w:cs="Arial"/>
                <w:sz w:val="20"/>
                <w:szCs w:val="20"/>
              </w:rPr>
              <w:t>) concluded that, given the extensive commercial usage and broad recognition of our client's "HAICNEAL + figurative element" mark among Vietnamese consumers, it rejected the "figurative element" portion of the opposing party's application based on our opposition, in accordance with Article 74.2(g).</w:t>
            </w:r>
          </w:p>
        </w:tc>
      </w:tr>
    </w:tbl>
    <w:p w14:paraId="1FCE0964" w14:textId="77777777" w:rsidR="0015574F" w:rsidRPr="006D5966" w:rsidRDefault="0015574F" w:rsidP="0015574F">
      <w:pPr>
        <w:rPr>
          <w:rFonts w:ascii="Arial" w:hAnsi="Arial" w:cs="Arial"/>
          <w:sz w:val="20"/>
          <w:szCs w:val="20"/>
        </w:rPr>
      </w:pPr>
    </w:p>
    <w:p w14:paraId="3AEBB7FF" w14:textId="77777777" w:rsidR="0015574F" w:rsidRPr="006D5966" w:rsidRDefault="0015574F" w:rsidP="0015574F">
      <w:pPr>
        <w:jc w:val="both"/>
        <w:rPr>
          <w:rFonts w:ascii="Arial" w:hAnsi="Arial" w:cs="Arial"/>
          <w:sz w:val="20"/>
          <w:szCs w:val="20"/>
        </w:rPr>
      </w:pPr>
      <w:r w:rsidRPr="0015574F">
        <w:rPr>
          <w:rFonts w:ascii="Arial" w:hAnsi="Arial" w:cs="Arial"/>
          <w:b/>
          <w:bCs/>
          <w:sz w:val="22"/>
          <w:szCs w:val="22"/>
        </w:rPr>
        <w:t>Well-known marks</w:t>
      </w:r>
      <w:r w:rsidRPr="006D5966">
        <w:rPr>
          <w:rFonts w:ascii="Arial" w:hAnsi="Arial" w:cs="Arial"/>
          <w:b/>
          <w:bCs/>
          <w:sz w:val="20"/>
          <w:szCs w:val="20"/>
        </w:rPr>
        <w:t xml:space="preserve"> </w:t>
      </w:r>
      <w:r w:rsidRPr="0015574F">
        <w:rPr>
          <w:rFonts w:ascii="Arial" w:hAnsi="Arial" w:cs="Arial"/>
          <w:sz w:val="20"/>
          <w:szCs w:val="20"/>
        </w:rPr>
        <w:t>(</w:t>
      </w:r>
      <w:r w:rsidRPr="0015574F">
        <w:rPr>
          <w:rFonts w:ascii="Arial" w:hAnsi="Arial" w:cs="Arial"/>
          <w:i/>
          <w:iCs/>
          <w:sz w:val="20"/>
          <w:szCs w:val="20"/>
        </w:rPr>
        <w:t>Article 74.2i</w:t>
      </w:r>
      <w:r w:rsidRPr="0015574F">
        <w:rPr>
          <w:rFonts w:ascii="Arial" w:hAnsi="Arial" w:cs="Arial"/>
          <w:sz w:val="20"/>
          <w:szCs w:val="20"/>
        </w:rPr>
        <w:t>):</w:t>
      </w:r>
      <w:r w:rsidRPr="006D5966">
        <w:rPr>
          <w:rFonts w:ascii="Arial" w:hAnsi="Arial" w:cs="Arial"/>
          <w:sz w:val="20"/>
          <w:szCs w:val="20"/>
        </w:rPr>
        <w:t xml:space="preserve"> A well-known mark, as defined under Article 4.24, means a mark widely known by relevant members of the public throughout Vietnam’s territory. The owner of a well-known mark in Vietnam, regardless of its registration or unregistration, may file an opposition to a pending mark. </w:t>
      </w:r>
    </w:p>
    <w:p w14:paraId="7FFE9271" w14:textId="77777777" w:rsidR="0015574F" w:rsidRPr="006D5966" w:rsidRDefault="0015574F" w:rsidP="0015574F">
      <w:pPr>
        <w:jc w:val="both"/>
        <w:rPr>
          <w:rFonts w:ascii="Arial" w:hAnsi="Arial" w:cs="Arial"/>
          <w:sz w:val="20"/>
          <w:szCs w:val="20"/>
        </w:rPr>
      </w:pPr>
    </w:p>
    <w:p w14:paraId="6444ECF7" w14:textId="77777777" w:rsidR="0015574F" w:rsidRDefault="0015574F" w:rsidP="0015574F">
      <w:pPr>
        <w:jc w:val="both"/>
        <w:rPr>
          <w:rFonts w:ascii="Arial" w:hAnsi="Arial" w:cs="Arial"/>
          <w:sz w:val="20"/>
          <w:szCs w:val="20"/>
        </w:rPr>
      </w:pPr>
      <w:r w:rsidRPr="006D5966">
        <w:rPr>
          <w:rFonts w:ascii="Arial" w:hAnsi="Arial" w:cs="Arial"/>
          <w:sz w:val="20"/>
          <w:szCs w:val="20"/>
        </w:rPr>
        <w:t xml:space="preserve">When </w:t>
      </w:r>
      <w:r w:rsidRPr="00300F1B">
        <w:rPr>
          <w:rFonts w:ascii="Arial" w:hAnsi="Arial" w:cs="Arial"/>
          <w:sz w:val="20"/>
          <w:szCs w:val="20"/>
        </w:rPr>
        <w:t>challenging</w:t>
      </w:r>
      <w:r w:rsidRPr="006D5966">
        <w:rPr>
          <w:rFonts w:ascii="Arial" w:hAnsi="Arial" w:cs="Arial"/>
          <w:sz w:val="20"/>
          <w:szCs w:val="20"/>
        </w:rPr>
        <w:t xml:space="preserve"> a new trademark application under Article 74.2(i), the opposer must demonstrate that the well-known status of their mark pre-dates the filing of the new application. Additionally, they must show either potential confusion due to similarity (for similar goods/services) or potential dilution or unfair advantage (for dissimilar goods/services)</w:t>
      </w:r>
      <w:r>
        <w:rPr>
          <w:rFonts w:ascii="Arial" w:hAnsi="Arial" w:cs="Arial"/>
          <w:sz w:val="20"/>
          <w:szCs w:val="20"/>
        </w:rPr>
        <w:t xml:space="preserve">. </w:t>
      </w:r>
    </w:p>
    <w:p w14:paraId="43439992" w14:textId="77777777" w:rsidR="0015574F" w:rsidRDefault="0015574F" w:rsidP="0015574F">
      <w:pPr>
        <w:jc w:val="both"/>
        <w:rPr>
          <w:rFonts w:ascii="Arial" w:hAnsi="Arial" w:cs="Arial"/>
          <w:sz w:val="20"/>
          <w:szCs w:val="20"/>
        </w:rPr>
      </w:pPr>
    </w:p>
    <w:p w14:paraId="136747B7" w14:textId="77777777" w:rsidR="0015574F" w:rsidRPr="006D5966" w:rsidRDefault="0015574F" w:rsidP="0015574F">
      <w:pPr>
        <w:rPr>
          <w:rFonts w:ascii="Arial" w:hAnsi="Arial" w:cs="Arial"/>
          <w:sz w:val="20"/>
          <w:szCs w:val="20"/>
        </w:rPr>
      </w:pPr>
      <w:r>
        <w:rPr>
          <w:rFonts w:ascii="Arial" w:hAnsi="Arial" w:cs="Arial"/>
          <w:sz w:val="20"/>
          <w:szCs w:val="20"/>
        </w:rPr>
        <w:t>A trademark opposition based on well-known status of a mark is provided in</w:t>
      </w:r>
      <w:r w:rsidRPr="006D5966">
        <w:rPr>
          <w:rFonts w:ascii="Arial" w:hAnsi="Arial" w:cs="Arial"/>
          <w:sz w:val="20"/>
          <w:szCs w:val="20"/>
        </w:rPr>
        <w:t xml:space="preserve"> the table below:</w:t>
      </w:r>
    </w:p>
    <w:p w14:paraId="7C36EA81" w14:textId="77777777" w:rsidR="0015574F" w:rsidRPr="006D5966" w:rsidRDefault="0015574F" w:rsidP="0015574F">
      <w:pPr>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15574F" w:rsidRPr="006D5966" w14:paraId="3AF4592B" w14:textId="77777777" w:rsidTr="0062163A">
        <w:tc>
          <w:tcPr>
            <w:tcW w:w="4675" w:type="dxa"/>
          </w:tcPr>
          <w:p w14:paraId="61CF4B73" w14:textId="77777777" w:rsidR="0015574F" w:rsidRPr="006D5966" w:rsidRDefault="0015574F" w:rsidP="0015574F">
            <w:pPr>
              <w:jc w:val="center"/>
              <w:rPr>
                <w:rFonts w:ascii="Arial" w:hAnsi="Arial" w:cs="Arial"/>
                <w:b/>
                <w:bCs/>
                <w:sz w:val="20"/>
                <w:szCs w:val="20"/>
              </w:rPr>
            </w:pPr>
            <w:r w:rsidRPr="006D5966">
              <w:rPr>
                <w:rFonts w:ascii="Arial" w:hAnsi="Arial" w:cs="Arial"/>
                <w:b/>
                <w:bCs/>
                <w:sz w:val="20"/>
                <w:szCs w:val="20"/>
              </w:rPr>
              <w:t>The adverse party’s mark</w:t>
            </w:r>
          </w:p>
        </w:tc>
        <w:tc>
          <w:tcPr>
            <w:tcW w:w="4675" w:type="dxa"/>
          </w:tcPr>
          <w:p w14:paraId="688E6CE4" w14:textId="77777777" w:rsidR="0015574F" w:rsidRPr="006D5966" w:rsidRDefault="0015574F" w:rsidP="0015574F">
            <w:pPr>
              <w:jc w:val="center"/>
              <w:rPr>
                <w:rFonts w:ascii="Arial" w:hAnsi="Arial" w:cs="Arial"/>
                <w:b/>
                <w:bCs/>
                <w:sz w:val="20"/>
                <w:szCs w:val="20"/>
              </w:rPr>
            </w:pPr>
            <w:r w:rsidRPr="006D5966">
              <w:rPr>
                <w:rFonts w:ascii="Arial" w:hAnsi="Arial" w:cs="Arial"/>
                <w:b/>
                <w:bCs/>
                <w:sz w:val="20"/>
                <w:szCs w:val="20"/>
              </w:rPr>
              <w:t>The client’s mark</w:t>
            </w:r>
          </w:p>
        </w:tc>
      </w:tr>
      <w:tr w:rsidR="0015574F" w:rsidRPr="006D5966" w14:paraId="296EEFD6" w14:textId="77777777" w:rsidTr="0062163A">
        <w:tc>
          <w:tcPr>
            <w:tcW w:w="4675" w:type="dxa"/>
          </w:tcPr>
          <w:p w14:paraId="4B0DA781"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 xml:space="preserve">Trademark: </w:t>
            </w:r>
            <w:r w:rsidRPr="006D5966">
              <w:rPr>
                <w:rFonts w:ascii="Arial" w:hAnsi="Arial" w:cs="Arial"/>
                <w:noProof/>
                <w:sz w:val="20"/>
                <w:szCs w:val="20"/>
              </w:rPr>
              <w:drawing>
                <wp:inline distT="0" distB="0" distL="0" distR="0" wp14:anchorId="0BEC930B" wp14:editId="0DD1C50C">
                  <wp:extent cx="1181100" cy="2508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9365" cy="309954"/>
                          </a:xfrm>
                          <a:prstGeom prst="rect">
                            <a:avLst/>
                          </a:prstGeom>
                        </pic:spPr>
                      </pic:pic>
                    </a:graphicData>
                  </a:graphic>
                </wp:inline>
              </w:drawing>
            </w:r>
          </w:p>
          <w:p w14:paraId="65DFD461"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Class: 05 (</w:t>
            </w:r>
            <w:r w:rsidRPr="006D5966">
              <w:rPr>
                <w:rFonts w:ascii="Arial" w:hAnsi="Arial" w:cs="Arial"/>
                <w:i/>
                <w:iCs/>
                <w:sz w:val="20"/>
                <w:szCs w:val="20"/>
              </w:rPr>
              <w:t>plant protection products: pesticide</w:t>
            </w:r>
            <w:r w:rsidRPr="006D5966">
              <w:rPr>
                <w:rFonts w:ascii="Arial" w:hAnsi="Arial" w:cs="Arial"/>
                <w:sz w:val="20"/>
                <w:szCs w:val="20"/>
              </w:rPr>
              <w:t>)</w:t>
            </w:r>
          </w:p>
          <w:p w14:paraId="56E3893E"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Applicant: NICOTEX JSC</w:t>
            </w:r>
          </w:p>
          <w:p w14:paraId="721500F6" w14:textId="77777777" w:rsidR="0015574F" w:rsidRPr="006D5966" w:rsidRDefault="0015574F" w:rsidP="0015574F">
            <w:pPr>
              <w:jc w:val="both"/>
              <w:rPr>
                <w:rFonts w:ascii="Arial" w:hAnsi="Arial" w:cs="Arial"/>
                <w:sz w:val="20"/>
                <w:szCs w:val="20"/>
              </w:rPr>
            </w:pPr>
          </w:p>
        </w:tc>
        <w:tc>
          <w:tcPr>
            <w:tcW w:w="4675" w:type="dxa"/>
          </w:tcPr>
          <w:p w14:paraId="2AD2DDB9"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 xml:space="preserve">Trademark: </w:t>
            </w:r>
            <w:r w:rsidRPr="006D5966">
              <w:rPr>
                <w:rFonts w:ascii="Arial" w:hAnsi="Arial" w:cs="Arial"/>
                <w:noProof/>
                <w:sz w:val="20"/>
                <w:szCs w:val="20"/>
              </w:rPr>
              <w:drawing>
                <wp:inline distT="0" distB="0" distL="0" distR="0" wp14:anchorId="43810BBD" wp14:editId="48AC3C35">
                  <wp:extent cx="1166191"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0122" cy="311055"/>
                          </a:xfrm>
                          <a:prstGeom prst="rect">
                            <a:avLst/>
                          </a:prstGeom>
                        </pic:spPr>
                      </pic:pic>
                    </a:graphicData>
                  </a:graphic>
                </wp:inline>
              </w:drawing>
            </w:r>
          </w:p>
          <w:p w14:paraId="7690BB86"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Class: 02 (</w:t>
            </w:r>
            <w:r w:rsidRPr="006D5966">
              <w:rPr>
                <w:rFonts w:ascii="Arial" w:hAnsi="Arial" w:cs="Arial"/>
                <w:i/>
                <w:iCs/>
                <w:sz w:val="20"/>
                <w:szCs w:val="20"/>
              </w:rPr>
              <w:t>Ink used for printers and photocopiers</w:t>
            </w:r>
            <w:r w:rsidRPr="006D5966">
              <w:rPr>
                <w:rFonts w:ascii="Arial" w:hAnsi="Arial" w:cs="Arial"/>
                <w:sz w:val="20"/>
                <w:szCs w:val="20"/>
              </w:rPr>
              <w:t xml:space="preserve">) </w:t>
            </w:r>
          </w:p>
          <w:p w14:paraId="29770229"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09 (</w:t>
            </w:r>
            <w:r w:rsidRPr="006D5966">
              <w:rPr>
                <w:rFonts w:ascii="Arial" w:hAnsi="Arial" w:cs="Arial"/>
                <w:i/>
                <w:iCs/>
                <w:sz w:val="20"/>
                <w:szCs w:val="20"/>
              </w:rPr>
              <w:t>Photocopiers</w:t>
            </w:r>
            <w:r w:rsidRPr="006D5966">
              <w:rPr>
                <w:rFonts w:ascii="Arial" w:hAnsi="Arial" w:cs="Arial"/>
                <w:sz w:val="20"/>
                <w:szCs w:val="20"/>
              </w:rPr>
              <w:t>)</w:t>
            </w:r>
          </w:p>
          <w:p w14:paraId="559AA9BF"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Owner: Xerox Corporation</w:t>
            </w:r>
          </w:p>
        </w:tc>
      </w:tr>
      <w:tr w:rsidR="0015574F" w:rsidRPr="006D5966" w14:paraId="61DB0EB8" w14:textId="77777777" w:rsidTr="0062163A">
        <w:tc>
          <w:tcPr>
            <w:tcW w:w="9350" w:type="dxa"/>
            <w:gridSpan w:val="2"/>
          </w:tcPr>
          <w:p w14:paraId="1FF3AA5A" w14:textId="5070254F" w:rsidR="0015574F" w:rsidRPr="006D5966" w:rsidRDefault="0015574F" w:rsidP="0015574F">
            <w:pPr>
              <w:jc w:val="both"/>
              <w:rPr>
                <w:rFonts w:ascii="Arial" w:hAnsi="Arial" w:cs="Arial"/>
                <w:sz w:val="20"/>
                <w:szCs w:val="20"/>
              </w:rPr>
            </w:pPr>
            <w:r w:rsidRPr="006D5966">
              <w:rPr>
                <w:rFonts w:ascii="Arial" w:hAnsi="Arial" w:cs="Arial"/>
                <w:sz w:val="20"/>
                <w:szCs w:val="20"/>
              </w:rPr>
              <w:t xml:space="preserve">Although </w:t>
            </w:r>
            <w:r w:rsidRPr="006D5966">
              <w:rPr>
                <w:rFonts w:ascii="Arial" w:hAnsi="Arial" w:cs="Arial"/>
                <w:b/>
                <w:bCs/>
                <w:sz w:val="20"/>
                <w:szCs w:val="20"/>
              </w:rPr>
              <w:t>(i)</w:t>
            </w:r>
            <w:r w:rsidRPr="006D5966">
              <w:rPr>
                <w:rFonts w:ascii="Arial" w:hAnsi="Arial" w:cs="Arial"/>
                <w:sz w:val="20"/>
                <w:szCs w:val="20"/>
              </w:rPr>
              <w:t xml:space="preserve"> NICOTEX JSC's applied-for trademark "XEROX" pertains to "</w:t>
            </w:r>
            <w:r w:rsidRPr="006D5966">
              <w:rPr>
                <w:rFonts w:ascii="Arial" w:hAnsi="Arial" w:cs="Arial"/>
                <w:i/>
                <w:iCs/>
                <w:sz w:val="20"/>
                <w:szCs w:val="20"/>
              </w:rPr>
              <w:t>plant protection products: pesticides</w:t>
            </w:r>
            <w:r w:rsidRPr="006D5966">
              <w:rPr>
                <w:rFonts w:ascii="Arial" w:hAnsi="Arial" w:cs="Arial"/>
                <w:sz w:val="20"/>
                <w:szCs w:val="20"/>
              </w:rPr>
              <w:t xml:space="preserve">" in </w:t>
            </w:r>
            <w:r w:rsidRPr="006D5966">
              <w:rPr>
                <w:rFonts w:ascii="Arial" w:hAnsi="Arial" w:cs="Arial"/>
                <w:sz w:val="20"/>
                <w:szCs w:val="20"/>
                <w:u w:val="single"/>
              </w:rPr>
              <w:t>Class 05</w:t>
            </w:r>
            <w:r w:rsidRPr="006D5966">
              <w:rPr>
                <w:rFonts w:ascii="Arial" w:hAnsi="Arial" w:cs="Arial"/>
                <w:sz w:val="20"/>
                <w:szCs w:val="20"/>
              </w:rPr>
              <w:t xml:space="preserve">, </w:t>
            </w:r>
            <w:r>
              <w:rPr>
                <w:rFonts w:ascii="Arial" w:hAnsi="Arial" w:cs="Arial"/>
                <w:sz w:val="20"/>
                <w:szCs w:val="20"/>
              </w:rPr>
              <w:t xml:space="preserve">which are </w:t>
            </w:r>
            <w:r w:rsidRPr="006D5966">
              <w:rPr>
                <w:rFonts w:ascii="Arial" w:hAnsi="Arial" w:cs="Arial"/>
                <w:sz w:val="20"/>
                <w:szCs w:val="20"/>
              </w:rPr>
              <w:t>entirely different from the goods associated with "</w:t>
            </w:r>
            <w:r w:rsidRPr="006D5966">
              <w:rPr>
                <w:rFonts w:ascii="Arial" w:hAnsi="Arial" w:cs="Arial"/>
                <w:i/>
                <w:iCs/>
                <w:sz w:val="20"/>
                <w:szCs w:val="20"/>
              </w:rPr>
              <w:t>Ink used for printers and photocopiers</w:t>
            </w:r>
            <w:r w:rsidRPr="006D5966">
              <w:rPr>
                <w:rFonts w:ascii="Arial" w:hAnsi="Arial" w:cs="Arial"/>
                <w:sz w:val="20"/>
                <w:szCs w:val="20"/>
              </w:rPr>
              <w:t xml:space="preserve">" in </w:t>
            </w:r>
            <w:r w:rsidRPr="006D5966">
              <w:rPr>
                <w:rFonts w:ascii="Arial" w:hAnsi="Arial" w:cs="Arial"/>
                <w:sz w:val="20"/>
                <w:szCs w:val="20"/>
                <w:u w:val="single"/>
              </w:rPr>
              <w:t>Class 02</w:t>
            </w:r>
            <w:r w:rsidRPr="006D5966">
              <w:rPr>
                <w:rFonts w:ascii="Arial" w:hAnsi="Arial" w:cs="Arial"/>
                <w:sz w:val="20"/>
                <w:szCs w:val="20"/>
              </w:rPr>
              <w:t xml:space="preserve"> and "</w:t>
            </w:r>
            <w:r w:rsidRPr="006D5966">
              <w:rPr>
                <w:rFonts w:ascii="Arial" w:hAnsi="Arial" w:cs="Arial"/>
                <w:i/>
                <w:iCs/>
                <w:sz w:val="20"/>
                <w:szCs w:val="20"/>
              </w:rPr>
              <w:t>Photocopiers</w:t>
            </w:r>
            <w:r w:rsidRPr="006D5966">
              <w:rPr>
                <w:rFonts w:ascii="Arial" w:hAnsi="Arial" w:cs="Arial"/>
                <w:sz w:val="20"/>
                <w:szCs w:val="20"/>
              </w:rPr>
              <w:t xml:space="preserve">" in </w:t>
            </w:r>
            <w:r w:rsidRPr="006D5966">
              <w:rPr>
                <w:rFonts w:ascii="Arial" w:hAnsi="Arial" w:cs="Arial"/>
                <w:sz w:val="20"/>
                <w:szCs w:val="20"/>
                <w:u w:val="single"/>
              </w:rPr>
              <w:t>Class 09</w:t>
            </w:r>
            <w:r w:rsidRPr="006D5966">
              <w:rPr>
                <w:rFonts w:ascii="Arial" w:hAnsi="Arial" w:cs="Arial"/>
                <w:sz w:val="20"/>
                <w:szCs w:val="20"/>
              </w:rPr>
              <w:t xml:space="preserve"> under the trademark "XEROX" held by Xerox Corporation, and </w:t>
            </w:r>
            <w:r w:rsidRPr="006D5966">
              <w:rPr>
                <w:rFonts w:ascii="Arial" w:hAnsi="Arial" w:cs="Arial"/>
                <w:b/>
                <w:bCs/>
                <w:sz w:val="20"/>
                <w:szCs w:val="20"/>
              </w:rPr>
              <w:t>(ii)</w:t>
            </w:r>
            <w:r w:rsidRPr="006D5966">
              <w:rPr>
                <w:rFonts w:ascii="Arial" w:hAnsi="Arial" w:cs="Arial"/>
                <w:sz w:val="20"/>
                <w:szCs w:val="20"/>
              </w:rPr>
              <w:t xml:space="preserve"> Xerox Corporation has never </w:t>
            </w:r>
            <w:r>
              <w:rPr>
                <w:rFonts w:ascii="Arial" w:hAnsi="Arial" w:cs="Arial"/>
                <w:sz w:val="20"/>
                <w:szCs w:val="20"/>
              </w:rPr>
              <w:t>used</w:t>
            </w:r>
            <w:r w:rsidRPr="006D5966">
              <w:rPr>
                <w:rFonts w:ascii="Arial" w:hAnsi="Arial" w:cs="Arial"/>
                <w:sz w:val="20"/>
                <w:szCs w:val="20"/>
              </w:rPr>
              <w:t xml:space="preserve"> the "XEROX" mark for products in Class 05 within the Vietnamese market, IP VIETNAM declined the registration of the former's trademark based on the global</w:t>
            </w:r>
            <w:r>
              <w:rPr>
                <w:rFonts w:ascii="Arial" w:hAnsi="Arial" w:cs="Arial"/>
                <w:sz w:val="20"/>
                <w:szCs w:val="20"/>
              </w:rPr>
              <w:t xml:space="preserve"> </w:t>
            </w:r>
            <w:r w:rsidRPr="006D5966">
              <w:rPr>
                <w:rFonts w:ascii="Arial" w:hAnsi="Arial" w:cs="Arial"/>
                <w:sz w:val="20"/>
                <w:szCs w:val="20"/>
              </w:rPr>
              <w:t>renown of the latter's mark.</w:t>
            </w:r>
          </w:p>
        </w:tc>
      </w:tr>
    </w:tbl>
    <w:p w14:paraId="2BD08262" w14:textId="77777777" w:rsidR="0015574F" w:rsidRPr="006D5966" w:rsidRDefault="0015574F" w:rsidP="0015574F">
      <w:pPr>
        <w:jc w:val="both"/>
        <w:rPr>
          <w:rFonts w:ascii="Arial" w:hAnsi="Arial" w:cs="Arial"/>
          <w:sz w:val="20"/>
          <w:szCs w:val="20"/>
        </w:rPr>
      </w:pPr>
    </w:p>
    <w:p w14:paraId="7926C5C3" w14:textId="4E172A6F" w:rsidR="0015574F" w:rsidRPr="006D5966" w:rsidRDefault="0015574F" w:rsidP="0015574F">
      <w:pPr>
        <w:jc w:val="both"/>
        <w:rPr>
          <w:rFonts w:ascii="Arial" w:hAnsi="Arial" w:cs="Arial"/>
          <w:sz w:val="20"/>
          <w:szCs w:val="20"/>
        </w:rPr>
      </w:pPr>
      <w:r w:rsidRPr="0015574F">
        <w:rPr>
          <w:rFonts w:ascii="Arial" w:hAnsi="Arial" w:cs="Arial"/>
          <w:b/>
          <w:bCs/>
          <w:sz w:val="22"/>
          <w:szCs w:val="22"/>
        </w:rPr>
        <w:t>Marks expired less than three years</w:t>
      </w:r>
      <w:r w:rsidRPr="006D5966">
        <w:rPr>
          <w:rFonts w:ascii="Arial" w:hAnsi="Arial" w:cs="Arial"/>
          <w:b/>
          <w:bCs/>
          <w:sz w:val="20"/>
          <w:szCs w:val="20"/>
        </w:rPr>
        <w:t xml:space="preserve"> </w:t>
      </w:r>
      <w:r w:rsidRPr="0015574F">
        <w:rPr>
          <w:rFonts w:ascii="Arial" w:hAnsi="Arial" w:cs="Arial"/>
          <w:sz w:val="20"/>
          <w:szCs w:val="20"/>
        </w:rPr>
        <w:t>(</w:t>
      </w:r>
      <w:r w:rsidRPr="0015574F">
        <w:rPr>
          <w:rFonts w:ascii="Arial" w:hAnsi="Arial" w:cs="Arial"/>
          <w:i/>
          <w:iCs/>
          <w:sz w:val="20"/>
          <w:szCs w:val="20"/>
        </w:rPr>
        <w:t>Article 74.2h</w:t>
      </w:r>
      <w:r w:rsidRPr="0015574F">
        <w:rPr>
          <w:rFonts w:ascii="Arial" w:hAnsi="Arial" w:cs="Arial"/>
          <w:sz w:val="20"/>
          <w:szCs w:val="20"/>
        </w:rPr>
        <w:t xml:space="preserve">): </w:t>
      </w:r>
      <w:r w:rsidRPr="006D5966">
        <w:rPr>
          <w:rFonts w:ascii="Arial" w:hAnsi="Arial" w:cs="Arial"/>
          <w:sz w:val="20"/>
          <w:szCs w:val="20"/>
        </w:rPr>
        <w:t>Marks that have recently expired, but still within a three-year window (</w:t>
      </w:r>
      <w:r w:rsidRPr="00F46677">
        <w:rPr>
          <w:rFonts w:ascii="Arial" w:hAnsi="Arial" w:cs="Arial"/>
          <w:i/>
          <w:iCs/>
          <w:sz w:val="20"/>
          <w:szCs w:val="20"/>
        </w:rPr>
        <w:t xml:space="preserve">before Vietnam’s IP Law 2022, </w:t>
      </w:r>
      <w:hyperlink r:id="rId10" w:history="1">
        <w:r w:rsidRPr="00CE09DA">
          <w:rPr>
            <w:rStyle w:val="Hyperlink"/>
            <w:rFonts w:ascii="Arial" w:hAnsi="Arial" w:cs="Arial"/>
            <w:i/>
            <w:iCs/>
            <w:sz w:val="20"/>
            <w:szCs w:val="20"/>
          </w:rPr>
          <w:t>it was 5 years</w:t>
        </w:r>
      </w:hyperlink>
      <w:r w:rsidRPr="006D5966">
        <w:rPr>
          <w:rFonts w:ascii="Arial" w:hAnsi="Arial" w:cs="Arial"/>
          <w:sz w:val="20"/>
          <w:szCs w:val="20"/>
        </w:rPr>
        <w:t>), can still form the basis for opposing pending trademark applications that are identical or confusingly similar. This mean despite its registration being lapsed, a less-than-3-year-expired mark continue to hold a residual protective shield for a duration of three years or a mark that has expired but are within a three-year grace period are still protected.</w:t>
      </w:r>
    </w:p>
    <w:p w14:paraId="5F7DB3B6" w14:textId="77777777" w:rsidR="0015574F" w:rsidRPr="006D5966" w:rsidRDefault="0015574F" w:rsidP="0015574F">
      <w:pPr>
        <w:jc w:val="both"/>
        <w:rPr>
          <w:rFonts w:ascii="Arial" w:hAnsi="Arial" w:cs="Arial"/>
          <w:sz w:val="20"/>
          <w:szCs w:val="20"/>
        </w:rPr>
      </w:pPr>
    </w:p>
    <w:p w14:paraId="74644047" w14:textId="77777777" w:rsidR="0015574F" w:rsidRPr="00CE3EF6" w:rsidRDefault="0015574F" w:rsidP="0015574F">
      <w:pPr>
        <w:jc w:val="both"/>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2. Trade Name Conflicts </w:t>
      </w:r>
      <w:r w:rsidRPr="0015574F">
        <w:rPr>
          <w:rFonts w:ascii="Arial" w:hAnsi="Arial" w:cs="Arial"/>
          <w:i/>
          <w:iCs/>
          <w:color w:val="000000" w:themeColor="text1"/>
          <w:sz w:val="20"/>
          <w:szCs w:val="20"/>
        </w:rPr>
        <w:t>(Article 74.2k)</w:t>
      </w:r>
    </w:p>
    <w:p w14:paraId="4502EAF7" w14:textId="77777777" w:rsidR="0015574F" w:rsidRPr="006D5966" w:rsidRDefault="0015574F" w:rsidP="0015574F">
      <w:pPr>
        <w:jc w:val="both"/>
        <w:rPr>
          <w:rFonts w:ascii="Arial" w:hAnsi="Arial" w:cs="Arial"/>
          <w:sz w:val="20"/>
          <w:szCs w:val="20"/>
        </w:rPr>
      </w:pPr>
    </w:p>
    <w:p w14:paraId="1BFCD349" w14:textId="6C549A58" w:rsidR="0015574F" w:rsidRDefault="0015574F" w:rsidP="0015574F">
      <w:pPr>
        <w:jc w:val="both"/>
        <w:rPr>
          <w:rFonts w:ascii="Arial" w:hAnsi="Arial" w:cs="Arial"/>
          <w:sz w:val="20"/>
          <w:szCs w:val="20"/>
        </w:rPr>
      </w:pPr>
      <w:r w:rsidRPr="001F3D8C">
        <w:rPr>
          <w:rFonts w:ascii="Arial" w:hAnsi="Arial" w:cs="Arial"/>
          <w:sz w:val="20"/>
          <w:szCs w:val="20"/>
        </w:rPr>
        <w:t xml:space="preserve">A trade name is protected in Vietnam without the need for filing or registration, whether or not it is part of a trademark. If a </w:t>
      </w:r>
      <w:hyperlink r:id="rId11" w:history="1">
        <w:r w:rsidRPr="00CE09DA">
          <w:rPr>
            <w:rStyle w:val="Hyperlink"/>
            <w:rFonts w:ascii="Arial" w:hAnsi="Arial" w:cs="Arial"/>
            <w:sz w:val="20"/>
            <w:szCs w:val="20"/>
          </w:rPr>
          <w:t>trade name</w:t>
        </w:r>
      </w:hyperlink>
      <w:r w:rsidRPr="001F3D8C">
        <w:rPr>
          <w:rFonts w:ascii="Arial" w:hAnsi="Arial" w:cs="Arial"/>
          <w:sz w:val="20"/>
          <w:szCs w:val="20"/>
        </w:rPr>
        <w:t xml:space="preserve"> has established rights through legitimate use in Vietnam, it is protected against unauthorized use of an identical or similar sign, whether used as a trade name or a trademark, if such use is likely to mislead the public. As a result, opposition can be filed against trademarks that are identical or </w:t>
      </w:r>
      <w:hyperlink r:id="rId12" w:history="1">
        <w:r w:rsidRPr="00CE09DA">
          <w:rPr>
            <w:rStyle w:val="Hyperlink"/>
            <w:rFonts w:ascii="Arial" w:hAnsi="Arial" w:cs="Arial"/>
            <w:sz w:val="20"/>
            <w:szCs w:val="20"/>
          </w:rPr>
          <w:t>similar to existing trade names</w:t>
        </w:r>
      </w:hyperlink>
      <w:r w:rsidRPr="001F3D8C">
        <w:rPr>
          <w:rFonts w:ascii="Arial" w:hAnsi="Arial" w:cs="Arial"/>
          <w:sz w:val="20"/>
          <w:szCs w:val="20"/>
        </w:rPr>
        <w:t xml:space="preserve"> with legitimate rights established in commerce in Vietnam. This ensures the protection of established business identities and prevents consumer confusion.</w:t>
      </w:r>
    </w:p>
    <w:p w14:paraId="4D424AEB" w14:textId="77777777" w:rsidR="0015574F" w:rsidRDefault="0015574F" w:rsidP="0015574F">
      <w:pPr>
        <w:jc w:val="both"/>
        <w:rPr>
          <w:rFonts w:ascii="Arial" w:hAnsi="Arial" w:cs="Arial"/>
          <w:sz w:val="20"/>
          <w:szCs w:val="20"/>
        </w:rPr>
      </w:pPr>
    </w:p>
    <w:p w14:paraId="03410A71" w14:textId="77777777" w:rsidR="0015574F" w:rsidRPr="006D5966" w:rsidRDefault="0015574F" w:rsidP="0015574F">
      <w:pPr>
        <w:rPr>
          <w:rFonts w:ascii="Arial" w:hAnsi="Arial" w:cs="Arial"/>
          <w:sz w:val="20"/>
          <w:szCs w:val="20"/>
        </w:rPr>
      </w:pPr>
      <w:r>
        <w:rPr>
          <w:rFonts w:ascii="Arial" w:hAnsi="Arial" w:cs="Arial"/>
          <w:sz w:val="20"/>
          <w:szCs w:val="20"/>
        </w:rPr>
        <w:t>Some</w:t>
      </w:r>
      <w:r w:rsidRPr="006D5966">
        <w:rPr>
          <w:rFonts w:ascii="Arial" w:hAnsi="Arial" w:cs="Arial"/>
          <w:sz w:val="20"/>
          <w:szCs w:val="20"/>
        </w:rPr>
        <w:t xml:space="preserve"> </w:t>
      </w:r>
      <w:r>
        <w:rPr>
          <w:rFonts w:ascii="Arial" w:hAnsi="Arial" w:cs="Arial"/>
          <w:sz w:val="20"/>
          <w:szCs w:val="20"/>
        </w:rPr>
        <w:t>trade name-based oppositions against</w:t>
      </w:r>
      <w:r w:rsidRPr="006D5966">
        <w:rPr>
          <w:rFonts w:ascii="Arial" w:hAnsi="Arial" w:cs="Arial"/>
          <w:sz w:val="20"/>
          <w:szCs w:val="20"/>
        </w:rPr>
        <w:t xml:space="preserve"> </w:t>
      </w:r>
      <w:r>
        <w:rPr>
          <w:rFonts w:ascii="Arial" w:hAnsi="Arial" w:cs="Arial"/>
          <w:sz w:val="20"/>
          <w:szCs w:val="20"/>
        </w:rPr>
        <w:t>trademarks are</w:t>
      </w:r>
      <w:r w:rsidRPr="006D5966">
        <w:rPr>
          <w:rFonts w:ascii="Arial" w:hAnsi="Arial" w:cs="Arial"/>
          <w:sz w:val="20"/>
          <w:szCs w:val="20"/>
        </w:rPr>
        <w:t xml:space="preserve"> </w:t>
      </w:r>
      <w:r>
        <w:rPr>
          <w:rFonts w:ascii="Arial" w:hAnsi="Arial" w:cs="Arial"/>
          <w:sz w:val="20"/>
          <w:szCs w:val="20"/>
        </w:rPr>
        <w:t>provided in the</w:t>
      </w:r>
      <w:r w:rsidRPr="006D5966">
        <w:rPr>
          <w:rFonts w:ascii="Arial" w:hAnsi="Arial" w:cs="Arial"/>
          <w:sz w:val="20"/>
          <w:szCs w:val="20"/>
        </w:rPr>
        <w:t xml:space="preserve"> the table below:</w:t>
      </w:r>
    </w:p>
    <w:p w14:paraId="713A4832" w14:textId="77777777" w:rsidR="0015574F" w:rsidRDefault="0015574F" w:rsidP="0015574F">
      <w:pPr>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15574F" w14:paraId="062CDC79" w14:textId="77777777" w:rsidTr="0062163A">
        <w:tc>
          <w:tcPr>
            <w:tcW w:w="4675" w:type="dxa"/>
          </w:tcPr>
          <w:p w14:paraId="63F09A61" w14:textId="77777777" w:rsidR="0015574F" w:rsidRDefault="0015574F" w:rsidP="0015574F">
            <w:pPr>
              <w:jc w:val="center"/>
              <w:rPr>
                <w:rFonts w:ascii="Arial" w:hAnsi="Arial" w:cs="Arial"/>
                <w:sz w:val="20"/>
                <w:szCs w:val="20"/>
              </w:rPr>
            </w:pPr>
            <w:r w:rsidRPr="0059373F">
              <w:rPr>
                <w:rFonts w:ascii="Arial" w:hAnsi="Arial" w:cs="Arial"/>
                <w:b/>
                <w:bCs/>
                <w:sz w:val="20"/>
                <w:szCs w:val="20"/>
              </w:rPr>
              <w:t>The adverse party’s mark</w:t>
            </w:r>
          </w:p>
        </w:tc>
        <w:tc>
          <w:tcPr>
            <w:tcW w:w="4675" w:type="dxa"/>
          </w:tcPr>
          <w:p w14:paraId="205F6185" w14:textId="77777777" w:rsidR="0015574F" w:rsidRDefault="0015574F" w:rsidP="0015574F">
            <w:pPr>
              <w:jc w:val="center"/>
              <w:rPr>
                <w:rFonts w:ascii="Arial" w:hAnsi="Arial" w:cs="Arial"/>
                <w:sz w:val="20"/>
                <w:szCs w:val="20"/>
              </w:rPr>
            </w:pPr>
            <w:r w:rsidRPr="0059373F">
              <w:rPr>
                <w:rFonts w:ascii="Arial" w:hAnsi="Arial" w:cs="Arial"/>
                <w:b/>
                <w:bCs/>
                <w:sz w:val="20"/>
                <w:szCs w:val="20"/>
              </w:rPr>
              <w:t>The prior trade name</w:t>
            </w:r>
          </w:p>
        </w:tc>
      </w:tr>
      <w:tr w:rsidR="0015574F" w14:paraId="7A7D56B0" w14:textId="77777777" w:rsidTr="0062163A">
        <w:tc>
          <w:tcPr>
            <w:tcW w:w="4675" w:type="dxa"/>
          </w:tcPr>
          <w:p w14:paraId="0212C76E" w14:textId="77777777" w:rsidR="0015574F" w:rsidRDefault="0015574F" w:rsidP="0015574F">
            <w:pPr>
              <w:jc w:val="both"/>
              <w:rPr>
                <w:rFonts w:ascii="Arial" w:hAnsi="Arial" w:cs="Arial"/>
                <w:sz w:val="20"/>
                <w:szCs w:val="20"/>
              </w:rPr>
            </w:pPr>
            <w:r w:rsidRPr="00A45559">
              <w:rPr>
                <w:rFonts w:ascii="Arial" w:hAnsi="Arial" w:cs="Arial"/>
                <w:sz w:val="20"/>
                <w:szCs w:val="20"/>
                <w:u w:val="single"/>
              </w:rPr>
              <w:t>Trademark 1</w:t>
            </w:r>
            <w:r>
              <w:rPr>
                <w:rFonts w:ascii="Arial" w:hAnsi="Arial" w:cs="Arial"/>
                <w:sz w:val="20"/>
                <w:szCs w:val="20"/>
              </w:rPr>
              <w:t xml:space="preserve">: </w:t>
            </w:r>
            <w:r w:rsidRPr="0059373F">
              <w:rPr>
                <w:rFonts w:ascii="Arial" w:hAnsi="Arial" w:cs="Arial"/>
                <w:noProof/>
                <w:sz w:val="20"/>
                <w:szCs w:val="20"/>
              </w:rPr>
              <w:drawing>
                <wp:inline distT="0" distB="0" distL="0" distR="0" wp14:anchorId="128EA256" wp14:editId="04F671FF">
                  <wp:extent cx="722737" cy="8096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6316" cy="836039"/>
                          </a:xfrm>
                          <a:prstGeom prst="rect">
                            <a:avLst/>
                          </a:prstGeom>
                        </pic:spPr>
                      </pic:pic>
                    </a:graphicData>
                  </a:graphic>
                </wp:inline>
              </w:drawing>
            </w:r>
          </w:p>
        </w:tc>
        <w:tc>
          <w:tcPr>
            <w:tcW w:w="4675" w:type="dxa"/>
          </w:tcPr>
          <w:p w14:paraId="257986A7" w14:textId="77777777" w:rsidR="0015574F" w:rsidRDefault="0015574F" w:rsidP="0015574F">
            <w:pPr>
              <w:jc w:val="both"/>
              <w:rPr>
                <w:rFonts w:ascii="Arial" w:hAnsi="Arial" w:cs="Arial"/>
                <w:sz w:val="20"/>
                <w:szCs w:val="20"/>
                <w:u w:val="single"/>
              </w:rPr>
            </w:pPr>
          </w:p>
          <w:p w14:paraId="422F7748" w14:textId="77777777" w:rsidR="0015574F" w:rsidRDefault="0015574F" w:rsidP="0015574F">
            <w:pPr>
              <w:jc w:val="both"/>
              <w:rPr>
                <w:rFonts w:ascii="Arial" w:hAnsi="Arial" w:cs="Arial"/>
                <w:sz w:val="20"/>
                <w:szCs w:val="20"/>
                <w:u w:val="single"/>
              </w:rPr>
            </w:pPr>
          </w:p>
          <w:p w14:paraId="31FFE1FE" w14:textId="77777777" w:rsidR="0015574F" w:rsidRDefault="0015574F" w:rsidP="0015574F">
            <w:pPr>
              <w:jc w:val="both"/>
              <w:rPr>
                <w:rFonts w:ascii="Arial" w:hAnsi="Arial" w:cs="Arial"/>
                <w:sz w:val="20"/>
                <w:szCs w:val="20"/>
                <w:u w:val="single"/>
              </w:rPr>
            </w:pPr>
          </w:p>
          <w:p w14:paraId="408DA923" w14:textId="77777777" w:rsidR="0015574F" w:rsidRDefault="0015574F" w:rsidP="0015574F">
            <w:pPr>
              <w:jc w:val="both"/>
              <w:rPr>
                <w:rFonts w:ascii="Arial" w:hAnsi="Arial" w:cs="Arial"/>
                <w:sz w:val="20"/>
                <w:szCs w:val="20"/>
              </w:rPr>
            </w:pPr>
            <w:r w:rsidRPr="00A45559">
              <w:rPr>
                <w:rFonts w:ascii="Arial" w:hAnsi="Arial" w:cs="Arial"/>
                <w:sz w:val="20"/>
                <w:szCs w:val="20"/>
                <w:u w:val="single"/>
              </w:rPr>
              <w:t>Trade name 1</w:t>
            </w:r>
            <w:r>
              <w:rPr>
                <w:rFonts w:ascii="Arial" w:hAnsi="Arial" w:cs="Arial"/>
                <w:sz w:val="20"/>
                <w:szCs w:val="20"/>
              </w:rPr>
              <w:t xml:space="preserve">: </w:t>
            </w:r>
            <w:r w:rsidRPr="006D5966">
              <w:rPr>
                <w:rFonts w:ascii="Arial" w:hAnsi="Arial" w:cs="Arial"/>
                <w:sz w:val="20"/>
                <w:szCs w:val="20"/>
              </w:rPr>
              <w:t xml:space="preserve">Shenzhen </w:t>
            </w:r>
            <w:r w:rsidRPr="0059373F">
              <w:rPr>
                <w:rFonts w:ascii="Arial" w:hAnsi="Arial" w:cs="Arial"/>
                <w:b/>
                <w:bCs/>
                <w:sz w:val="20"/>
                <w:szCs w:val="20"/>
              </w:rPr>
              <w:t>Tongfang</w:t>
            </w:r>
            <w:r w:rsidRPr="006D5966">
              <w:rPr>
                <w:rFonts w:ascii="Arial" w:hAnsi="Arial" w:cs="Arial"/>
                <w:sz w:val="20"/>
                <w:szCs w:val="20"/>
              </w:rPr>
              <w:t xml:space="preserve"> Electric New Material Co., Ltd.</w:t>
            </w:r>
          </w:p>
          <w:p w14:paraId="159E71B8" w14:textId="77777777" w:rsidR="0015574F" w:rsidRDefault="0015574F" w:rsidP="0015574F">
            <w:pPr>
              <w:jc w:val="both"/>
              <w:rPr>
                <w:rFonts w:ascii="Arial" w:hAnsi="Arial" w:cs="Arial"/>
                <w:sz w:val="20"/>
                <w:szCs w:val="20"/>
              </w:rPr>
            </w:pPr>
          </w:p>
        </w:tc>
      </w:tr>
      <w:tr w:rsidR="0015574F" w14:paraId="68F79823" w14:textId="77777777" w:rsidTr="0062163A">
        <w:tc>
          <w:tcPr>
            <w:tcW w:w="9350" w:type="dxa"/>
            <w:gridSpan w:val="2"/>
          </w:tcPr>
          <w:p w14:paraId="35739CA4" w14:textId="17DC3769" w:rsidR="0015574F" w:rsidRDefault="0015574F" w:rsidP="0015574F">
            <w:pPr>
              <w:jc w:val="both"/>
              <w:rPr>
                <w:rFonts w:ascii="Arial" w:hAnsi="Arial" w:cs="Arial"/>
                <w:sz w:val="20"/>
                <w:szCs w:val="20"/>
              </w:rPr>
            </w:pPr>
            <w:r w:rsidRPr="006D5966">
              <w:rPr>
                <w:rFonts w:ascii="Arial" w:hAnsi="Arial" w:cs="Arial"/>
                <w:sz w:val="20"/>
                <w:szCs w:val="20"/>
                <w:u w:val="single"/>
              </w:rPr>
              <w:t>Case 1</w:t>
            </w:r>
            <w:r w:rsidRPr="006D5966">
              <w:rPr>
                <w:rFonts w:ascii="Arial" w:hAnsi="Arial" w:cs="Arial"/>
                <w:sz w:val="20"/>
                <w:szCs w:val="20"/>
              </w:rPr>
              <w:t>: Shenzhen Tongfang Electric New Material Co., Ltd. (</w:t>
            </w:r>
            <w:r w:rsidRPr="006D5966">
              <w:rPr>
                <w:rFonts w:ascii="Arial" w:hAnsi="Arial" w:cs="Arial"/>
                <w:b/>
                <w:bCs/>
                <w:sz w:val="20"/>
                <w:szCs w:val="20"/>
              </w:rPr>
              <w:t>Tongfang</w:t>
            </w:r>
            <w:r w:rsidRPr="006D5966">
              <w:rPr>
                <w:rFonts w:ascii="Arial" w:hAnsi="Arial" w:cs="Arial"/>
                <w:sz w:val="20"/>
                <w:szCs w:val="20"/>
              </w:rPr>
              <w:t xml:space="preserve">) </w:t>
            </w:r>
            <w:r>
              <w:rPr>
                <w:rFonts w:ascii="Arial" w:hAnsi="Arial" w:cs="Arial"/>
                <w:sz w:val="20"/>
                <w:szCs w:val="20"/>
              </w:rPr>
              <w:t xml:space="preserve">v. </w:t>
            </w:r>
            <w:r w:rsidRPr="006D5966">
              <w:rPr>
                <w:rFonts w:ascii="Arial" w:hAnsi="Arial" w:cs="Arial"/>
                <w:sz w:val="20"/>
                <w:szCs w:val="20"/>
              </w:rPr>
              <w:t>"</w:t>
            </w:r>
            <w:r w:rsidRPr="006D5966">
              <w:rPr>
                <w:rFonts w:ascii="Arial" w:hAnsi="Arial" w:cs="Arial"/>
                <w:b/>
                <w:bCs/>
                <w:sz w:val="20"/>
                <w:szCs w:val="20"/>
              </w:rPr>
              <w:t>TONGFANG</w:t>
            </w:r>
            <w:r w:rsidRPr="006D5966">
              <w:rPr>
                <w:rFonts w:ascii="Arial" w:hAnsi="Arial" w:cs="Arial"/>
                <w:sz w:val="20"/>
                <w:szCs w:val="20"/>
              </w:rPr>
              <w:t xml:space="preserve"> TECHNOLOGY, Chinese characters, and device".</w:t>
            </w:r>
          </w:p>
          <w:p w14:paraId="7646849E" w14:textId="77777777" w:rsidR="0015574F" w:rsidRDefault="0015574F" w:rsidP="0015574F">
            <w:pPr>
              <w:jc w:val="both"/>
              <w:rPr>
                <w:rFonts w:ascii="Arial" w:hAnsi="Arial" w:cs="Arial"/>
                <w:sz w:val="20"/>
                <w:szCs w:val="20"/>
              </w:rPr>
            </w:pPr>
          </w:p>
          <w:p w14:paraId="2F4D1F6A" w14:textId="77777777" w:rsidR="0015574F" w:rsidRDefault="0015574F" w:rsidP="0015574F">
            <w:pPr>
              <w:jc w:val="both"/>
              <w:rPr>
                <w:rFonts w:ascii="Arial" w:hAnsi="Arial" w:cs="Arial"/>
                <w:sz w:val="20"/>
                <w:szCs w:val="20"/>
              </w:rPr>
            </w:pPr>
            <w:r>
              <w:rPr>
                <w:rFonts w:ascii="Arial" w:hAnsi="Arial" w:cs="Arial"/>
                <w:sz w:val="20"/>
                <w:szCs w:val="20"/>
              </w:rPr>
              <w:t xml:space="preserve">The owner of the trade name, </w:t>
            </w:r>
            <w:r w:rsidRPr="006D5966">
              <w:rPr>
                <w:rFonts w:ascii="Arial" w:hAnsi="Arial" w:cs="Arial"/>
                <w:sz w:val="20"/>
                <w:szCs w:val="20"/>
              </w:rPr>
              <w:t>Shenzhen Tongfang Electric New Material Co., Ltd. (</w:t>
            </w:r>
            <w:r w:rsidRPr="006D5966">
              <w:rPr>
                <w:rFonts w:ascii="Arial" w:hAnsi="Arial" w:cs="Arial"/>
                <w:b/>
                <w:bCs/>
                <w:sz w:val="20"/>
                <w:szCs w:val="20"/>
              </w:rPr>
              <w:t>Tongfang</w:t>
            </w:r>
            <w:r w:rsidRPr="006D5966">
              <w:rPr>
                <w:rFonts w:ascii="Arial" w:hAnsi="Arial" w:cs="Arial"/>
                <w:sz w:val="20"/>
                <w:szCs w:val="20"/>
              </w:rPr>
              <w:t>)</w:t>
            </w:r>
            <w:r>
              <w:rPr>
                <w:rFonts w:ascii="Arial" w:hAnsi="Arial" w:cs="Arial"/>
                <w:sz w:val="20"/>
                <w:szCs w:val="20"/>
              </w:rPr>
              <w:t xml:space="preserve"> </w:t>
            </w:r>
            <w:r w:rsidRPr="006D5966">
              <w:rPr>
                <w:rFonts w:ascii="Arial" w:hAnsi="Arial" w:cs="Arial"/>
                <w:sz w:val="20"/>
                <w:szCs w:val="20"/>
              </w:rPr>
              <w:t>submitted Opposition Notice No. PD4-2019-01290 on December 3, 2019, requesting IP VIETNAM to deny the trademark registration for "</w:t>
            </w:r>
            <w:r w:rsidRPr="006D5966">
              <w:rPr>
                <w:rFonts w:ascii="Arial" w:hAnsi="Arial" w:cs="Arial"/>
                <w:b/>
                <w:bCs/>
                <w:sz w:val="20"/>
                <w:szCs w:val="20"/>
              </w:rPr>
              <w:t>TONGFANG</w:t>
            </w:r>
            <w:r w:rsidRPr="006D5966">
              <w:rPr>
                <w:rFonts w:ascii="Arial" w:hAnsi="Arial" w:cs="Arial"/>
                <w:sz w:val="20"/>
                <w:szCs w:val="20"/>
              </w:rPr>
              <w:t xml:space="preserve"> TECHNOLOGY, Chinese characters, and device". This opposition was based on its similarity to the already widely used trade name "</w:t>
            </w:r>
            <w:r w:rsidRPr="006D5966">
              <w:rPr>
                <w:rFonts w:ascii="Arial" w:hAnsi="Arial" w:cs="Arial"/>
                <w:b/>
                <w:bCs/>
                <w:sz w:val="20"/>
                <w:szCs w:val="20"/>
              </w:rPr>
              <w:t>Tongfang</w:t>
            </w:r>
            <w:r w:rsidRPr="006D5966">
              <w:rPr>
                <w:rFonts w:ascii="Arial" w:hAnsi="Arial" w:cs="Arial"/>
                <w:sz w:val="20"/>
                <w:szCs w:val="20"/>
              </w:rPr>
              <w:t>" in Vietnam prior to the application date (August 6, 2019). IP VIETNAM, responding to this opposition, issued a notice on March 7, 2022, supporting Tongfang's claim. Subsequently, on January 1, 2021, IP VIETNAM, through its substantive examination for Trademark Application No. 4-2019-29707, declined to grant protection to the trademark in question under Article 74.2k of the Intellectual Property Law.</w:t>
            </w:r>
          </w:p>
          <w:p w14:paraId="3CBAE533" w14:textId="77777777" w:rsidR="0015574F" w:rsidRDefault="0015574F" w:rsidP="0015574F">
            <w:pPr>
              <w:jc w:val="both"/>
              <w:rPr>
                <w:rFonts w:ascii="Arial" w:hAnsi="Arial" w:cs="Arial"/>
                <w:sz w:val="20"/>
                <w:szCs w:val="20"/>
                <w:u w:val="single"/>
              </w:rPr>
            </w:pPr>
          </w:p>
        </w:tc>
      </w:tr>
      <w:tr w:rsidR="0015574F" w14:paraId="44050353" w14:textId="77777777" w:rsidTr="0062163A">
        <w:tc>
          <w:tcPr>
            <w:tcW w:w="4675" w:type="dxa"/>
          </w:tcPr>
          <w:p w14:paraId="7D9462E8" w14:textId="77777777" w:rsidR="0015574F" w:rsidRDefault="0015574F" w:rsidP="0015574F">
            <w:pPr>
              <w:jc w:val="both"/>
              <w:rPr>
                <w:rFonts w:ascii="Arial" w:hAnsi="Arial" w:cs="Arial"/>
                <w:sz w:val="20"/>
                <w:szCs w:val="20"/>
              </w:rPr>
            </w:pPr>
            <w:r w:rsidRPr="00A45559">
              <w:rPr>
                <w:rFonts w:ascii="Arial" w:hAnsi="Arial" w:cs="Arial"/>
                <w:sz w:val="20"/>
                <w:szCs w:val="20"/>
                <w:u w:val="single"/>
              </w:rPr>
              <w:lastRenderedPageBreak/>
              <w:t>Trademark 2</w:t>
            </w:r>
            <w:r>
              <w:rPr>
                <w:rFonts w:ascii="Arial" w:hAnsi="Arial" w:cs="Arial"/>
                <w:sz w:val="20"/>
                <w:szCs w:val="20"/>
              </w:rPr>
              <w:t xml:space="preserve">: </w:t>
            </w:r>
            <w:r w:rsidRPr="00A45559">
              <w:rPr>
                <w:rFonts w:ascii="Arial" w:hAnsi="Arial" w:cs="Arial"/>
                <w:noProof/>
                <w:sz w:val="20"/>
                <w:szCs w:val="20"/>
              </w:rPr>
              <w:drawing>
                <wp:inline distT="0" distB="0" distL="0" distR="0" wp14:anchorId="7D7FF250" wp14:editId="307FED7C">
                  <wp:extent cx="1438275" cy="83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279"/>
                          <a:stretch/>
                        </pic:blipFill>
                        <pic:spPr bwMode="auto">
                          <a:xfrm>
                            <a:off x="0" y="0"/>
                            <a:ext cx="1438476" cy="838317"/>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40A36993" w14:textId="77777777" w:rsidR="0015574F" w:rsidRDefault="0015574F" w:rsidP="0015574F">
            <w:pPr>
              <w:jc w:val="both"/>
              <w:rPr>
                <w:rFonts w:ascii="Arial" w:hAnsi="Arial" w:cs="Arial"/>
                <w:sz w:val="20"/>
                <w:szCs w:val="20"/>
                <w:u w:val="single"/>
              </w:rPr>
            </w:pPr>
          </w:p>
          <w:p w14:paraId="5815F9A7" w14:textId="77777777" w:rsidR="0015574F" w:rsidRDefault="0015574F" w:rsidP="0015574F">
            <w:pPr>
              <w:jc w:val="both"/>
              <w:rPr>
                <w:rFonts w:ascii="Arial" w:hAnsi="Arial" w:cs="Arial"/>
                <w:sz w:val="20"/>
                <w:szCs w:val="20"/>
                <w:u w:val="single"/>
              </w:rPr>
            </w:pPr>
          </w:p>
          <w:p w14:paraId="5E175FEC" w14:textId="77777777" w:rsidR="0015574F" w:rsidRDefault="0015574F" w:rsidP="0015574F">
            <w:pPr>
              <w:jc w:val="both"/>
              <w:rPr>
                <w:rFonts w:ascii="Arial" w:hAnsi="Arial" w:cs="Arial"/>
                <w:sz w:val="20"/>
                <w:szCs w:val="20"/>
                <w:u w:val="single"/>
              </w:rPr>
            </w:pPr>
          </w:p>
          <w:p w14:paraId="41C7BBEC" w14:textId="77777777" w:rsidR="0015574F" w:rsidRDefault="0015574F" w:rsidP="0015574F">
            <w:pPr>
              <w:jc w:val="both"/>
              <w:rPr>
                <w:rFonts w:ascii="Arial" w:hAnsi="Arial" w:cs="Arial"/>
                <w:sz w:val="20"/>
                <w:szCs w:val="20"/>
              </w:rPr>
            </w:pPr>
            <w:r w:rsidRPr="00A45559">
              <w:rPr>
                <w:rFonts w:ascii="Arial" w:hAnsi="Arial" w:cs="Arial"/>
                <w:sz w:val="20"/>
                <w:szCs w:val="20"/>
                <w:u w:val="single"/>
              </w:rPr>
              <w:t>Trade name 2</w:t>
            </w:r>
            <w:r>
              <w:rPr>
                <w:rFonts w:ascii="Arial" w:hAnsi="Arial" w:cs="Arial"/>
                <w:sz w:val="20"/>
                <w:szCs w:val="20"/>
              </w:rPr>
              <w:t xml:space="preserve">: </w:t>
            </w:r>
            <w:r w:rsidRPr="006D5966">
              <w:rPr>
                <w:rFonts w:ascii="Arial" w:hAnsi="Arial" w:cs="Arial"/>
                <w:sz w:val="20"/>
                <w:szCs w:val="20"/>
              </w:rPr>
              <w:t xml:space="preserve">Ban Mai Tourism Co., Ltd. (English name: </w:t>
            </w:r>
            <w:r w:rsidRPr="006D5966">
              <w:rPr>
                <w:rFonts w:ascii="Arial" w:hAnsi="Arial" w:cs="Arial"/>
                <w:b/>
                <w:bCs/>
                <w:sz w:val="20"/>
                <w:szCs w:val="20"/>
              </w:rPr>
              <w:t>AURORA</w:t>
            </w:r>
            <w:r w:rsidRPr="006D5966">
              <w:rPr>
                <w:rFonts w:ascii="Arial" w:hAnsi="Arial" w:cs="Arial"/>
                <w:sz w:val="20"/>
                <w:szCs w:val="20"/>
              </w:rPr>
              <w:t xml:space="preserve"> Travel Co., Ltd.)</w:t>
            </w:r>
          </w:p>
          <w:p w14:paraId="268128C0" w14:textId="77777777" w:rsidR="0015574F" w:rsidRDefault="0015574F" w:rsidP="0015574F">
            <w:pPr>
              <w:jc w:val="both"/>
              <w:rPr>
                <w:rFonts w:ascii="Arial" w:hAnsi="Arial" w:cs="Arial"/>
                <w:sz w:val="20"/>
                <w:szCs w:val="20"/>
              </w:rPr>
            </w:pPr>
          </w:p>
        </w:tc>
      </w:tr>
      <w:tr w:rsidR="0015574F" w14:paraId="2A625769" w14:textId="77777777" w:rsidTr="0062163A">
        <w:tc>
          <w:tcPr>
            <w:tcW w:w="9350" w:type="dxa"/>
            <w:gridSpan w:val="2"/>
          </w:tcPr>
          <w:p w14:paraId="0F5D5C20" w14:textId="77777777" w:rsidR="0015574F" w:rsidRPr="006D5966" w:rsidRDefault="0015574F" w:rsidP="0015574F">
            <w:pPr>
              <w:jc w:val="both"/>
              <w:rPr>
                <w:rFonts w:ascii="Arial" w:hAnsi="Arial" w:cs="Arial"/>
                <w:sz w:val="20"/>
                <w:szCs w:val="20"/>
              </w:rPr>
            </w:pPr>
            <w:r w:rsidRPr="006D5966">
              <w:rPr>
                <w:rFonts w:ascii="Arial" w:hAnsi="Arial" w:cs="Arial"/>
                <w:sz w:val="20"/>
                <w:szCs w:val="20"/>
                <w:u w:val="single"/>
              </w:rPr>
              <w:t>Case 2</w:t>
            </w:r>
            <w:r w:rsidRPr="006D5966">
              <w:rPr>
                <w:rFonts w:ascii="Arial" w:hAnsi="Arial" w:cs="Arial"/>
                <w:sz w:val="20"/>
                <w:szCs w:val="20"/>
              </w:rPr>
              <w:t xml:space="preserve">: Ban Mai Tourism Co., Ltd. (English name: </w:t>
            </w:r>
            <w:r w:rsidRPr="006D5966">
              <w:rPr>
                <w:rFonts w:ascii="Arial" w:hAnsi="Arial" w:cs="Arial"/>
                <w:b/>
                <w:bCs/>
                <w:sz w:val="20"/>
                <w:szCs w:val="20"/>
              </w:rPr>
              <w:t>AURORA</w:t>
            </w:r>
            <w:r w:rsidRPr="006D5966">
              <w:rPr>
                <w:rFonts w:ascii="Arial" w:hAnsi="Arial" w:cs="Arial"/>
                <w:sz w:val="20"/>
                <w:szCs w:val="20"/>
              </w:rPr>
              <w:t xml:space="preserve"> Travel Co., Ltd.) lodged Opposition Notice No. PD4-2012-0057 on January 20, 2012, requesting IP VIETNAM to refuse registration for the mark "</w:t>
            </w:r>
            <w:r w:rsidRPr="006D5966">
              <w:rPr>
                <w:rFonts w:ascii="Arial" w:hAnsi="Arial" w:cs="Arial"/>
                <w:b/>
                <w:bCs/>
                <w:sz w:val="20"/>
                <w:szCs w:val="20"/>
              </w:rPr>
              <w:t>AURORA</w:t>
            </w:r>
            <w:r w:rsidRPr="006D5966">
              <w:rPr>
                <w:rFonts w:ascii="Arial" w:hAnsi="Arial" w:cs="Arial"/>
                <w:sz w:val="20"/>
                <w:szCs w:val="20"/>
              </w:rPr>
              <w:t xml:space="preserve"> HOTEL &amp; TRAVEL, device". The opposition was based on its similarity with Ban Mai Tourism Co., Ltd.'s trade name (English name: </w:t>
            </w:r>
            <w:r w:rsidRPr="006D5966">
              <w:rPr>
                <w:rFonts w:ascii="Arial" w:hAnsi="Arial" w:cs="Arial"/>
                <w:b/>
                <w:bCs/>
                <w:sz w:val="20"/>
                <w:szCs w:val="20"/>
              </w:rPr>
              <w:t xml:space="preserve">AURORA </w:t>
            </w:r>
            <w:r w:rsidRPr="006D5966">
              <w:rPr>
                <w:rFonts w:ascii="Arial" w:hAnsi="Arial" w:cs="Arial"/>
                <w:sz w:val="20"/>
                <w:szCs w:val="20"/>
              </w:rPr>
              <w:t>Travel Co., Ltd.), extensively used in Vietnam before the trademark application date (September 7, 2011). On August 1, 2014, IP VIETNAM accepted this opposition and, on July 28, 2014, issued a notice for Trademark Application No. 4-2011-18522, refusing trademark protection under Articles 74.2</w:t>
            </w:r>
            <w:r>
              <w:rPr>
                <w:rFonts w:ascii="Arial" w:hAnsi="Arial" w:cs="Arial"/>
                <w:sz w:val="20"/>
                <w:szCs w:val="20"/>
              </w:rPr>
              <w:t>(</w:t>
            </w:r>
            <w:r w:rsidRPr="006D5966">
              <w:rPr>
                <w:rFonts w:ascii="Arial" w:hAnsi="Arial" w:cs="Arial"/>
                <w:sz w:val="20"/>
                <w:szCs w:val="20"/>
              </w:rPr>
              <w:t>k</w:t>
            </w:r>
            <w:r>
              <w:rPr>
                <w:rFonts w:ascii="Arial" w:hAnsi="Arial" w:cs="Arial"/>
                <w:sz w:val="20"/>
                <w:szCs w:val="20"/>
              </w:rPr>
              <w:t>)</w:t>
            </w:r>
            <w:r w:rsidRPr="006D5966">
              <w:rPr>
                <w:rFonts w:ascii="Arial" w:hAnsi="Arial" w:cs="Arial"/>
                <w:sz w:val="20"/>
                <w:szCs w:val="20"/>
              </w:rPr>
              <w:t xml:space="preserve"> and 74.2</w:t>
            </w:r>
            <w:r>
              <w:rPr>
                <w:rFonts w:ascii="Arial" w:hAnsi="Arial" w:cs="Arial"/>
                <w:sz w:val="20"/>
                <w:szCs w:val="20"/>
              </w:rPr>
              <w:t>(e)</w:t>
            </w:r>
            <w:r w:rsidRPr="006D5966">
              <w:rPr>
                <w:rFonts w:ascii="Arial" w:hAnsi="Arial" w:cs="Arial"/>
                <w:sz w:val="20"/>
                <w:szCs w:val="20"/>
              </w:rPr>
              <w:t xml:space="preserve"> of the Intellectual Property Law.</w:t>
            </w:r>
          </w:p>
          <w:p w14:paraId="0BA3EA5B" w14:textId="77777777" w:rsidR="0015574F" w:rsidRDefault="0015574F" w:rsidP="0015574F">
            <w:pPr>
              <w:jc w:val="both"/>
              <w:rPr>
                <w:rFonts w:ascii="Arial" w:hAnsi="Arial" w:cs="Arial"/>
                <w:sz w:val="20"/>
                <w:szCs w:val="20"/>
                <w:u w:val="single"/>
              </w:rPr>
            </w:pPr>
          </w:p>
        </w:tc>
      </w:tr>
      <w:tr w:rsidR="0015574F" w14:paraId="0B8F7C1D" w14:textId="77777777" w:rsidTr="0062163A">
        <w:tc>
          <w:tcPr>
            <w:tcW w:w="4675" w:type="dxa"/>
          </w:tcPr>
          <w:p w14:paraId="19C03362" w14:textId="77777777" w:rsidR="0015574F" w:rsidRDefault="0015574F" w:rsidP="0015574F">
            <w:pPr>
              <w:jc w:val="both"/>
              <w:rPr>
                <w:rFonts w:ascii="Arial" w:hAnsi="Arial" w:cs="Arial"/>
                <w:sz w:val="20"/>
                <w:szCs w:val="20"/>
              </w:rPr>
            </w:pPr>
            <w:r w:rsidRPr="00A45559">
              <w:rPr>
                <w:rFonts w:ascii="Arial" w:hAnsi="Arial" w:cs="Arial"/>
                <w:sz w:val="20"/>
                <w:szCs w:val="20"/>
                <w:u w:val="single"/>
              </w:rPr>
              <w:t>Trademark 3</w:t>
            </w:r>
            <w:r>
              <w:rPr>
                <w:rFonts w:ascii="Arial" w:hAnsi="Arial" w:cs="Arial"/>
                <w:sz w:val="20"/>
                <w:szCs w:val="20"/>
              </w:rPr>
              <w:t xml:space="preserve">: </w:t>
            </w:r>
            <w:r w:rsidRPr="00A45559">
              <w:rPr>
                <w:rFonts w:ascii="Arial" w:hAnsi="Arial" w:cs="Arial"/>
                <w:noProof/>
                <w:sz w:val="20"/>
                <w:szCs w:val="20"/>
              </w:rPr>
              <w:drawing>
                <wp:inline distT="0" distB="0" distL="0" distR="0" wp14:anchorId="36C682CB" wp14:editId="789469ED">
                  <wp:extent cx="1438275" cy="265157"/>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5031" cy="273777"/>
                          </a:xfrm>
                          <a:prstGeom prst="rect">
                            <a:avLst/>
                          </a:prstGeom>
                        </pic:spPr>
                      </pic:pic>
                    </a:graphicData>
                  </a:graphic>
                </wp:inline>
              </w:drawing>
            </w:r>
          </w:p>
        </w:tc>
        <w:tc>
          <w:tcPr>
            <w:tcW w:w="4675" w:type="dxa"/>
          </w:tcPr>
          <w:p w14:paraId="7D800114" w14:textId="77777777" w:rsidR="0015574F" w:rsidRDefault="0015574F" w:rsidP="0015574F">
            <w:pPr>
              <w:jc w:val="both"/>
              <w:rPr>
                <w:rFonts w:ascii="Arial" w:hAnsi="Arial" w:cs="Arial"/>
                <w:sz w:val="20"/>
                <w:szCs w:val="20"/>
                <w:u w:val="single"/>
              </w:rPr>
            </w:pPr>
          </w:p>
          <w:p w14:paraId="32B64B3C" w14:textId="77777777" w:rsidR="0015574F" w:rsidRDefault="0015574F" w:rsidP="0015574F">
            <w:pPr>
              <w:jc w:val="both"/>
              <w:rPr>
                <w:rFonts w:ascii="Arial" w:hAnsi="Arial" w:cs="Arial"/>
                <w:sz w:val="20"/>
                <w:szCs w:val="20"/>
              </w:rPr>
            </w:pPr>
            <w:r w:rsidRPr="00A45559">
              <w:rPr>
                <w:rFonts w:ascii="Arial" w:hAnsi="Arial" w:cs="Arial"/>
                <w:sz w:val="20"/>
                <w:szCs w:val="20"/>
                <w:u w:val="single"/>
              </w:rPr>
              <w:t>Trade name 3</w:t>
            </w:r>
            <w:r>
              <w:rPr>
                <w:rFonts w:ascii="Arial" w:hAnsi="Arial" w:cs="Arial"/>
                <w:sz w:val="20"/>
                <w:szCs w:val="20"/>
              </w:rPr>
              <w:t>:</w:t>
            </w:r>
            <w:r w:rsidRPr="006D5966">
              <w:rPr>
                <w:rFonts w:ascii="Arial" w:hAnsi="Arial" w:cs="Arial"/>
                <w:b/>
                <w:bCs/>
                <w:sz w:val="20"/>
                <w:szCs w:val="20"/>
              </w:rPr>
              <w:t xml:space="preserve"> LUXMAN</w:t>
            </w:r>
            <w:r w:rsidRPr="006D5966">
              <w:rPr>
                <w:rFonts w:ascii="Arial" w:hAnsi="Arial" w:cs="Arial"/>
                <w:sz w:val="20"/>
                <w:szCs w:val="20"/>
              </w:rPr>
              <w:t xml:space="preserve"> KABUSHIKIKAISHA</w:t>
            </w:r>
          </w:p>
          <w:p w14:paraId="16711717" w14:textId="77777777" w:rsidR="0015574F" w:rsidRDefault="0015574F" w:rsidP="0015574F">
            <w:pPr>
              <w:jc w:val="both"/>
              <w:rPr>
                <w:rFonts w:ascii="Arial" w:hAnsi="Arial" w:cs="Arial"/>
                <w:sz w:val="20"/>
                <w:szCs w:val="20"/>
              </w:rPr>
            </w:pPr>
          </w:p>
        </w:tc>
      </w:tr>
      <w:tr w:rsidR="0015574F" w14:paraId="0034E601" w14:textId="77777777" w:rsidTr="0062163A">
        <w:tc>
          <w:tcPr>
            <w:tcW w:w="9350" w:type="dxa"/>
            <w:gridSpan w:val="2"/>
          </w:tcPr>
          <w:p w14:paraId="7A61AA6F" w14:textId="77777777" w:rsidR="0015574F" w:rsidRDefault="0015574F" w:rsidP="0015574F">
            <w:pPr>
              <w:jc w:val="both"/>
              <w:rPr>
                <w:rFonts w:ascii="Arial" w:hAnsi="Arial" w:cs="Arial"/>
                <w:sz w:val="20"/>
                <w:szCs w:val="20"/>
                <w:u w:val="single"/>
              </w:rPr>
            </w:pPr>
          </w:p>
          <w:p w14:paraId="50E82ED9" w14:textId="765A1EEF" w:rsidR="0015574F" w:rsidRDefault="0015574F" w:rsidP="0015574F">
            <w:pPr>
              <w:jc w:val="both"/>
              <w:rPr>
                <w:rFonts w:ascii="Arial" w:hAnsi="Arial" w:cs="Arial"/>
                <w:sz w:val="20"/>
                <w:szCs w:val="20"/>
              </w:rPr>
            </w:pPr>
            <w:r w:rsidRPr="006D5966">
              <w:rPr>
                <w:rFonts w:ascii="Arial" w:hAnsi="Arial" w:cs="Arial"/>
                <w:sz w:val="20"/>
                <w:szCs w:val="20"/>
                <w:u w:val="single"/>
              </w:rPr>
              <w:t>Case 3</w:t>
            </w:r>
            <w:r w:rsidRPr="006D5966">
              <w:rPr>
                <w:rFonts w:ascii="Arial" w:hAnsi="Arial" w:cs="Arial"/>
                <w:sz w:val="20"/>
                <w:szCs w:val="20"/>
              </w:rPr>
              <w:t xml:space="preserve">: </w:t>
            </w:r>
            <w:r w:rsidRPr="006D5966">
              <w:rPr>
                <w:rFonts w:ascii="Arial" w:hAnsi="Arial" w:cs="Arial"/>
                <w:b/>
                <w:bCs/>
                <w:sz w:val="20"/>
                <w:szCs w:val="20"/>
              </w:rPr>
              <w:t>LUXMAN</w:t>
            </w:r>
            <w:r w:rsidRPr="006D5966">
              <w:rPr>
                <w:rFonts w:ascii="Arial" w:hAnsi="Arial" w:cs="Arial"/>
                <w:sz w:val="20"/>
                <w:szCs w:val="20"/>
              </w:rPr>
              <w:t xml:space="preserve"> KABUSHIKIKAISHA filed Opposition Notice No. PD4-2019-00616 on June 19, 2019, against the registration of the trademark "</w:t>
            </w:r>
            <w:r w:rsidRPr="006D5966">
              <w:rPr>
                <w:rFonts w:ascii="Arial" w:hAnsi="Arial" w:cs="Arial"/>
                <w:b/>
                <w:bCs/>
                <w:sz w:val="20"/>
                <w:szCs w:val="20"/>
              </w:rPr>
              <w:t>LUXMAN</w:t>
            </w:r>
            <w:r w:rsidRPr="006D5966">
              <w:rPr>
                <w:rFonts w:ascii="Arial" w:hAnsi="Arial" w:cs="Arial"/>
                <w:sz w:val="20"/>
                <w:szCs w:val="20"/>
              </w:rPr>
              <w:t>" due to its similarity with their trademark/trade name, widely utilized in Vietnam prior to the trademark application date (November 1, 2017). On September 4, 2020, IP VIETNAM issued a decision to reject the "LUXMAN" trademark in accordance with Articles 74.2</w:t>
            </w:r>
            <w:r>
              <w:rPr>
                <w:rFonts w:ascii="Arial" w:hAnsi="Arial" w:cs="Arial"/>
                <w:sz w:val="20"/>
                <w:szCs w:val="20"/>
              </w:rPr>
              <w:t>(</w:t>
            </w:r>
            <w:r w:rsidRPr="006D5966">
              <w:rPr>
                <w:rFonts w:ascii="Arial" w:hAnsi="Arial" w:cs="Arial"/>
                <w:sz w:val="20"/>
                <w:szCs w:val="20"/>
              </w:rPr>
              <w:t>k</w:t>
            </w:r>
            <w:r>
              <w:rPr>
                <w:rFonts w:ascii="Arial" w:hAnsi="Arial" w:cs="Arial"/>
                <w:sz w:val="20"/>
                <w:szCs w:val="20"/>
              </w:rPr>
              <w:t>)</w:t>
            </w:r>
            <w:r w:rsidRPr="006D5966">
              <w:rPr>
                <w:rFonts w:ascii="Arial" w:hAnsi="Arial" w:cs="Arial"/>
                <w:sz w:val="20"/>
                <w:szCs w:val="20"/>
              </w:rPr>
              <w:t xml:space="preserve"> and 74.2</w:t>
            </w:r>
            <w:r>
              <w:rPr>
                <w:rFonts w:ascii="Arial" w:hAnsi="Arial" w:cs="Arial"/>
                <w:sz w:val="20"/>
                <w:szCs w:val="20"/>
              </w:rPr>
              <w:t>(</w:t>
            </w:r>
            <w:r w:rsidRPr="006D5966">
              <w:rPr>
                <w:rFonts w:ascii="Arial" w:hAnsi="Arial" w:cs="Arial"/>
                <w:sz w:val="20"/>
                <w:szCs w:val="20"/>
              </w:rPr>
              <w:t>g</w:t>
            </w:r>
            <w:r>
              <w:rPr>
                <w:rFonts w:ascii="Arial" w:hAnsi="Arial" w:cs="Arial"/>
                <w:sz w:val="20"/>
                <w:szCs w:val="20"/>
              </w:rPr>
              <w:t>)</w:t>
            </w:r>
            <w:r w:rsidRPr="006D5966">
              <w:rPr>
                <w:rFonts w:ascii="Arial" w:hAnsi="Arial" w:cs="Arial"/>
                <w:sz w:val="20"/>
                <w:szCs w:val="20"/>
              </w:rPr>
              <w:t xml:space="preserve"> of the Intellectual Property Law.</w:t>
            </w:r>
          </w:p>
          <w:p w14:paraId="1A992533" w14:textId="0A5A9A90" w:rsidR="0015574F" w:rsidRDefault="0015574F" w:rsidP="0015574F">
            <w:pPr>
              <w:jc w:val="both"/>
              <w:rPr>
                <w:rFonts w:ascii="Arial" w:hAnsi="Arial" w:cs="Arial"/>
                <w:sz w:val="20"/>
                <w:szCs w:val="20"/>
              </w:rPr>
            </w:pPr>
          </w:p>
        </w:tc>
      </w:tr>
      <w:tr w:rsidR="0015574F" w14:paraId="4B22E584" w14:textId="77777777" w:rsidTr="0062163A">
        <w:tc>
          <w:tcPr>
            <w:tcW w:w="4675" w:type="dxa"/>
          </w:tcPr>
          <w:p w14:paraId="08686AFD" w14:textId="77777777" w:rsidR="0015574F" w:rsidRDefault="0015574F" w:rsidP="0015574F">
            <w:pPr>
              <w:jc w:val="both"/>
              <w:rPr>
                <w:rFonts w:ascii="Arial" w:hAnsi="Arial" w:cs="Arial"/>
                <w:sz w:val="20"/>
                <w:szCs w:val="20"/>
              </w:rPr>
            </w:pPr>
            <w:r>
              <w:rPr>
                <w:rFonts w:ascii="Arial" w:hAnsi="Arial" w:cs="Arial"/>
                <w:sz w:val="20"/>
                <w:szCs w:val="20"/>
              </w:rPr>
              <w:t xml:space="preserve">Trademark 4: </w:t>
            </w:r>
            <w:r w:rsidRPr="006A2401">
              <w:rPr>
                <w:rFonts w:ascii="Arial" w:hAnsi="Arial" w:cs="Arial"/>
                <w:noProof/>
                <w:sz w:val="20"/>
                <w:szCs w:val="20"/>
              </w:rPr>
              <w:drawing>
                <wp:inline distT="0" distB="0" distL="0" distR="0" wp14:anchorId="70B0B489" wp14:editId="460AED52">
                  <wp:extent cx="1152525" cy="4459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6115" cy="455044"/>
                          </a:xfrm>
                          <a:prstGeom prst="rect">
                            <a:avLst/>
                          </a:prstGeom>
                        </pic:spPr>
                      </pic:pic>
                    </a:graphicData>
                  </a:graphic>
                </wp:inline>
              </w:drawing>
            </w:r>
          </w:p>
        </w:tc>
        <w:tc>
          <w:tcPr>
            <w:tcW w:w="4675" w:type="dxa"/>
          </w:tcPr>
          <w:p w14:paraId="28DD2F59" w14:textId="77777777" w:rsidR="0015574F" w:rsidRDefault="0015574F" w:rsidP="0015574F">
            <w:pPr>
              <w:jc w:val="both"/>
              <w:rPr>
                <w:rFonts w:ascii="Arial" w:hAnsi="Arial" w:cs="Arial"/>
                <w:sz w:val="20"/>
                <w:szCs w:val="20"/>
              </w:rPr>
            </w:pPr>
          </w:p>
          <w:p w14:paraId="486E3D78" w14:textId="77777777" w:rsidR="0015574F" w:rsidRDefault="0015574F" w:rsidP="0015574F">
            <w:pPr>
              <w:jc w:val="both"/>
              <w:rPr>
                <w:rFonts w:ascii="Arial" w:hAnsi="Arial" w:cs="Arial"/>
                <w:sz w:val="20"/>
                <w:szCs w:val="20"/>
              </w:rPr>
            </w:pPr>
          </w:p>
          <w:p w14:paraId="4838EE83" w14:textId="77777777" w:rsidR="0015574F" w:rsidRDefault="0015574F" w:rsidP="0015574F">
            <w:pPr>
              <w:jc w:val="both"/>
              <w:rPr>
                <w:rFonts w:ascii="Arial" w:hAnsi="Arial" w:cs="Arial"/>
                <w:sz w:val="20"/>
                <w:szCs w:val="20"/>
              </w:rPr>
            </w:pPr>
            <w:r>
              <w:rPr>
                <w:rFonts w:ascii="Arial" w:hAnsi="Arial" w:cs="Arial"/>
                <w:sz w:val="20"/>
                <w:szCs w:val="20"/>
              </w:rPr>
              <w:t xml:space="preserve">Trade name: </w:t>
            </w:r>
            <w:r w:rsidRPr="006D5966">
              <w:rPr>
                <w:rFonts w:ascii="Arial" w:hAnsi="Arial" w:cs="Arial"/>
                <w:sz w:val="20"/>
                <w:szCs w:val="20"/>
              </w:rPr>
              <w:t xml:space="preserve">Shenzhen </w:t>
            </w:r>
            <w:r w:rsidRPr="006D5966">
              <w:rPr>
                <w:rFonts w:ascii="Arial" w:hAnsi="Arial" w:cs="Arial"/>
                <w:b/>
                <w:bCs/>
                <w:sz w:val="20"/>
                <w:szCs w:val="20"/>
              </w:rPr>
              <w:t xml:space="preserve">Fenda </w:t>
            </w:r>
            <w:r w:rsidRPr="006D5966">
              <w:rPr>
                <w:rFonts w:ascii="Arial" w:hAnsi="Arial" w:cs="Arial"/>
                <w:sz w:val="20"/>
                <w:szCs w:val="20"/>
              </w:rPr>
              <w:t>Technology Co., Ltd.</w:t>
            </w:r>
          </w:p>
        </w:tc>
      </w:tr>
      <w:tr w:rsidR="0015574F" w14:paraId="69D88DA0" w14:textId="77777777" w:rsidTr="0062163A">
        <w:tc>
          <w:tcPr>
            <w:tcW w:w="9350" w:type="dxa"/>
            <w:gridSpan w:val="2"/>
          </w:tcPr>
          <w:p w14:paraId="63B3CEAF" w14:textId="77777777" w:rsidR="0015574F" w:rsidRDefault="0015574F" w:rsidP="0015574F">
            <w:pPr>
              <w:jc w:val="both"/>
              <w:rPr>
                <w:rFonts w:ascii="Arial" w:hAnsi="Arial" w:cs="Arial"/>
                <w:sz w:val="20"/>
                <w:szCs w:val="20"/>
                <w:u w:val="single"/>
              </w:rPr>
            </w:pPr>
          </w:p>
          <w:p w14:paraId="7F23F083" w14:textId="77777777" w:rsidR="0015574F" w:rsidRDefault="0015574F" w:rsidP="0015574F">
            <w:pPr>
              <w:jc w:val="both"/>
              <w:rPr>
                <w:rFonts w:ascii="Arial" w:hAnsi="Arial" w:cs="Arial"/>
                <w:sz w:val="20"/>
                <w:szCs w:val="20"/>
              </w:rPr>
            </w:pPr>
            <w:r w:rsidRPr="006D5966">
              <w:rPr>
                <w:rFonts w:ascii="Arial" w:hAnsi="Arial" w:cs="Arial"/>
                <w:sz w:val="20"/>
                <w:szCs w:val="20"/>
                <w:u w:val="single"/>
              </w:rPr>
              <w:t>Case 4</w:t>
            </w:r>
            <w:r w:rsidRPr="006D5966">
              <w:rPr>
                <w:rFonts w:ascii="Arial" w:hAnsi="Arial" w:cs="Arial"/>
                <w:sz w:val="20"/>
                <w:szCs w:val="20"/>
              </w:rPr>
              <w:t xml:space="preserve">: Shenzhen </w:t>
            </w:r>
            <w:r w:rsidRPr="006D5966">
              <w:rPr>
                <w:rFonts w:ascii="Arial" w:hAnsi="Arial" w:cs="Arial"/>
                <w:b/>
                <w:bCs/>
                <w:sz w:val="20"/>
                <w:szCs w:val="20"/>
              </w:rPr>
              <w:t xml:space="preserve">Fenda </w:t>
            </w:r>
            <w:r w:rsidRPr="006D5966">
              <w:rPr>
                <w:rFonts w:ascii="Arial" w:hAnsi="Arial" w:cs="Arial"/>
                <w:sz w:val="20"/>
                <w:szCs w:val="20"/>
              </w:rPr>
              <w:t>Technology Co., Ltd. submitted an Opposition Notice against the registration of "</w:t>
            </w:r>
            <w:r w:rsidRPr="006D5966">
              <w:rPr>
                <w:rFonts w:ascii="Arial" w:hAnsi="Arial" w:cs="Arial"/>
                <w:b/>
                <w:bCs/>
                <w:sz w:val="20"/>
                <w:szCs w:val="20"/>
              </w:rPr>
              <w:t xml:space="preserve">FENDA </w:t>
            </w:r>
            <w:r w:rsidRPr="006D5966">
              <w:rPr>
                <w:rFonts w:ascii="Arial" w:hAnsi="Arial" w:cs="Arial"/>
                <w:sz w:val="20"/>
                <w:szCs w:val="20"/>
              </w:rPr>
              <w:t>electronics," arguing its similarity with their trademark/trade name, in use in Vietnam before the application date (January 3, 2019). On May 27, 2021, IP VIETNAM concluded its substantive examination, refusing to protect "FENDA electronics" under Article 74.2k of the Intellectual Property Law.</w:t>
            </w:r>
          </w:p>
          <w:p w14:paraId="14CBCF33" w14:textId="040CEE70" w:rsidR="0015574F" w:rsidRDefault="0015574F" w:rsidP="0015574F">
            <w:pPr>
              <w:jc w:val="both"/>
              <w:rPr>
                <w:rFonts w:ascii="Arial" w:hAnsi="Arial" w:cs="Arial"/>
                <w:sz w:val="20"/>
                <w:szCs w:val="20"/>
              </w:rPr>
            </w:pPr>
          </w:p>
        </w:tc>
      </w:tr>
    </w:tbl>
    <w:p w14:paraId="33BE1283" w14:textId="77777777" w:rsidR="0015574F" w:rsidRDefault="0015574F" w:rsidP="0015574F">
      <w:pPr>
        <w:jc w:val="both"/>
        <w:rPr>
          <w:rFonts w:ascii="Arial" w:hAnsi="Arial" w:cs="Arial"/>
          <w:sz w:val="20"/>
          <w:szCs w:val="20"/>
        </w:rPr>
      </w:pPr>
    </w:p>
    <w:p w14:paraId="1DD8E7D6" w14:textId="77777777" w:rsidR="0015574F" w:rsidRPr="00CE3EF6" w:rsidRDefault="0015574F" w:rsidP="0015574F">
      <w:pPr>
        <w:jc w:val="both"/>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3. Geographical Indication Infringement </w:t>
      </w:r>
      <w:r w:rsidRPr="0015574F">
        <w:rPr>
          <w:rFonts w:ascii="Arial" w:hAnsi="Arial" w:cs="Arial"/>
          <w:i/>
          <w:iCs/>
          <w:color w:val="000000" w:themeColor="text1"/>
          <w:sz w:val="20"/>
          <w:szCs w:val="20"/>
        </w:rPr>
        <w:t>(Articles 74.2l and 74.2m)</w:t>
      </w:r>
    </w:p>
    <w:p w14:paraId="2542B1B8" w14:textId="77777777" w:rsidR="0015574F" w:rsidRPr="006D5966" w:rsidRDefault="0015574F" w:rsidP="0015574F">
      <w:pPr>
        <w:jc w:val="both"/>
        <w:rPr>
          <w:rFonts w:ascii="Arial" w:hAnsi="Arial" w:cs="Arial"/>
          <w:sz w:val="20"/>
          <w:szCs w:val="20"/>
        </w:rPr>
      </w:pPr>
    </w:p>
    <w:p w14:paraId="0AA8A36F" w14:textId="77777777" w:rsidR="0015574F" w:rsidRPr="006D5966" w:rsidRDefault="0015574F" w:rsidP="0015574F">
      <w:pPr>
        <w:jc w:val="both"/>
        <w:rPr>
          <w:rFonts w:ascii="Arial" w:hAnsi="Arial" w:cs="Arial"/>
          <w:sz w:val="20"/>
          <w:szCs w:val="20"/>
        </w:rPr>
      </w:pPr>
      <w:r w:rsidRPr="006D5966">
        <w:rPr>
          <w:rFonts w:ascii="Arial" w:hAnsi="Arial" w:cs="Arial"/>
          <w:sz w:val="20"/>
          <w:szCs w:val="20"/>
        </w:rPr>
        <w:t xml:space="preserve">If a trademark application is identified as potentially infringing upon a protected </w:t>
      </w:r>
      <w:r w:rsidRPr="00B3131C">
        <w:rPr>
          <w:rFonts w:ascii="Arial" w:hAnsi="Arial" w:cs="Arial"/>
          <w:sz w:val="20"/>
          <w:szCs w:val="20"/>
        </w:rPr>
        <w:t>Geographical Indication</w:t>
      </w:r>
      <w:r w:rsidRPr="00B3131C">
        <w:rPr>
          <w:rFonts w:ascii="Arial" w:hAnsi="Arial" w:cs="Arial"/>
          <w:b/>
          <w:bCs/>
          <w:sz w:val="22"/>
          <w:szCs w:val="22"/>
        </w:rPr>
        <w:t xml:space="preserve"> </w:t>
      </w:r>
      <w:r w:rsidRPr="00B3131C">
        <w:rPr>
          <w:rFonts w:ascii="Arial" w:hAnsi="Arial" w:cs="Arial"/>
          <w:sz w:val="22"/>
          <w:szCs w:val="22"/>
        </w:rPr>
        <w:t>(</w:t>
      </w:r>
      <w:r w:rsidRPr="00B3131C">
        <w:rPr>
          <w:rFonts w:ascii="Arial" w:hAnsi="Arial" w:cs="Arial"/>
          <w:b/>
          <w:bCs/>
          <w:sz w:val="20"/>
          <w:szCs w:val="20"/>
        </w:rPr>
        <w:t>GI</w:t>
      </w:r>
      <w:r>
        <w:rPr>
          <w:rFonts w:ascii="Arial" w:hAnsi="Arial" w:cs="Arial"/>
          <w:sz w:val="20"/>
          <w:szCs w:val="20"/>
        </w:rPr>
        <w:t>)</w:t>
      </w:r>
      <w:r w:rsidRPr="006D5966">
        <w:rPr>
          <w:rFonts w:ascii="Arial" w:hAnsi="Arial" w:cs="Arial"/>
          <w:sz w:val="20"/>
          <w:szCs w:val="20"/>
        </w:rPr>
        <w:t xml:space="preserve"> as per these articles, it can be opposed. Under Article 74.2</w:t>
      </w:r>
      <w:r>
        <w:rPr>
          <w:rFonts w:ascii="Arial" w:hAnsi="Arial" w:cs="Arial"/>
          <w:sz w:val="20"/>
          <w:szCs w:val="20"/>
        </w:rPr>
        <w:t>(</w:t>
      </w:r>
      <w:r w:rsidRPr="006D5966">
        <w:rPr>
          <w:rFonts w:ascii="Arial" w:hAnsi="Arial" w:cs="Arial"/>
          <w:sz w:val="20"/>
          <w:szCs w:val="20"/>
        </w:rPr>
        <w:t>l</w:t>
      </w:r>
      <w:r>
        <w:rPr>
          <w:rFonts w:ascii="Arial" w:hAnsi="Arial" w:cs="Arial"/>
          <w:sz w:val="20"/>
          <w:szCs w:val="20"/>
        </w:rPr>
        <w:t>)</w:t>
      </w:r>
      <w:r w:rsidRPr="006D5966">
        <w:rPr>
          <w:rFonts w:ascii="Arial" w:hAnsi="Arial" w:cs="Arial"/>
          <w:sz w:val="20"/>
          <w:szCs w:val="20"/>
        </w:rPr>
        <w:t>, a trademark application may be opposed if the mark is identical or similar to a protected GI and could mislead consumers about the geographical origin of the goods.</w:t>
      </w:r>
    </w:p>
    <w:p w14:paraId="029286A9" w14:textId="77777777" w:rsidR="0015574F" w:rsidRPr="006D5966" w:rsidRDefault="0015574F" w:rsidP="0015574F">
      <w:pPr>
        <w:jc w:val="both"/>
        <w:rPr>
          <w:rFonts w:ascii="Arial" w:hAnsi="Arial" w:cs="Arial"/>
          <w:sz w:val="20"/>
          <w:szCs w:val="20"/>
        </w:rPr>
      </w:pPr>
    </w:p>
    <w:p w14:paraId="4A44B0C0" w14:textId="77777777" w:rsidR="0015574F" w:rsidRDefault="0015574F" w:rsidP="0015574F">
      <w:pPr>
        <w:jc w:val="both"/>
        <w:rPr>
          <w:rFonts w:ascii="Arial" w:hAnsi="Arial" w:cs="Arial"/>
          <w:sz w:val="20"/>
          <w:szCs w:val="20"/>
        </w:rPr>
      </w:pPr>
      <w:r w:rsidRPr="006D5966">
        <w:rPr>
          <w:rFonts w:ascii="Arial" w:hAnsi="Arial" w:cs="Arial"/>
          <w:sz w:val="20"/>
          <w:szCs w:val="20"/>
        </w:rPr>
        <w:t>Article 74.2</w:t>
      </w:r>
      <w:r>
        <w:rPr>
          <w:rFonts w:ascii="Arial" w:hAnsi="Arial" w:cs="Arial"/>
          <w:sz w:val="20"/>
          <w:szCs w:val="20"/>
        </w:rPr>
        <w:t>(</w:t>
      </w:r>
      <w:r w:rsidRPr="006D5966">
        <w:rPr>
          <w:rFonts w:ascii="Arial" w:hAnsi="Arial" w:cs="Arial"/>
          <w:sz w:val="20"/>
          <w:szCs w:val="20"/>
        </w:rPr>
        <w:t>m</w:t>
      </w:r>
      <w:r>
        <w:rPr>
          <w:rFonts w:ascii="Arial" w:hAnsi="Arial" w:cs="Arial"/>
          <w:sz w:val="20"/>
          <w:szCs w:val="20"/>
        </w:rPr>
        <w:t>)</w:t>
      </w:r>
      <w:r w:rsidRPr="006D5966">
        <w:rPr>
          <w:rFonts w:ascii="Arial" w:hAnsi="Arial" w:cs="Arial"/>
          <w:sz w:val="20"/>
          <w:szCs w:val="20"/>
        </w:rPr>
        <w:t xml:space="preserve"> specifically addresses trademarks related to wines and spirits. Under this article, opposition can be filed against trademarks that use, translate, or transcribe a GI pertaining to wines and spirits, especially if the products do not actually originate from the geographical areas indicated by those GIs.</w:t>
      </w:r>
    </w:p>
    <w:p w14:paraId="483D87CC" w14:textId="77777777" w:rsidR="0015574F" w:rsidRDefault="0015574F" w:rsidP="0015574F">
      <w:pPr>
        <w:jc w:val="both"/>
        <w:rPr>
          <w:rFonts w:ascii="Arial" w:hAnsi="Arial" w:cs="Arial"/>
          <w:sz w:val="20"/>
          <w:szCs w:val="20"/>
        </w:rPr>
      </w:pPr>
    </w:p>
    <w:p w14:paraId="7B8F89FA" w14:textId="77777777" w:rsidR="0015574F" w:rsidRDefault="0015574F" w:rsidP="0015574F">
      <w:pPr>
        <w:rPr>
          <w:rFonts w:ascii="Arial" w:hAnsi="Arial" w:cs="Arial"/>
          <w:sz w:val="20"/>
          <w:szCs w:val="20"/>
        </w:rPr>
      </w:pPr>
      <w:r w:rsidRPr="006D5966">
        <w:rPr>
          <w:rFonts w:ascii="Arial" w:hAnsi="Arial" w:cs="Arial"/>
          <w:sz w:val="20"/>
          <w:szCs w:val="20"/>
        </w:rPr>
        <w:t>In a case exemplified by the table below:</w:t>
      </w:r>
    </w:p>
    <w:p w14:paraId="4CAD391A" w14:textId="77777777" w:rsidR="0015574F" w:rsidRDefault="0015574F" w:rsidP="0015574F">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15574F" w14:paraId="08E8F9DA" w14:textId="77777777" w:rsidTr="0062163A">
        <w:tc>
          <w:tcPr>
            <w:tcW w:w="9350" w:type="dxa"/>
          </w:tcPr>
          <w:p w14:paraId="2C7468E6" w14:textId="77777777" w:rsidR="0015574F" w:rsidRDefault="0015574F" w:rsidP="0015574F">
            <w:pPr>
              <w:jc w:val="both"/>
              <w:rPr>
                <w:rFonts w:ascii="Arial" w:hAnsi="Arial" w:cs="Arial"/>
                <w:sz w:val="20"/>
                <w:szCs w:val="20"/>
              </w:rPr>
            </w:pPr>
            <w:r>
              <w:rPr>
                <w:rFonts w:ascii="Arial" w:hAnsi="Arial" w:cs="Arial"/>
                <w:sz w:val="20"/>
                <w:szCs w:val="20"/>
              </w:rPr>
              <w:t>Ngan Anh Co., Ltd. applied to register the mark “</w:t>
            </w:r>
            <w:r w:rsidRPr="008C1E50">
              <w:rPr>
                <w:rFonts w:ascii="Arial" w:hAnsi="Arial" w:cs="Arial"/>
                <w:noProof/>
                <w:sz w:val="20"/>
                <w:szCs w:val="20"/>
              </w:rPr>
              <w:drawing>
                <wp:inline distT="0" distB="0" distL="0" distR="0" wp14:anchorId="2C3F3EE1" wp14:editId="115BFA49">
                  <wp:extent cx="1771897" cy="5144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71897" cy="514422"/>
                          </a:xfrm>
                          <a:prstGeom prst="rect">
                            <a:avLst/>
                          </a:prstGeom>
                        </pic:spPr>
                      </pic:pic>
                    </a:graphicData>
                  </a:graphic>
                </wp:inline>
              </w:drawing>
            </w:r>
            <w:r>
              <w:rPr>
                <w:rFonts w:ascii="Arial" w:hAnsi="Arial" w:cs="Arial"/>
                <w:sz w:val="20"/>
                <w:szCs w:val="20"/>
              </w:rPr>
              <w:t>” (BORDEUX M 25 WP Cop, device) for the goods in class 05 covering “</w:t>
            </w:r>
            <w:r w:rsidRPr="008C1E50">
              <w:rPr>
                <w:rFonts w:ascii="Arial" w:hAnsi="Arial" w:cs="Arial"/>
                <w:i/>
                <w:iCs/>
                <w:sz w:val="20"/>
                <w:szCs w:val="20"/>
              </w:rPr>
              <w:t>Plant protection products (Fungicide)</w:t>
            </w:r>
            <w:r>
              <w:rPr>
                <w:rFonts w:ascii="Arial" w:hAnsi="Arial" w:cs="Arial"/>
                <w:sz w:val="20"/>
                <w:szCs w:val="20"/>
              </w:rPr>
              <w:t xml:space="preserve">”. </w:t>
            </w:r>
            <w:r w:rsidRPr="008C1E50">
              <w:rPr>
                <w:rFonts w:ascii="Arial" w:hAnsi="Arial" w:cs="Arial"/>
                <w:sz w:val="20"/>
                <w:szCs w:val="20"/>
              </w:rPr>
              <w:t>IP VIETNAM rejected the trademark application, citing, among other reasons, that "BORDEAUX" is the name of a French seaport, and its use may lead consumers to believe the products originate from there, causing potential confusion.</w:t>
            </w:r>
          </w:p>
        </w:tc>
      </w:tr>
    </w:tbl>
    <w:p w14:paraId="6CC5DFCF" w14:textId="77777777" w:rsidR="0015574F" w:rsidRPr="006D5966" w:rsidRDefault="0015574F" w:rsidP="0015574F">
      <w:pPr>
        <w:jc w:val="both"/>
        <w:rPr>
          <w:rFonts w:ascii="Arial" w:hAnsi="Arial" w:cs="Arial"/>
          <w:sz w:val="20"/>
          <w:szCs w:val="20"/>
        </w:rPr>
      </w:pPr>
    </w:p>
    <w:p w14:paraId="7E27EA34" w14:textId="77777777" w:rsidR="0015574F" w:rsidRPr="00CE3EF6" w:rsidRDefault="0015574F" w:rsidP="0015574F">
      <w:pPr>
        <w:jc w:val="both"/>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4. Industrial Design Infringement </w:t>
      </w:r>
      <w:r w:rsidRPr="0015574F">
        <w:rPr>
          <w:rFonts w:ascii="Arial" w:hAnsi="Arial" w:cs="Arial"/>
          <w:color w:val="000000" w:themeColor="text1"/>
          <w:sz w:val="20"/>
          <w:szCs w:val="20"/>
        </w:rPr>
        <w:t>(</w:t>
      </w:r>
      <w:r w:rsidRPr="0015574F">
        <w:rPr>
          <w:rFonts w:ascii="Arial" w:hAnsi="Arial" w:cs="Arial"/>
          <w:i/>
          <w:iCs/>
          <w:color w:val="000000" w:themeColor="text1"/>
          <w:sz w:val="20"/>
          <w:szCs w:val="20"/>
        </w:rPr>
        <w:t>Article 74.2n</w:t>
      </w:r>
      <w:r w:rsidRPr="0015574F">
        <w:rPr>
          <w:rFonts w:ascii="Arial" w:hAnsi="Arial" w:cs="Arial"/>
          <w:color w:val="000000" w:themeColor="text1"/>
          <w:sz w:val="20"/>
          <w:szCs w:val="20"/>
        </w:rPr>
        <w:t>)</w:t>
      </w:r>
    </w:p>
    <w:p w14:paraId="5C50BD35" w14:textId="77777777" w:rsidR="0015574F" w:rsidRPr="006D5966" w:rsidRDefault="0015574F" w:rsidP="0015574F">
      <w:pPr>
        <w:jc w:val="both"/>
        <w:rPr>
          <w:rFonts w:ascii="Arial" w:hAnsi="Arial" w:cs="Arial"/>
          <w:sz w:val="20"/>
          <w:szCs w:val="20"/>
        </w:rPr>
      </w:pPr>
    </w:p>
    <w:p w14:paraId="20777EE3" w14:textId="77777777" w:rsidR="0015574F" w:rsidRDefault="0015574F" w:rsidP="0015574F">
      <w:pPr>
        <w:jc w:val="both"/>
        <w:rPr>
          <w:rFonts w:ascii="Arial" w:hAnsi="Arial" w:cs="Arial"/>
          <w:sz w:val="20"/>
          <w:szCs w:val="20"/>
        </w:rPr>
      </w:pPr>
      <w:r w:rsidRPr="00B3131C">
        <w:rPr>
          <w:rFonts w:ascii="Arial" w:hAnsi="Arial" w:cs="Arial"/>
          <w:sz w:val="20"/>
          <w:szCs w:val="20"/>
        </w:rPr>
        <w:t>A trademark application in Vietnam can be opposed under Article 74.2</w:t>
      </w:r>
      <w:r>
        <w:rPr>
          <w:rFonts w:ascii="Arial" w:hAnsi="Arial" w:cs="Arial"/>
          <w:sz w:val="20"/>
          <w:szCs w:val="20"/>
        </w:rPr>
        <w:t>(</w:t>
      </w:r>
      <w:r w:rsidRPr="00B3131C">
        <w:rPr>
          <w:rFonts w:ascii="Arial" w:hAnsi="Arial" w:cs="Arial"/>
          <w:sz w:val="20"/>
          <w:szCs w:val="20"/>
        </w:rPr>
        <w:t>n</w:t>
      </w:r>
      <w:r>
        <w:rPr>
          <w:rFonts w:ascii="Arial" w:hAnsi="Arial" w:cs="Arial"/>
          <w:sz w:val="20"/>
          <w:szCs w:val="20"/>
        </w:rPr>
        <w:t>)</w:t>
      </w:r>
      <w:r w:rsidRPr="00B3131C">
        <w:rPr>
          <w:rFonts w:ascii="Arial" w:hAnsi="Arial" w:cs="Arial"/>
          <w:sz w:val="20"/>
          <w:szCs w:val="20"/>
        </w:rPr>
        <w:t xml:space="preserve"> of Vietnam’s IP Law if it features a sign (</w:t>
      </w:r>
      <w:r w:rsidRPr="00B3131C">
        <w:rPr>
          <w:rFonts w:ascii="Arial" w:hAnsi="Arial" w:cs="Arial"/>
          <w:i/>
          <w:iCs/>
          <w:sz w:val="20"/>
          <w:szCs w:val="20"/>
        </w:rPr>
        <w:t>such as a logo, shape, or symbol</w:t>
      </w:r>
      <w:r w:rsidRPr="00B3131C">
        <w:rPr>
          <w:rFonts w:ascii="Arial" w:hAnsi="Arial" w:cs="Arial"/>
          <w:sz w:val="20"/>
          <w:szCs w:val="20"/>
        </w:rPr>
        <w:t>) that is either identical or insignificantly different from an already protected industrial design. The opposition is valid if the industrial design in question was filed for registration before the filing date of the trademark application.</w:t>
      </w:r>
    </w:p>
    <w:p w14:paraId="234B7BC5" w14:textId="77777777" w:rsidR="0015574F" w:rsidRDefault="0015574F" w:rsidP="0015574F">
      <w:pPr>
        <w:jc w:val="both"/>
        <w:rPr>
          <w:rFonts w:ascii="Arial" w:hAnsi="Arial" w:cs="Arial"/>
          <w:sz w:val="20"/>
          <w:szCs w:val="20"/>
        </w:rPr>
      </w:pPr>
    </w:p>
    <w:p w14:paraId="21D7FBFA" w14:textId="77777777" w:rsidR="0015574F" w:rsidRPr="00B3131C" w:rsidRDefault="0015574F" w:rsidP="0015574F">
      <w:pPr>
        <w:jc w:val="both"/>
        <w:rPr>
          <w:rFonts w:ascii="Arial" w:hAnsi="Arial" w:cs="Arial"/>
          <w:sz w:val="20"/>
          <w:szCs w:val="20"/>
        </w:rPr>
      </w:pPr>
      <w:r w:rsidRPr="00B3131C">
        <w:rPr>
          <w:rFonts w:ascii="Arial" w:hAnsi="Arial" w:cs="Arial"/>
          <w:sz w:val="20"/>
          <w:szCs w:val="20"/>
        </w:rPr>
        <w:t>Therefore, an opposition to the registration of a mark could be filed on the basis of an earlier design right, in particular where the shape of the trademark is identical or cannot be distinguished from the protected design. What should be further interpreted under Article 74.2</w:t>
      </w:r>
      <w:r>
        <w:rPr>
          <w:rFonts w:ascii="Arial" w:hAnsi="Arial" w:cs="Arial"/>
          <w:sz w:val="20"/>
          <w:szCs w:val="20"/>
        </w:rPr>
        <w:t>(</w:t>
      </w:r>
      <w:r w:rsidRPr="00B3131C">
        <w:rPr>
          <w:rFonts w:ascii="Arial" w:hAnsi="Arial" w:cs="Arial"/>
          <w:sz w:val="20"/>
          <w:szCs w:val="20"/>
        </w:rPr>
        <w:t>n</w:t>
      </w:r>
      <w:r>
        <w:rPr>
          <w:rFonts w:ascii="Arial" w:hAnsi="Arial" w:cs="Arial"/>
          <w:sz w:val="20"/>
          <w:szCs w:val="20"/>
        </w:rPr>
        <w:t>)</w:t>
      </w:r>
      <w:r w:rsidRPr="00B3131C">
        <w:rPr>
          <w:rFonts w:ascii="Arial" w:hAnsi="Arial" w:cs="Arial"/>
          <w:sz w:val="20"/>
          <w:szCs w:val="20"/>
        </w:rPr>
        <w:t xml:space="preserve"> is that the design right may apply regardless of the goods for which a trademark would be registered.</w:t>
      </w:r>
    </w:p>
    <w:p w14:paraId="75EA5D44" w14:textId="77777777" w:rsidR="0015574F" w:rsidRPr="00CE3EF6" w:rsidRDefault="0015574F" w:rsidP="0015574F">
      <w:pPr>
        <w:jc w:val="both"/>
        <w:rPr>
          <w:rFonts w:ascii="Arial" w:hAnsi="Arial" w:cs="Arial"/>
          <w:color w:val="2F5496" w:themeColor="accent1" w:themeShade="BF"/>
          <w:sz w:val="20"/>
          <w:szCs w:val="20"/>
        </w:rPr>
      </w:pPr>
    </w:p>
    <w:p w14:paraId="3B08E36D" w14:textId="77777777" w:rsidR="0015574F" w:rsidRPr="00CE3EF6" w:rsidRDefault="0015574F" w:rsidP="0015574F">
      <w:pPr>
        <w:jc w:val="both"/>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5. Plant Variety Name Infringement </w:t>
      </w:r>
      <w:r w:rsidRPr="0015574F">
        <w:rPr>
          <w:rFonts w:ascii="Arial" w:hAnsi="Arial" w:cs="Arial"/>
          <w:sz w:val="20"/>
          <w:szCs w:val="20"/>
        </w:rPr>
        <w:t>(</w:t>
      </w:r>
      <w:r w:rsidRPr="0015574F">
        <w:rPr>
          <w:rFonts w:ascii="Arial" w:hAnsi="Arial" w:cs="Arial"/>
          <w:i/>
          <w:iCs/>
          <w:sz w:val="20"/>
          <w:szCs w:val="20"/>
        </w:rPr>
        <w:t>Article 74.2o</w:t>
      </w:r>
      <w:r w:rsidRPr="0015574F">
        <w:rPr>
          <w:rFonts w:ascii="Arial" w:hAnsi="Arial" w:cs="Arial"/>
          <w:sz w:val="20"/>
          <w:szCs w:val="20"/>
        </w:rPr>
        <w:t>)</w:t>
      </w:r>
    </w:p>
    <w:p w14:paraId="5F09B1D3" w14:textId="77777777" w:rsidR="0015574F" w:rsidRPr="006D5966" w:rsidRDefault="0015574F" w:rsidP="0015574F">
      <w:pPr>
        <w:jc w:val="both"/>
        <w:rPr>
          <w:rFonts w:ascii="Arial" w:hAnsi="Arial" w:cs="Arial"/>
          <w:sz w:val="20"/>
          <w:szCs w:val="20"/>
        </w:rPr>
      </w:pPr>
    </w:p>
    <w:p w14:paraId="11F7D4B4" w14:textId="77777777" w:rsidR="0015574F" w:rsidRDefault="0015574F" w:rsidP="0015574F">
      <w:pPr>
        <w:rPr>
          <w:rFonts w:ascii="Arial" w:hAnsi="Arial" w:cs="Arial"/>
          <w:sz w:val="20"/>
          <w:szCs w:val="20"/>
        </w:rPr>
      </w:pPr>
      <w:r w:rsidRPr="006D5966">
        <w:rPr>
          <w:rFonts w:ascii="Arial" w:hAnsi="Arial" w:cs="Arial"/>
          <w:sz w:val="20"/>
          <w:szCs w:val="20"/>
        </w:rPr>
        <w:t>If a sign (</w:t>
      </w:r>
      <w:r w:rsidRPr="00181EDD">
        <w:rPr>
          <w:rFonts w:ascii="Arial" w:hAnsi="Arial" w:cs="Arial"/>
          <w:i/>
          <w:iCs/>
          <w:sz w:val="20"/>
          <w:szCs w:val="20"/>
        </w:rPr>
        <w:t>or trademark</w:t>
      </w:r>
      <w:r w:rsidRPr="006D5966">
        <w:rPr>
          <w:rFonts w:ascii="Arial" w:hAnsi="Arial" w:cs="Arial"/>
          <w:sz w:val="20"/>
          <w:szCs w:val="20"/>
        </w:rPr>
        <w:t>) is identical or confusingly similar to the names of plant varieties that are already protected in Vietnam, it can be a basis for opposing the trademark.</w:t>
      </w:r>
      <w:r w:rsidRPr="005940A2">
        <w:rPr>
          <w:rFonts w:ascii="Arial" w:hAnsi="Arial" w:cs="Arial"/>
          <w:sz w:val="20"/>
          <w:szCs w:val="20"/>
        </w:rPr>
        <w:t xml:space="preserve"> </w:t>
      </w:r>
    </w:p>
    <w:p w14:paraId="6BA7CA31" w14:textId="77777777" w:rsidR="0015574F" w:rsidRPr="00B3131C" w:rsidRDefault="0015574F" w:rsidP="0015574F">
      <w:pPr>
        <w:jc w:val="both"/>
        <w:rPr>
          <w:rFonts w:ascii="Arial" w:hAnsi="Arial" w:cs="Arial"/>
          <w:sz w:val="22"/>
          <w:szCs w:val="22"/>
        </w:rPr>
      </w:pPr>
    </w:p>
    <w:p w14:paraId="1F049A9C" w14:textId="77777777" w:rsidR="0015574F" w:rsidRPr="00CE3EF6" w:rsidRDefault="0015574F" w:rsidP="0015574F">
      <w:pPr>
        <w:jc w:val="both"/>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6. Copyrighted Material Infringement </w:t>
      </w:r>
      <w:r w:rsidRPr="0015574F">
        <w:rPr>
          <w:rFonts w:ascii="Arial" w:hAnsi="Arial" w:cs="Arial"/>
          <w:i/>
          <w:iCs/>
          <w:sz w:val="20"/>
          <w:szCs w:val="20"/>
        </w:rPr>
        <w:t>(Article 73.7 and 74.2p)</w:t>
      </w:r>
    </w:p>
    <w:p w14:paraId="0EAC203A" w14:textId="77777777" w:rsidR="0015574F" w:rsidRDefault="0015574F" w:rsidP="0015574F">
      <w:pPr>
        <w:jc w:val="both"/>
        <w:rPr>
          <w:rFonts w:ascii="Arial" w:hAnsi="Arial" w:cs="Arial"/>
          <w:sz w:val="20"/>
          <w:szCs w:val="20"/>
        </w:rPr>
      </w:pPr>
    </w:p>
    <w:p w14:paraId="7C5D0478" w14:textId="77777777" w:rsidR="0015574F" w:rsidRDefault="0015574F" w:rsidP="0015574F">
      <w:pPr>
        <w:jc w:val="both"/>
        <w:rPr>
          <w:rFonts w:ascii="Arial" w:hAnsi="Arial" w:cs="Arial"/>
          <w:sz w:val="20"/>
          <w:szCs w:val="20"/>
        </w:rPr>
      </w:pPr>
      <w:r w:rsidRPr="002251A3">
        <w:rPr>
          <w:rFonts w:ascii="Arial" w:hAnsi="Arial" w:cs="Arial"/>
          <w:sz w:val="20"/>
          <w:szCs w:val="20"/>
        </w:rPr>
        <w:t xml:space="preserve">Article </w:t>
      </w:r>
      <w:r w:rsidRPr="00C12CBE">
        <w:rPr>
          <w:rFonts w:ascii="Arial" w:hAnsi="Arial" w:cs="Arial"/>
          <w:b/>
          <w:bCs/>
          <w:sz w:val="20"/>
          <w:szCs w:val="20"/>
        </w:rPr>
        <w:t>73.7</w:t>
      </w:r>
      <w:r w:rsidRPr="002251A3">
        <w:rPr>
          <w:rFonts w:ascii="Arial" w:hAnsi="Arial" w:cs="Arial"/>
          <w:sz w:val="20"/>
          <w:szCs w:val="20"/>
        </w:rPr>
        <w:t xml:space="preserve"> of the Vietnam IP Law</w:t>
      </w:r>
      <w:r>
        <w:rPr>
          <w:rFonts w:ascii="Arial" w:hAnsi="Arial" w:cs="Arial"/>
          <w:sz w:val="20"/>
          <w:szCs w:val="20"/>
        </w:rPr>
        <w:t xml:space="preserve"> provides</w:t>
      </w:r>
      <w:r w:rsidRPr="002251A3">
        <w:rPr>
          <w:rFonts w:ascii="Arial" w:hAnsi="Arial" w:cs="Arial"/>
          <w:sz w:val="20"/>
          <w:szCs w:val="20"/>
        </w:rPr>
        <w:t xml:space="preserve"> that signs</w:t>
      </w:r>
      <w:r>
        <w:rPr>
          <w:rFonts w:ascii="Arial" w:hAnsi="Arial" w:cs="Arial"/>
          <w:sz w:val="20"/>
          <w:szCs w:val="20"/>
        </w:rPr>
        <w:t xml:space="preserve"> (</w:t>
      </w:r>
      <w:r w:rsidRPr="00C12CBE">
        <w:rPr>
          <w:rFonts w:ascii="Arial" w:hAnsi="Arial" w:cs="Arial"/>
          <w:i/>
          <w:iCs/>
          <w:sz w:val="20"/>
          <w:szCs w:val="20"/>
        </w:rPr>
        <w:t>e.g.</w:t>
      </w:r>
      <w:r>
        <w:rPr>
          <w:rFonts w:ascii="Arial" w:hAnsi="Arial" w:cs="Arial"/>
          <w:i/>
          <w:iCs/>
          <w:sz w:val="20"/>
          <w:szCs w:val="20"/>
        </w:rPr>
        <w:t>,</w:t>
      </w:r>
      <w:r w:rsidRPr="00C12CBE">
        <w:rPr>
          <w:rFonts w:ascii="Arial" w:hAnsi="Arial" w:cs="Arial"/>
          <w:i/>
          <w:iCs/>
          <w:sz w:val="20"/>
          <w:szCs w:val="20"/>
        </w:rPr>
        <w:t xml:space="preserve"> applied-for trademark</w:t>
      </w:r>
      <w:r>
        <w:rPr>
          <w:rFonts w:ascii="Arial" w:hAnsi="Arial" w:cs="Arial"/>
          <w:i/>
          <w:iCs/>
          <w:sz w:val="20"/>
          <w:szCs w:val="20"/>
        </w:rPr>
        <w:t>s</w:t>
      </w:r>
      <w:r>
        <w:rPr>
          <w:rFonts w:ascii="Arial" w:hAnsi="Arial" w:cs="Arial"/>
          <w:sz w:val="20"/>
          <w:szCs w:val="20"/>
        </w:rPr>
        <w:t>)</w:t>
      </w:r>
      <w:r w:rsidRPr="002251A3">
        <w:rPr>
          <w:rFonts w:ascii="Arial" w:hAnsi="Arial" w:cs="Arial"/>
          <w:sz w:val="20"/>
          <w:szCs w:val="20"/>
        </w:rPr>
        <w:t xml:space="preserve"> containing copies of works are ineligible for trademark protection unless permitted by the owners of such works</w:t>
      </w:r>
      <w:r>
        <w:rPr>
          <w:rFonts w:ascii="Arial" w:hAnsi="Arial" w:cs="Arial"/>
          <w:sz w:val="20"/>
          <w:szCs w:val="20"/>
        </w:rPr>
        <w:t xml:space="preserve">. </w:t>
      </w:r>
      <w:r w:rsidRPr="00B86FD0">
        <w:rPr>
          <w:rFonts w:ascii="Arial" w:hAnsi="Arial" w:cs="Arial"/>
          <w:sz w:val="20"/>
          <w:szCs w:val="20"/>
        </w:rPr>
        <w:t xml:space="preserve">This means that the owner of copyrighted works, which can include logos, artistic designs, or other creative expressions, has the right to oppose the registration of trademarks that directly copy or incorporate their copyrighted works without seeking the permission of the original creators. Essentially, </w:t>
      </w:r>
      <w:r w:rsidRPr="002251A3">
        <w:rPr>
          <w:rFonts w:ascii="Arial" w:hAnsi="Arial" w:cs="Arial"/>
          <w:sz w:val="20"/>
          <w:szCs w:val="20"/>
        </w:rPr>
        <w:t xml:space="preserve">Article 73.7 </w:t>
      </w:r>
      <w:r w:rsidRPr="00B86FD0">
        <w:rPr>
          <w:rFonts w:ascii="Arial" w:hAnsi="Arial" w:cs="Arial"/>
          <w:sz w:val="20"/>
          <w:szCs w:val="20"/>
        </w:rPr>
        <w:t>allows copyright owners to protect their intellectual property rights and prevent others from registering trademarks that infringe upon their copyrighted works.</w:t>
      </w:r>
    </w:p>
    <w:p w14:paraId="178160AA" w14:textId="77777777" w:rsidR="0015574F" w:rsidRDefault="0015574F" w:rsidP="0015574F">
      <w:pPr>
        <w:jc w:val="both"/>
        <w:rPr>
          <w:rFonts w:ascii="Arial" w:hAnsi="Arial" w:cs="Arial"/>
          <w:sz w:val="20"/>
          <w:szCs w:val="20"/>
        </w:rPr>
      </w:pPr>
    </w:p>
    <w:p w14:paraId="596610FB" w14:textId="77777777" w:rsidR="0015574F" w:rsidRDefault="0015574F" w:rsidP="0015574F">
      <w:pPr>
        <w:rPr>
          <w:rFonts w:ascii="Arial" w:hAnsi="Arial" w:cs="Arial"/>
          <w:sz w:val="20"/>
          <w:szCs w:val="20"/>
        </w:rPr>
      </w:pPr>
      <w:r>
        <w:rPr>
          <w:rFonts w:ascii="Arial" w:hAnsi="Arial" w:cs="Arial"/>
          <w:sz w:val="20"/>
          <w:szCs w:val="20"/>
        </w:rPr>
        <w:t>Some</w:t>
      </w:r>
      <w:r w:rsidRPr="006D5966">
        <w:rPr>
          <w:rFonts w:ascii="Arial" w:hAnsi="Arial" w:cs="Arial"/>
          <w:sz w:val="20"/>
          <w:szCs w:val="20"/>
        </w:rPr>
        <w:t xml:space="preserve"> </w:t>
      </w:r>
      <w:r>
        <w:rPr>
          <w:rFonts w:ascii="Arial" w:hAnsi="Arial" w:cs="Arial"/>
          <w:sz w:val="20"/>
          <w:szCs w:val="20"/>
        </w:rPr>
        <w:t>copyright-based oppositions against</w:t>
      </w:r>
      <w:r w:rsidRPr="006D5966">
        <w:rPr>
          <w:rFonts w:ascii="Arial" w:hAnsi="Arial" w:cs="Arial"/>
          <w:sz w:val="20"/>
          <w:szCs w:val="20"/>
        </w:rPr>
        <w:t xml:space="preserve"> </w:t>
      </w:r>
      <w:r>
        <w:rPr>
          <w:rFonts w:ascii="Arial" w:hAnsi="Arial" w:cs="Arial"/>
          <w:sz w:val="20"/>
          <w:szCs w:val="20"/>
        </w:rPr>
        <w:t>trademarks are</w:t>
      </w:r>
      <w:r w:rsidRPr="006D5966">
        <w:rPr>
          <w:rFonts w:ascii="Arial" w:hAnsi="Arial" w:cs="Arial"/>
          <w:sz w:val="20"/>
          <w:szCs w:val="20"/>
        </w:rPr>
        <w:t xml:space="preserve"> </w:t>
      </w:r>
      <w:r>
        <w:rPr>
          <w:rFonts w:ascii="Arial" w:hAnsi="Arial" w:cs="Arial"/>
          <w:sz w:val="20"/>
          <w:szCs w:val="20"/>
        </w:rPr>
        <w:t>provided in the</w:t>
      </w:r>
      <w:r w:rsidRPr="006D5966">
        <w:rPr>
          <w:rFonts w:ascii="Arial" w:hAnsi="Arial" w:cs="Arial"/>
          <w:sz w:val="20"/>
          <w:szCs w:val="20"/>
        </w:rPr>
        <w:t xml:space="preserve"> the table below:</w:t>
      </w:r>
    </w:p>
    <w:p w14:paraId="3BA64201" w14:textId="77777777" w:rsidR="0015574F" w:rsidRDefault="0015574F" w:rsidP="0015574F">
      <w:pPr>
        <w:jc w:val="both"/>
        <w:rPr>
          <w:rFonts w:ascii="Arial" w:hAnsi="Arial" w:cs="Arial"/>
          <w:sz w:val="20"/>
          <w:szCs w:val="20"/>
        </w:rPr>
      </w:pPr>
    </w:p>
    <w:tbl>
      <w:tblPr>
        <w:tblStyle w:val="TableGrid"/>
        <w:tblW w:w="9355" w:type="dxa"/>
        <w:tblLook w:val="04A0" w:firstRow="1" w:lastRow="0" w:firstColumn="1" w:lastColumn="0" w:noHBand="0" w:noVBand="1"/>
      </w:tblPr>
      <w:tblGrid>
        <w:gridCol w:w="3644"/>
        <w:gridCol w:w="5711"/>
      </w:tblGrid>
      <w:tr w:rsidR="0015574F" w14:paraId="5CE25148" w14:textId="77777777" w:rsidTr="0015574F">
        <w:tc>
          <w:tcPr>
            <w:tcW w:w="3644" w:type="dxa"/>
          </w:tcPr>
          <w:p w14:paraId="743EEB83" w14:textId="77777777" w:rsidR="0015574F" w:rsidRDefault="0015574F" w:rsidP="0015574F">
            <w:pPr>
              <w:jc w:val="center"/>
              <w:rPr>
                <w:rFonts w:ascii="Arial" w:hAnsi="Arial" w:cs="Arial"/>
                <w:sz w:val="20"/>
                <w:szCs w:val="20"/>
              </w:rPr>
            </w:pPr>
            <w:r w:rsidRPr="0059373F">
              <w:rPr>
                <w:rFonts w:ascii="Arial" w:hAnsi="Arial" w:cs="Arial"/>
                <w:b/>
                <w:bCs/>
                <w:sz w:val="20"/>
                <w:szCs w:val="20"/>
              </w:rPr>
              <w:t>The adverse party’s mark</w:t>
            </w:r>
          </w:p>
        </w:tc>
        <w:tc>
          <w:tcPr>
            <w:tcW w:w="5711" w:type="dxa"/>
          </w:tcPr>
          <w:p w14:paraId="2CDE07E9" w14:textId="77777777" w:rsidR="0015574F" w:rsidRDefault="0015574F" w:rsidP="0015574F">
            <w:pPr>
              <w:jc w:val="center"/>
              <w:rPr>
                <w:rFonts w:ascii="Arial" w:hAnsi="Arial" w:cs="Arial"/>
                <w:sz w:val="20"/>
                <w:szCs w:val="20"/>
              </w:rPr>
            </w:pPr>
            <w:r w:rsidRPr="0059373F">
              <w:rPr>
                <w:rFonts w:ascii="Arial" w:hAnsi="Arial" w:cs="Arial"/>
                <w:b/>
                <w:bCs/>
                <w:sz w:val="20"/>
                <w:szCs w:val="20"/>
              </w:rPr>
              <w:t xml:space="preserve">The prior </w:t>
            </w:r>
            <w:r>
              <w:rPr>
                <w:rFonts w:ascii="Arial" w:hAnsi="Arial" w:cs="Arial"/>
                <w:b/>
                <w:bCs/>
                <w:sz w:val="20"/>
                <w:szCs w:val="20"/>
              </w:rPr>
              <w:t>copyright</w:t>
            </w:r>
          </w:p>
        </w:tc>
      </w:tr>
      <w:tr w:rsidR="0015574F" w14:paraId="70ED995A" w14:textId="77777777" w:rsidTr="0015574F">
        <w:tc>
          <w:tcPr>
            <w:tcW w:w="3644" w:type="dxa"/>
          </w:tcPr>
          <w:p w14:paraId="7155169D" w14:textId="77777777" w:rsidR="0015574F" w:rsidRDefault="0015574F" w:rsidP="0015574F">
            <w:pPr>
              <w:jc w:val="both"/>
              <w:rPr>
                <w:rFonts w:ascii="Arial" w:hAnsi="Arial" w:cs="Arial"/>
                <w:sz w:val="20"/>
                <w:szCs w:val="20"/>
                <w:u w:val="single"/>
              </w:rPr>
            </w:pPr>
          </w:p>
          <w:p w14:paraId="68516E9B" w14:textId="77777777" w:rsidR="0015574F" w:rsidRDefault="0015574F" w:rsidP="0015574F">
            <w:pPr>
              <w:jc w:val="both"/>
              <w:rPr>
                <w:rFonts w:ascii="Arial" w:hAnsi="Arial" w:cs="Arial"/>
                <w:sz w:val="20"/>
                <w:szCs w:val="20"/>
                <w:u w:val="single"/>
              </w:rPr>
            </w:pPr>
          </w:p>
          <w:p w14:paraId="170D2DF7" w14:textId="77777777" w:rsidR="0015574F" w:rsidRDefault="0015574F" w:rsidP="0015574F">
            <w:pPr>
              <w:jc w:val="both"/>
              <w:rPr>
                <w:rFonts w:ascii="Arial" w:hAnsi="Arial" w:cs="Arial"/>
                <w:sz w:val="20"/>
                <w:szCs w:val="20"/>
              </w:rPr>
            </w:pPr>
            <w:r w:rsidRPr="00A45559">
              <w:rPr>
                <w:rFonts w:ascii="Arial" w:hAnsi="Arial" w:cs="Arial"/>
                <w:sz w:val="20"/>
                <w:szCs w:val="20"/>
                <w:u w:val="single"/>
              </w:rPr>
              <w:t>Trademark 1</w:t>
            </w:r>
            <w:r>
              <w:rPr>
                <w:rFonts w:ascii="Arial" w:hAnsi="Arial" w:cs="Arial"/>
                <w:sz w:val="20"/>
                <w:szCs w:val="20"/>
              </w:rPr>
              <w:t xml:space="preserve">: </w:t>
            </w:r>
            <w:r w:rsidRPr="0017790E">
              <w:rPr>
                <w:rFonts w:ascii="Arial" w:eastAsia="SimSun" w:hAnsi="Arial" w:cs="Arial"/>
                <w:bCs/>
                <w:noProof/>
                <w:sz w:val="20"/>
                <w:szCs w:val="20"/>
              </w:rPr>
              <w:drawing>
                <wp:inline distT="0" distB="0" distL="0" distR="0" wp14:anchorId="109D6D02" wp14:editId="026B98D5">
                  <wp:extent cx="1033128" cy="752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68" t="35863" r="54327" b="9306"/>
                          <a:stretch/>
                        </pic:blipFill>
                        <pic:spPr bwMode="auto">
                          <a:xfrm>
                            <a:off x="0" y="0"/>
                            <a:ext cx="1069217" cy="778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11" w:type="dxa"/>
          </w:tcPr>
          <w:p w14:paraId="6FA927A8" w14:textId="77777777" w:rsidR="0015574F" w:rsidRDefault="0015574F" w:rsidP="0015574F">
            <w:pPr>
              <w:jc w:val="both"/>
              <w:rPr>
                <w:rFonts w:ascii="Arial" w:hAnsi="Arial" w:cs="Arial"/>
                <w:sz w:val="20"/>
                <w:szCs w:val="20"/>
                <w:u w:val="single"/>
              </w:rPr>
            </w:pPr>
          </w:p>
          <w:p w14:paraId="47634A72" w14:textId="77777777" w:rsidR="0015574F" w:rsidRDefault="0015574F" w:rsidP="0015574F">
            <w:pPr>
              <w:jc w:val="both"/>
              <w:rPr>
                <w:rFonts w:ascii="Arial" w:hAnsi="Arial" w:cs="Arial"/>
                <w:sz w:val="20"/>
                <w:szCs w:val="20"/>
                <w:u w:val="single"/>
              </w:rPr>
            </w:pPr>
          </w:p>
          <w:p w14:paraId="472BDF57" w14:textId="77777777" w:rsidR="0015574F" w:rsidRDefault="0015574F" w:rsidP="0015574F">
            <w:pPr>
              <w:jc w:val="both"/>
              <w:rPr>
                <w:rFonts w:ascii="Arial" w:hAnsi="Arial" w:cs="Arial"/>
                <w:sz w:val="20"/>
                <w:szCs w:val="20"/>
              </w:rPr>
            </w:pPr>
            <w:r>
              <w:rPr>
                <w:rFonts w:ascii="Arial" w:hAnsi="Arial" w:cs="Arial"/>
                <w:sz w:val="20"/>
                <w:szCs w:val="20"/>
                <w:u w:val="single"/>
              </w:rPr>
              <w:t>Prior logo 1</w:t>
            </w:r>
            <w:r>
              <w:rPr>
                <w:rFonts w:ascii="Arial" w:hAnsi="Arial" w:cs="Arial"/>
                <w:sz w:val="20"/>
                <w:szCs w:val="20"/>
              </w:rPr>
              <w:t xml:space="preserve">: </w:t>
            </w:r>
            <w:r w:rsidRPr="0017790E">
              <w:rPr>
                <w:rFonts w:ascii="Arial" w:eastAsia="SimSun" w:hAnsi="Arial" w:cs="Arial"/>
                <w:bCs/>
                <w:noProof/>
                <w:sz w:val="20"/>
                <w:szCs w:val="20"/>
              </w:rPr>
              <w:drawing>
                <wp:inline distT="0" distB="0" distL="0" distR="0" wp14:anchorId="74D2D235" wp14:editId="56D72940">
                  <wp:extent cx="704850" cy="8016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6026" t="39122" r="12981" b="16717"/>
                          <a:stretch/>
                        </pic:blipFill>
                        <pic:spPr bwMode="auto">
                          <a:xfrm>
                            <a:off x="0" y="0"/>
                            <a:ext cx="751697" cy="854980"/>
                          </a:xfrm>
                          <a:prstGeom prst="rect">
                            <a:avLst/>
                          </a:prstGeom>
                          <a:noFill/>
                          <a:ln>
                            <a:noFill/>
                          </a:ln>
                          <a:extLst>
                            <a:ext uri="{53640926-AAD7-44D8-BBD7-CCE9431645EC}">
                              <a14:shadowObscured xmlns:a14="http://schemas.microsoft.com/office/drawing/2010/main"/>
                            </a:ext>
                          </a:extLst>
                        </pic:spPr>
                      </pic:pic>
                    </a:graphicData>
                  </a:graphic>
                </wp:inline>
              </w:drawing>
            </w:r>
          </w:p>
          <w:p w14:paraId="7923E3F8" w14:textId="77777777" w:rsidR="0015574F" w:rsidRDefault="0015574F" w:rsidP="0015574F">
            <w:pPr>
              <w:jc w:val="both"/>
              <w:rPr>
                <w:rFonts w:ascii="Arial" w:hAnsi="Arial" w:cs="Arial"/>
                <w:sz w:val="20"/>
                <w:szCs w:val="20"/>
              </w:rPr>
            </w:pPr>
          </w:p>
        </w:tc>
      </w:tr>
      <w:tr w:rsidR="0015574F" w14:paraId="1B0C5515" w14:textId="77777777" w:rsidTr="0015574F">
        <w:tc>
          <w:tcPr>
            <w:tcW w:w="9355" w:type="dxa"/>
            <w:gridSpan w:val="2"/>
          </w:tcPr>
          <w:p w14:paraId="66210010" w14:textId="77777777" w:rsidR="0015574F" w:rsidRDefault="0015574F" w:rsidP="0015574F">
            <w:pPr>
              <w:jc w:val="both"/>
              <w:rPr>
                <w:rFonts w:ascii="Arial" w:hAnsi="Arial" w:cs="Arial"/>
                <w:sz w:val="20"/>
                <w:szCs w:val="20"/>
                <w:u w:val="single"/>
              </w:rPr>
            </w:pPr>
            <w:r w:rsidRPr="006D5966">
              <w:rPr>
                <w:rFonts w:ascii="Arial" w:hAnsi="Arial" w:cs="Arial"/>
                <w:sz w:val="20"/>
                <w:szCs w:val="20"/>
                <w:u w:val="single"/>
              </w:rPr>
              <w:t>Case 1</w:t>
            </w:r>
            <w:r w:rsidRPr="006D5966">
              <w:rPr>
                <w:rFonts w:ascii="Arial" w:hAnsi="Arial" w:cs="Arial"/>
                <w:sz w:val="20"/>
                <w:szCs w:val="20"/>
              </w:rPr>
              <w:t xml:space="preserve">: </w:t>
            </w:r>
            <w:r w:rsidRPr="0017790E">
              <w:rPr>
                <w:rFonts w:ascii="Arial" w:eastAsia="SimSun" w:hAnsi="Arial" w:cs="Arial"/>
                <w:bCs/>
                <w:sz w:val="20"/>
                <w:szCs w:val="20"/>
              </w:rPr>
              <w:t>Musidor B.V., the owner of the famous rock band “The Rolling Stone” who is the copyright owner of the logo “</w:t>
            </w:r>
            <w:r w:rsidRPr="0017790E">
              <w:rPr>
                <w:rFonts w:ascii="Arial" w:eastAsia="SimSun" w:hAnsi="Arial" w:cs="Arial"/>
                <w:bCs/>
                <w:noProof/>
                <w:sz w:val="20"/>
                <w:szCs w:val="20"/>
              </w:rPr>
              <w:drawing>
                <wp:inline distT="0" distB="0" distL="0" distR="0" wp14:anchorId="17565FAF" wp14:editId="67A17179">
                  <wp:extent cx="333375" cy="37918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6026" t="39122" r="12981" b="16717"/>
                          <a:stretch/>
                        </pic:blipFill>
                        <pic:spPr bwMode="auto">
                          <a:xfrm>
                            <a:off x="0" y="0"/>
                            <a:ext cx="350065" cy="398164"/>
                          </a:xfrm>
                          <a:prstGeom prst="rect">
                            <a:avLst/>
                          </a:prstGeom>
                          <a:noFill/>
                          <a:ln>
                            <a:noFill/>
                          </a:ln>
                          <a:extLst>
                            <a:ext uri="{53640926-AAD7-44D8-BBD7-CCE9431645EC}">
                              <a14:shadowObscured xmlns:a14="http://schemas.microsoft.com/office/drawing/2010/main"/>
                            </a:ext>
                          </a:extLst>
                        </pic:spPr>
                      </pic:pic>
                    </a:graphicData>
                  </a:graphic>
                </wp:inline>
              </w:drawing>
            </w:r>
            <w:r w:rsidRPr="0017790E">
              <w:rPr>
                <w:rFonts w:ascii="Arial" w:eastAsia="SimSun" w:hAnsi="Arial" w:cs="Arial"/>
                <w:bCs/>
                <w:sz w:val="20"/>
                <w:szCs w:val="20"/>
              </w:rPr>
              <w:t>” with the common name “Tongue and Lips logo”. Musidor B.V. detected that a third party had</w:t>
            </w:r>
            <w:r>
              <w:rPr>
                <w:rFonts w:ascii="Arial" w:eastAsia="SimSun" w:hAnsi="Arial" w:cs="Arial"/>
                <w:bCs/>
                <w:sz w:val="20"/>
                <w:szCs w:val="20"/>
              </w:rPr>
              <w:t xml:space="preserve"> applied for and</w:t>
            </w:r>
            <w:r w:rsidRPr="0017790E">
              <w:rPr>
                <w:rFonts w:ascii="Arial" w:eastAsia="SimSun" w:hAnsi="Arial" w:cs="Arial"/>
                <w:bCs/>
                <w:sz w:val="20"/>
                <w:szCs w:val="20"/>
              </w:rPr>
              <w:t xml:space="preserve"> used the logo “</w:t>
            </w:r>
            <w:r w:rsidRPr="0017790E">
              <w:rPr>
                <w:rFonts w:ascii="Arial" w:eastAsia="SimSun" w:hAnsi="Arial" w:cs="Arial"/>
                <w:bCs/>
                <w:noProof/>
                <w:sz w:val="20"/>
                <w:szCs w:val="20"/>
              </w:rPr>
              <w:drawing>
                <wp:inline distT="0" distB="0" distL="0" distR="0" wp14:anchorId="378B11F0" wp14:editId="6D3BFC00">
                  <wp:extent cx="795130" cy="57913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68" t="35863" r="54327" b="9306"/>
                          <a:stretch/>
                        </pic:blipFill>
                        <pic:spPr bwMode="auto">
                          <a:xfrm>
                            <a:off x="0" y="0"/>
                            <a:ext cx="815931" cy="594280"/>
                          </a:xfrm>
                          <a:prstGeom prst="rect">
                            <a:avLst/>
                          </a:prstGeom>
                          <a:noFill/>
                          <a:ln>
                            <a:noFill/>
                          </a:ln>
                          <a:extLst>
                            <a:ext uri="{53640926-AAD7-44D8-BBD7-CCE9431645EC}">
                              <a14:shadowObscured xmlns:a14="http://schemas.microsoft.com/office/drawing/2010/main"/>
                            </a:ext>
                          </a:extLst>
                        </pic:spPr>
                      </pic:pic>
                    </a:graphicData>
                  </a:graphic>
                </wp:inline>
              </w:drawing>
            </w:r>
            <w:r w:rsidRPr="0017790E">
              <w:rPr>
                <w:rFonts w:ascii="Arial" w:eastAsia="SimSun" w:hAnsi="Arial" w:cs="Arial"/>
                <w:bCs/>
                <w:sz w:val="20"/>
                <w:szCs w:val="20"/>
              </w:rPr>
              <w:t>” for a hotel in Hanoi, Vietnam as well as in commercial activities, websites and social networking accounts such as Facebook, Instagram, YouTube, etc. without the</w:t>
            </w:r>
            <w:r>
              <w:rPr>
                <w:rFonts w:ascii="Arial" w:eastAsia="SimSun" w:hAnsi="Arial" w:cs="Arial"/>
                <w:bCs/>
                <w:sz w:val="20"/>
                <w:szCs w:val="20"/>
              </w:rPr>
              <w:t>ir</w:t>
            </w:r>
            <w:r w:rsidRPr="0017790E">
              <w:rPr>
                <w:rFonts w:ascii="Arial" w:eastAsia="SimSun" w:hAnsi="Arial" w:cs="Arial"/>
                <w:bCs/>
                <w:sz w:val="20"/>
                <w:szCs w:val="20"/>
              </w:rPr>
              <w:t xml:space="preserve"> permission. Musidor B.V. filed a Notice of Opposition </w:t>
            </w:r>
            <w:r>
              <w:rPr>
                <w:rFonts w:ascii="Arial" w:eastAsia="SimSun" w:hAnsi="Arial" w:cs="Arial"/>
                <w:bCs/>
                <w:sz w:val="20"/>
                <w:szCs w:val="20"/>
              </w:rPr>
              <w:t xml:space="preserve">against the third party’s trademark </w:t>
            </w:r>
            <w:r w:rsidRPr="0017790E">
              <w:rPr>
                <w:rFonts w:ascii="Arial" w:eastAsia="SimSun" w:hAnsi="Arial" w:cs="Arial"/>
                <w:bCs/>
                <w:sz w:val="20"/>
                <w:szCs w:val="20"/>
              </w:rPr>
              <w:t xml:space="preserve">based on two grounds, </w:t>
            </w:r>
            <w:r w:rsidRPr="00CE3EF6">
              <w:rPr>
                <w:rFonts w:ascii="Arial" w:eastAsia="SimSun" w:hAnsi="Arial" w:cs="Arial"/>
                <w:b/>
                <w:sz w:val="20"/>
                <w:szCs w:val="20"/>
              </w:rPr>
              <w:t>(i)</w:t>
            </w:r>
            <w:r w:rsidRPr="0017790E">
              <w:rPr>
                <w:rFonts w:ascii="Arial" w:eastAsia="SimSun" w:hAnsi="Arial" w:cs="Arial"/>
                <w:bCs/>
                <w:sz w:val="20"/>
                <w:szCs w:val="20"/>
              </w:rPr>
              <w:t xml:space="preserve"> the mark "The Tongue and Lips logo" by Musidor B.V. is a well-known mark, widely used and known trademark, protected by trademarks in more than 50 countries around the world before the time the infringer files a trademark application in Vietnam and </w:t>
            </w:r>
            <w:r w:rsidRPr="00CE3EF6">
              <w:rPr>
                <w:rFonts w:ascii="Arial" w:eastAsia="SimSun" w:hAnsi="Arial" w:cs="Arial"/>
                <w:b/>
                <w:sz w:val="20"/>
                <w:szCs w:val="20"/>
              </w:rPr>
              <w:t>(ii)</w:t>
            </w:r>
            <w:r w:rsidRPr="0017790E">
              <w:rPr>
                <w:rFonts w:ascii="Arial" w:eastAsia="SimSun" w:hAnsi="Arial" w:cs="Arial"/>
                <w:bCs/>
                <w:sz w:val="20"/>
                <w:szCs w:val="20"/>
              </w:rPr>
              <w:t xml:space="preserve"> </w:t>
            </w:r>
            <w:r>
              <w:rPr>
                <w:rFonts w:ascii="Arial" w:eastAsia="SimSun" w:hAnsi="Arial" w:cs="Arial"/>
                <w:bCs/>
                <w:sz w:val="20"/>
                <w:szCs w:val="20"/>
              </w:rPr>
              <w:t xml:space="preserve">the infringer’s trademark </w:t>
            </w:r>
            <w:r w:rsidRPr="0017790E">
              <w:rPr>
                <w:rFonts w:ascii="Arial" w:eastAsia="SimSun" w:hAnsi="Arial" w:cs="Arial"/>
                <w:bCs/>
                <w:sz w:val="20"/>
                <w:szCs w:val="20"/>
              </w:rPr>
              <w:t xml:space="preserve">contains the “Tongue and Lips logo” almost identical to Musidor B.V.’s logo qualified as a work of applied art and protected </w:t>
            </w:r>
            <w:r>
              <w:rPr>
                <w:rFonts w:ascii="Arial" w:eastAsia="SimSun" w:hAnsi="Arial" w:cs="Arial"/>
                <w:bCs/>
                <w:sz w:val="20"/>
                <w:szCs w:val="20"/>
              </w:rPr>
              <w:t xml:space="preserve">as copyright </w:t>
            </w:r>
            <w:r w:rsidRPr="0017790E">
              <w:rPr>
                <w:rFonts w:ascii="Arial" w:eastAsia="SimSun" w:hAnsi="Arial" w:cs="Arial"/>
                <w:bCs/>
                <w:sz w:val="20"/>
                <w:szCs w:val="20"/>
              </w:rPr>
              <w:t xml:space="preserve">under Berne Convention to which Vietnam is a member. </w:t>
            </w:r>
            <w:r>
              <w:rPr>
                <w:rFonts w:ascii="Arial" w:eastAsia="SimSun" w:hAnsi="Arial" w:cs="Arial"/>
                <w:bCs/>
                <w:sz w:val="20"/>
                <w:szCs w:val="20"/>
              </w:rPr>
              <w:t>T</w:t>
            </w:r>
            <w:r w:rsidRPr="0017790E">
              <w:rPr>
                <w:rFonts w:ascii="Arial" w:eastAsia="SimSun" w:hAnsi="Arial" w:cs="Arial"/>
                <w:bCs/>
                <w:sz w:val="20"/>
                <w:szCs w:val="20"/>
              </w:rPr>
              <w:t xml:space="preserve">he Intellectual Property Office of Vietnam accepted Musidor B.V.’s opposition and refused registration of the </w:t>
            </w:r>
            <w:r>
              <w:rPr>
                <w:rFonts w:ascii="Arial" w:eastAsia="SimSun" w:hAnsi="Arial" w:cs="Arial"/>
                <w:bCs/>
                <w:sz w:val="20"/>
                <w:szCs w:val="20"/>
              </w:rPr>
              <w:t xml:space="preserve">infringer’s </w:t>
            </w:r>
            <w:r w:rsidRPr="0017790E">
              <w:rPr>
                <w:rFonts w:ascii="Arial" w:eastAsia="SimSun" w:hAnsi="Arial" w:cs="Arial"/>
                <w:bCs/>
                <w:sz w:val="20"/>
                <w:szCs w:val="20"/>
              </w:rPr>
              <w:t xml:space="preserve">mark due to its confusingly similar to the applied art work "The Tongue and Lips logo” by Musidor B.V. according to Article 39.4(g) </w:t>
            </w:r>
            <w:hyperlink r:id="rId19" w:history="1">
              <w:r w:rsidRPr="00FB2318">
                <w:rPr>
                  <w:rStyle w:val="Hyperlink"/>
                  <w:rFonts w:ascii="Arial" w:eastAsia="SimSun" w:hAnsi="Arial" w:cs="Arial"/>
                  <w:bCs/>
                  <w:sz w:val="20"/>
                  <w:szCs w:val="20"/>
                </w:rPr>
                <w:t>Circular No. 01/2007/TT-BKHCN</w:t>
              </w:r>
            </w:hyperlink>
            <w:r w:rsidRPr="0017790E">
              <w:rPr>
                <w:rFonts w:ascii="Arial" w:eastAsia="SimSun" w:hAnsi="Arial" w:cs="Arial"/>
                <w:bCs/>
                <w:sz w:val="20"/>
                <w:szCs w:val="20"/>
              </w:rPr>
              <w:t>.</w:t>
            </w:r>
          </w:p>
        </w:tc>
      </w:tr>
      <w:tr w:rsidR="0015574F" w14:paraId="7B011291" w14:textId="77777777" w:rsidTr="0015574F">
        <w:tc>
          <w:tcPr>
            <w:tcW w:w="9355" w:type="dxa"/>
            <w:gridSpan w:val="2"/>
          </w:tcPr>
          <w:p w14:paraId="4328D65A" w14:textId="77777777" w:rsidR="0015574F" w:rsidRDefault="0015574F" w:rsidP="0015574F">
            <w:pPr>
              <w:jc w:val="both"/>
              <w:rPr>
                <w:rFonts w:ascii="Arial" w:hAnsi="Arial" w:cs="Arial"/>
                <w:sz w:val="20"/>
                <w:szCs w:val="20"/>
                <w:u w:val="single"/>
              </w:rPr>
            </w:pPr>
          </w:p>
          <w:p w14:paraId="10B41EBA" w14:textId="77777777" w:rsidR="0015574F" w:rsidRPr="006D5966" w:rsidRDefault="0015574F" w:rsidP="0015574F">
            <w:pPr>
              <w:jc w:val="both"/>
              <w:rPr>
                <w:rFonts w:ascii="Arial" w:hAnsi="Arial" w:cs="Arial"/>
                <w:sz w:val="20"/>
                <w:szCs w:val="20"/>
              </w:rPr>
            </w:pPr>
            <w:r w:rsidRPr="006D5966">
              <w:rPr>
                <w:rFonts w:ascii="Arial" w:hAnsi="Arial" w:cs="Arial"/>
                <w:sz w:val="20"/>
                <w:szCs w:val="20"/>
                <w:u w:val="single"/>
              </w:rPr>
              <w:lastRenderedPageBreak/>
              <w:t>Case 2</w:t>
            </w:r>
            <w:r w:rsidRPr="006D5966">
              <w:rPr>
                <w:rFonts w:ascii="Arial" w:hAnsi="Arial" w:cs="Arial"/>
                <w:sz w:val="20"/>
                <w:szCs w:val="20"/>
              </w:rPr>
              <w:t xml:space="preserve">: </w:t>
            </w:r>
            <w:r w:rsidRPr="00EB0CB1">
              <w:rPr>
                <w:rFonts w:ascii="Arial" w:hAnsi="Arial" w:cs="Arial"/>
                <w:sz w:val="20"/>
                <w:szCs w:val="20"/>
              </w:rPr>
              <w:t>In its ruling, IP VIETNAM rejected the adverse party</w:t>
            </w:r>
            <w:r>
              <w:rPr>
                <w:rFonts w:ascii="Arial" w:hAnsi="Arial" w:cs="Arial"/>
                <w:sz w:val="20"/>
                <w:szCs w:val="20"/>
              </w:rPr>
              <w:t>’s</w:t>
            </w:r>
            <w:r w:rsidRPr="00EB0CB1">
              <w:rPr>
                <w:rFonts w:ascii="Arial" w:hAnsi="Arial" w:cs="Arial"/>
                <w:sz w:val="20"/>
                <w:szCs w:val="20"/>
              </w:rPr>
              <w:t xml:space="preserve"> trademark application. This </w:t>
            </w:r>
            <w:r>
              <w:rPr>
                <w:rFonts w:ascii="Arial" w:hAnsi="Arial" w:cs="Arial"/>
                <w:sz w:val="20"/>
                <w:szCs w:val="20"/>
              </w:rPr>
              <w:t>ruling</w:t>
            </w:r>
            <w:r w:rsidRPr="00EB0CB1">
              <w:rPr>
                <w:rFonts w:ascii="Arial" w:hAnsi="Arial" w:cs="Arial"/>
                <w:sz w:val="20"/>
                <w:szCs w:val="20"/>
              </w:rPr>
              <w:t xml:space="preserve"> stemmed from an </w:t>
            </w:r>
            <w:r>
              <w:rPr>
                <w:rFonts w:ascii="Arial" w:hAnsi="Arial" w:cs="Arial"/>
                <w:sz w:val="20"/>
                <w:szCs w:val="20"/>
              </w:rPr>
              <w:t>opposition</w:t>
            </w:r>
            <w:r w:rsidRPr="00EB0CB1">
              <w:rPr>
                <w:rFonts w:ascii="Arial" w:hAnsi="Arial" w:cs="Arial"/>
                <w:sz w:val="20"/>
                <w:szCs w:val="20"/>
              </w:rPr>
              <w:t xml:space="preserve"> lodged by Organo Company, contending that the adverse party’s proposed trademark bears a close resemblance to their own widely-used mark. Furthermore, two logos of Organo Company qualify for copyright protection in accordance with Article 39.4(g) of Circular No. 01/2007/TT-BKHCN.</w:t>
            </w:r>
          </w:p>
          <w:p w14:paraId="690B8BDA" w14:textId="77777777" w:rsidR="0015574F" w:rsidRDefault="0015574F" w:rsidP="0015574F">
            <w:pPr>
              <w:jc w:val="both"/>
              <w:rPr>
                <w:rFonts w:ascii="Arial" w:hAnsi="Arial" w:cs="Arial"/>
                <w:sz w:val="20"/>
                <w:szCs w:val="20"/>
                <w:u w:val="single"/>
              </w:rPr>
            </w:pPr>
          </w:p>
        </w:tc>
      </w:tr>
    </w:tbl>
    <w:p w14:paraId="733245D9" w14:textId="77777777" w:rsidR="0015574F" w:rsidRDefault="0015574F" w:rsidP="0015574F">
      <w:pPr>
        <w:jc w:val="both"/>
        <w:rPr>
          <w:rFonts w:ascii="Arial" w:hAnsi="Arial" w:cs="Arial"/>
          <w:sz w:val="20"/>
          <w:szCs w:val="20"/>
        </w:rPr>
      </w:pPr>
    </w:p>
    <w:p w14:paraId="0FE6AB4C" w14:textId="1C9FA13E" w:rsidR="0015574F" w:rsidRDefault="0015574F" w:rsidP="0015574F">
      <w:pPr>
        <w:jc w:val="both"/>
        <w:rPr>
          <w:rFonts w:ascii="Arial" w:hAnsi="Arial" w:cs="Arial"/>
          <w:sz w:val="20"/>
          <w:szCs w:val="20"/>
        </w:rPr>
      </w:pPr>
      <w:r>
        <w:rPr>
          <w:rFonts w:ascii="Arial" w:hAnsi="Arial" w:cs="Arial"/>
          <w:sz w:val="20"/>
          <w:szCs w:val="20"/>
        </w:rPr>
        <w:t xml:space="preserve">This mechansim of preventing application of trademarks </w:t>
      </w:r>
      <w:hyperlink r:id="rId20" w:history="1">
        <w:r w:rsidRPr="00CE09DA">
          <w:rPr>
            <w:rStyle w:val="Hyperlink"/>
            <w:rFonts w:ascii="Arial" w:hAnsi="Arial" w:cs="Arial"/>
            <w:sz w:val="20"/>
            <w:szCs w:val="20"/>
          </w:rPr>
          <w:t>containing the protected work</w:t>
        </w:r>
      </w:hyperlink>
      <w:r>
        <w:rPr>
          <w:rFonts w:ascii="Arial" w:hAnsi="Arial" w:cs="Arial"/>
          <w:sz w:val="20"/>
          <w:szCs w:val="20"/>
        </w:rPr>
        <w:t xml:space="preserve"> originate from the fact that: </w:t>
      </w:r>
      <w:r w:rsidRPr="002132E7">
        <w:rPr>
          <w:rFonts w:ascii="Arial" w:hAnsi="Arial" w:cs="Arial"/>
          <w:b/>
          <w:bCs/>
          <w:sz w:val="20"/>
          <w:szCs w:val="20"/>
        </w:rPr>
        <w:t>(i)</w:t>
      </w:r>
      <w:r>
        <w:rPr>
          <w:rFonts w:ascii="Arial" w:hAnsi="Arial" w:cs="Arial"/>
          <w:sz w:val="20"/>
          <w:szCs w:val="20"/>
        </w:rPr>
        <w:t xml:space="preserve"> </w:t>
      </w:r>
      <w:r w:rsidRPr="002132E7">
        <w:rPr>
          <w:rFonts w:ascii="Arial" w:hAnsi="Arial" w:cs="Arial"/>
          <w:sz w:val="20"/>
          <w:szCs w:val="20"/>
        </w:rPr>
        <w:t>Figurative and three-dimensional elements of trademarks can include artistic works that are specially created or commissioned for the purpose of creating a logo, label, or some other mixed trademark</w:t>
      </w:r>
      <w:r>
        <w:rPr>
          <w:rFonts w:ascii="Arial" w:hAnsi="Arial" w:cs="Arial"/>
          <w:sz w:val="20"/>
          <w:szCs w:val="20"/>
        </w:rPr>
        <w:t>; (</w:t>
      </w:r>
      <w:r w:rsidRPr="002132E7">
        <w:rPr>
          <w:rFonts w:ascii="Arial" w:hAnsi="Arial" w:cs="Arial"/>
          <w:b/>
          <w:bCs/>
          <w:sz w:val="20"/>
          <w:szCs w:val="20"/>
        </w:rPr>
        <w:t>ii)</w:t>
      </w:r>
      <w:r>
        <w:rPr>
          <w:rFonts w:ascii="Arial" w:hAnsi="Arial" w:cs="Arial"/>
          <w:sz w:val="20"/>
          <w:szCs w:val="20"/>
        </w:rPr>
        <w:t xml:space="preserve"> </w:t>
      </w:r>
      <w:r w:rsidRPr="002132E7">
        <w:rPr>
          <w:rFonts w:ascii="Arial" w:hAnsi="Arial" w:cs="Arial"/>
          <w:sz w:val="20"/>
          <w:szCs w:val="20"/>
        </w:rPr>
        <w:t>These artistic works are protected by copyright law, which means that the creator (</w:t>
      </w:r>
      <w:r w:rsidRPr="002D3AD7">
        <w:rPr>
          <w:rFonts w:ascii="Arial" w:hAnsi="Arial" w:cs="Arial"/>
          <w:i/>
          <w:iCs/>
          <w:sz w:val="20"/>
          <w:szCs w:val="20"/>
        </w:rPr>
        <w:t>the artist</w:t>
      </w:r>
      <w:r w:rsidRPr="002132E7">
        <w:rPr>
          <w:rFonts w:ascii="Arial" w:hAnsi="Arial" w:cs="Arial"/>
          <w:sz w:val="20"/>
          <w:szCs w:val="20"/>
        </w:rPr>
        <w:t>) of these works holds the copyright to them</w:t>
      </w:r>
      <w:r>
        <w:rPr>
          <w:rFonts w:ascii="Arial" w:hAnsi="Arial" w:cs="Arial"/>
          <w:sz w:val="20"/>
          <w:szCs w:val="20"/>
        </w:rPr>
        <w:t xml:space="preserve">; </w:t>
      </w:r>
      <w:r w:rsidRPr="002132E7">
        <w:rPr>
          <w:rFonts w:ascii="Arial" w:hAnsi="Arial" w:cs="Arial"/>
          <w:b/>
          <w:bCs/>
          <w:sz w:val="20"/>
          <w:szCs w:val="20"/>
        </w:rPr>
        <w:t>(iii)</w:t>
      </w:r>
      <w:r>
        <w:rPr>
          <w:rFonts w:ascii="Arial" w:hAnsi="Arial" w:cs="Arial"/>
          <w:sz w:val="20"/>
          <w:szCs w:val="20"/>
        </w:rPr>
        <w:t xml:space="preserve"> </w:t>
      </w:r>
      <w:r w:rsidRPr="002132E7">
        <w:rPr>
          <w:rFonts w:ascii="Arial" w:hAnsi="Arial" w:cs="Arial"/>
          <w:sz w:val="20"/>
          <w:szCs w:val="20"/>
        </w:rPr>
        <w:t>To use these artistic works as part of a trademark, the rights to the copyright must either be assigned (transferred) to the person or entity using the artwork in the trademark, or the copyright holder must grant a license to use the artwork in that specific context</w:t>
      </w:r>
      <w:r>
        <w:rPr>
          <w:rFonts w:ascii="Arial" w:hAnsi="Arial" w:cs="Arial"/>
          <w:sz w:val="20"/>
          <w:szCs w:val="20"/>
        </w:rPr>
        <w:t xml:space="preserve">; </w:t>
      </w:r>
      <w:r w:rsidRPr="002132E7">
        <w:rPr>
          <w:rFonts w:ascii="Arial" w:hAnsi="Arial" w:cs="Arial"/>
          <w:b/>
          <w:bCs/>
          <w:sz w:val="20"/>
          <w:szCs w:val="20"/>
        </w:rPr>
        <w:t>(iv)</w:t>
      </w:r>
      <w:r>
        <w:rPr>
          <w:rFonts w:ascii="Arial" w:hAnsi="Arial" w:cs="Arial"/>
          <w:sz w:val="20"/>
          <w:szCs w:val="20"/>
        </w:rPr>
        <w:t xml:space="preserve"> </w:t>
      </w:r>
      <w:r w:rsidRPr="002132E7">
        <w:rPr>
          <w:rFonts w:ascii="Arial" w:hAnsi="Arial" w:cs="Arial"/>
          <w:sz w:val="20"/>
          <w:szCs w:val="20"/>
        </w:rPr>
        <w:t>In most cases, when someone commissions the creation of artwork for a logo or trademark, they typically own the economic rights to that artwork. This means they have the right to use it in the trademark as they see fit</w:t>
      </w:r>
      <w:r>
        <w:rPr>
          <w:rFonts w:ascii="Arial" w:hAnsi="Arial" w:cs="Arial"/>
          <w:sz w:val="20"/>
          <w:szCs w:val="20"/>
        </w:rPr>
        <w:t xml:space="preserve">; and (v) </w:t>
      </w:r>
      <w:r w:rsidRPr="002132E7">
        <w:rPr>
          <w:rFonts w:ascii="Arial" w:hAnsi="Arial" w:cs="Arial"/>
          <w:sz w:val="20"/>
          <w:szCs w:val="20"/>
        </w:rPr>
        <w:t>However, in situations where the person or entity using the artwork in a trademark is not the copyright holder (</w:t>
      </w:r>
      <w:r w:rsidRPr="002D3AD7">
        <w:rPr>
          <w:rFonts w:ascii="Arial" w:hAnsi="Arial" w:cs="Arial"/>
          <w:i/>
          <w:iCs/>
          <w:sz w:val="20"/>
          <w:szCs w:val="20"/>
        </w:rPr>
        <w:t>for example, they didn't commission the artwork or it's a pre-existing work they picked up without authorization</w:t>
      </w:r>
      <w:r w:rsidRPr="002132E7">
        <w:rPr>
          <w:rFonts w:ascii="Arial" w:hAnsi="Arial" w:cs="Arial"/>
          <w:sz w:val="20"/>
          <w:szCs w:val="20"/>
        </w:rPr>
        <w:t>), the actual copyright holder (</w:t>
      </w:r>
      <w:r w:rsidRPr="002D3AD7">
        <w:rPr>
          <w:rFonts w:ascii="Arial" w:hAnsi="Arial" w:cs="Arial"/>
          <w:i/>
          <w:iCs/>
          <w:sz w:val="20"/>
          <w:szCs w:val="20"/>
        </w:rPr>
        <w:t>the artist or creator</w:t>
      </w:r>
      <w:r w:rsidRPr="002132E7">
        <w:rPr>
          <w:rFonts w:ascii="Arial" w:hAnsi="Arial" w:cs="Arial"/>
          <w:sz w:val="20"/>
          <w:szCs w:val="20"/>
        </w:rPr>
        <w:t>) has the legal right to take action against unauthorized use of their copyrighted work in a trademark.</w:t>
      </w:r>
    </w:p>
    <w:p w14:paraId="1F462B99" w14:textId="77777777" w:rsidR="0015574F" w:rsidRDefault="0015574F" w:rsidP="0015574F">
      <w:pPr>
        <w:jc w:val="both"/>
        <w:rPr>
          <w:rFonts w:ascii="Arial" w:hAnsi="Arial" w:cs="Arial"/>
          <w:sz w:val="20"/>
          <w:szCs w:val="20"/>
        </w:rPr>
      </w:pPr>
    </w:p>
    <w:p w14:paraId="62034DC5" w14:textId="77777777" w:rsidR="0015574F" w:rsidRPr="002132E7" w:rsidRDefault="0015574F" w:rsidP="0015574F">
      <w:pPr>
        <w:jc w:val="both"/>
        <w:rPr>
          <w:rFonts w:ascii="Arial" w:hAnsi="Arial" w:cs="Arial"/>
          <w:sz w:val="20"/>
          <w:szCs w:val="20"/>
        </w:rPr>
      </w:pPr>
      <w:r>
        <w:rPr>
          <w:rFonts w:ascii="Arial" w:hAnsi="Arial" w:cs="Arial"/>
          <w:sz w:val="20"/>
          <w:szCs w:val="20"/>
        </w:rPr>
        <w:t xml:space="preserve">Like the ground of “earlier industrial design right” as a ground for trademark opposition, </w:t>
      </w:r>
      <w:r w:rsidRPr="0066130F">
        <w:rPr>
          <w:rFonts w:ascii="Arial" w:hAnsi="Arial" w:cs="Arial"/>
          <w:sz w:val="20"/>
          <w:szCs w:val="20"/>
        </w:rPr>
        <w:t xml:space="preserve">in light of Article 73.7, </w:t>
      </w:r>
      <w:r w:rsidRPr="00E664CC">
        <w:rPr>
          <w:rFonts w:ascii="Arial" w:hAnsi="Arial" w:cs="Arial"/>
          <w:sz w:val="20"/>
          <w:szCs w:val="20"/>
        </w:rPr>
        <w:t>the copyright holder</w:t>
      </w:r>
      <w:r>
        <w:rPr>
          <w:rFonts w:ascii="Arial" w:hAnsi="Arial" w:cs="Arial"/>
          <w:sz w:val="20"/>
          <w:szCs w:val="20"/>
        </w:rPr>
        <w:t xml:space="preserve"> </w:t>
      </w:r>
      <w:r w:rsidRPr="00E664CC">
        <w:rPr>
          <w:rFonts w:ascii="Arial" w:hAnsi="Arial" w:cs="Arial"/>
          <w:sz w:val="20"/>
          <w:szCs w:val="20"/>
        </w:rPr>
        <w:t>has the legal right to oppose the registration of a trademark that includes their copyrighted work without obtaining the necessary permission. This opposition can be filed regardless of the goods or services for which the contested trademark is intended to be used. In other words, the copyright holder's opposition is not limited by the type of products or services associated with the trademark; it is based on the unauthorized use of their copyrighted work.</w:t>
      </w:r>
    </w:p>
    <w:p w14:paraId="33CB5975" w14:textId="77777777" w:rsidR="0015574F" w:rsidRDefault="0015574F" w:rsidP="0015574F">
      <w:pPr>
        <w:jc w:val="both"/>
        <w:rPr>
          <w:rFonts w:ascii="Arial" w:hAnsi="Arial" w:cs="Arial"/>
          <w:sz w:val="20"/>
          <w:szCs w:val="20"/>
        </w:rPr>
      </w:pPr>
    </w:p>
    <w:p w14:paraId="1B339DA5" w14:textId="77777777" w:rsidR="0015574F" w:rsidRDefault="0015574F" w:rsidP="0015574F">
      <w:pPr>
        <w:jc w:val="both"/>
        <w:rPr>
          <w:rFonts w:ascii="Arial" w:hAnsi="Arial" w:cs="Arial"/>
          <w:sz w:val="20"/>
          <w:szCs w:val="20"/>
        </w:rPr>
      </w:pPr>
      <w:r>
        <w:rPr>
          <w:rFonts w:ascii="Arial" w:hAnsi="Arial" w:cs="Arial"/>
          <w:sz w:val="20"/>
          <w:szCs w:val="20"/>
        </w:rPr>
        <w:t xml:space="preserve">In addition, under </w:t>
      </w:r>
      <w:r w:rsidRPr="006D5966">
        <w:rPr>
          <w:rFonts w:ascii="Arial" w:hAnsi="Arial" w:cs="Arial"/>
          <w:b/>
          <w:bCs/>
          <w:sz w:val="20"/>
          <w:szCs w:val="20"/>
        </w:rPr>
        <w:t>74.2</w:t>
      </w:r>
      <w:r>
        <w:rPr>
          <w:rFonts w:ascii="Arial" w:hAnsi="Arial" w:cs="Arial"/>
          <w:b/>
          <w:bCs/>
          <w:sz w:val="20"/>
          <w:szCs w:val="20"/>
        </w:rPr>
        <w:t>(</w:t>
      </w:r>
      <w:r w:rsidRPr="006D5966">
        <w:rPr>
          <w:rFonts w:ascii="Arial" w:hAnsi="Arial" w:cs="Arial"/>
          <w:b/>
          <w:bCs/>
          <w:sz w:val="20"/>
          <w:szCs w:val="20"/>
        </w:rPr>
        <w:t>p</w:t>
      </w:r>
      <w:r>
        <w:rPr>
          <w:rFonts w:ascii="Arial" w:hAnsi="Arial" w:cs="Arial"/>
          <w:b/>
          <w:bCs/>
          <w:sz w:val="20"/>
          <w:szCs w:val="20"/>
        </w:rPr>
        <w:t xml:space="preserve">), </w:t>
      </w:r>
      <w:r w:rsidRPr="00C12CBE">
        <w:rPr>
          <w:rFonts w:ascii="Arial" w:hAnsi="Arial" w:cs="Arial"/>
          <w:sz w:val="20"/>
          <w:szCs w:val="20"/>
        </w:rPr>
        <w:t>i</w:t>
      </w:r>
      <w:r w:rsidRPr="006D5966">
        <w:rPr>
          <w:rFonts w:ascii="Arial" w:hAnsi="Arial" w:cs="Arial"/>
          <w:sz w:val="20"/>
          <w:szCs w:val="20"/>
        </w:rPr>
        <w:t>f a pending trademark involves signs which are either identical or bear a confusing similarity to the names or images of characters or figures from copyrighted works, provided that are well-known to the public before the trademark application's filing date,</w:t>
      </w:r>
      <w:r w:rsidRPr="00C12CBE">
        <w:rPr>
          <w:rFonts w:ascii="Arial" w:hAnsi="Arial" w:cs="Arial"/>
          <w:sz w:val="20"/>
          <w:szCs w:val="20"/>
        </w:rPr>
        <w:t xml:space="preserve"> this similarity can be the basis for opposing the trademark registration in Vietnam.</w:t>
      </w:r>
      <w:r>
        <w:rPr>
          <w:rFonts w:ascii="Arial" w:hAnsi="Arial" w:cs="Arial"/>
          <w:sz w:val="20"/>
          <w:szCs w:val="20"/>
        </w:rPr>
        <w:t xml:space="preserve"> </w:t>
      </w:r>
    </w:p>
    <w:p w14:paraId="26338900" w14:textId="77777777" w:rsidR="0015574F" w:rsidRDefault="0015574F" w:rsidP="0015574F">
      <w:pPr>
        <w:jc w:val="both"/>
        <w:rPr>
          <w:rFonts w:ascii="Arial" w:hAnsi="Arial" w:cs="Arial"/>
          <w:sz w:val="20"/>
          <w:szCs w:val="20"/>
        </w:rPr>
      </w:pPr>
    </w:p>
    <w:p w14:paraId="221B9879" w14:textId="77777777" w:rsidR="0015574F" w:rsidRDefault="0015574F" w:rsidP="0015574F">
      <w:pPr>
        <w:jc w:val="both"/>
        <w:rPr>
          <w:rFonts w:ascii="Arial" w:hAnsi="Arial" w:cs="Arial"/>
          <w:sz w:val="20"/>
          <w:szCs w:val="20"/>
        </w:rPr>
      </w:pPr>
      <w:r w:rsidRPr="006D5966">
        <w:rPr>
          <w:rFonts w:ascii="Arial" w:hAnsi="Arial" w:cs="Arial"/>
          <w:sz w:val="20"/>
          <w:szCs w:val="20"/>
        </w:rPr>
        <w:t xml:space="preserve">The </w:t>
      </w:r>
      <w:r>
        <w:rPr>
          <w:rFonts w:ascii="Arial" w:hAnsi="Arial" w:cs="Arial"/>
          <w:sz w:val="20"/>
          <w:szCs w:val="20"/>
        </w:rPr>
        <w:t>requirement</w:t>
      </w:r>
      <w:r w:rsidRPr="006D5966">
        <w:rPr>
          <w:rFonts w:ascii="Arial" w:hAnsi="Arial" w:cs="Arial"/>
          <w:sz w:val="20"/>
          <w:szCs w:val="20"/>
        </w:rPr>
        <w:t xml:space="preserve"> that the character or figure must be "</w:t>
      </w:r>
      <w:r w:rsidRPr="006D5966">
        <w:rPr>
          <w:rFonts w:ascii="Arial" w:hAnsi="Arial" w:cs="Arial"/>
          <w:i/>
          <w:iCs/>
          <w:sz w:val="20"/>
          <w:szCs w:val="20"/>
        </w:rPr>
        <w:t>widely known to the public before the filing date</w:t>
      </w:r>
      <w:r w:rsidRPr="006D5966">
        <w:rPr>
          <w:rFonts w:ascii="Arial" w:hAnsi="Arial" w:cs="Arial"/>
          <w:sz w:val="20"/>
          <w:szCs w:val="20"/>
        </w:rPr>
        <w:t xml:space="preserve">" means that </w:t>
      </w:r>
      <w:r w:rsidRPr="006D5966">
        <w:rPr>
          <w:rFonts w:ascii="Arial" w:hAnsi="Arial" w:cs="Arial"/>
          <w:b/>
          <w:bCs/>
          <w:sz w:val="20"/>
          <w:szCs w:val="20"/>
        </w:rPr>
        <w:t>(i)</w:t>
      </w:r>
      <w:r w:rsidRPr="006D5966">
        <w:rPr>
          <w:rFonts w:ascii="Arial" w:hAnsi="Arial" w:cs="Arial"/>
          <w:sz w:val="20"/>
          <w:szCs w:val="20"/>
        </w:rPr>
        <w:t xml:space="preserve"> </w:t>
      </w:r>
      <w:r w:rsidRPr="00E7387E">
        <w:rPr>
          <w:rFonts w:ascii="Arial" w:hAnsi="Arial" w:cs="Arial"/>
          <w:sz w:val="20"/>
          <w:szCs w:val="20"/>
        </w:rPr>
        <w:t>Not all names or images of characters or figures from copyrighted works are eligible for trademark opposition. In other words, not every character or figure from a copyrighted work can be used as a basis to oppose a trademark</w:t>
      </w:r>
      <w:r>
        <w:rPr>
          <w:rFonts w:ascii="Arial" w:hAnsi="Arial" w:cs="Arial"/>
          <w:sz w:val="20"/>
          <w:szCs w:val="20"/>
        </w:rPr>
        <w:t xml:space="preserve"> in Vietnam</w:t>
      </w:r>
      <w:r w:rsidRPr="00E7387E">
        <w:rPr>
          <w:rFonts w:ascii="Arial" w:hAnsi="Arial" w:cs="Arial"/>
          <w:sz w:val="20"/>
          <w:szCs w:val="20"/>
        </w:rPr>
        <w:t>. The character or figure in question must meet the criteria of being "</w:t>
      </w:r>
      <w:r w:rsidRPr="00E7387E">
        <w:rPr>
          <w:rFonts w:ascii="Arial" w:hAnsi="Arial" w:cs="Arial"/>
          <w:i/>
          <w:iCs/>
          <w:sz w:val="20"/>
          <w:szCs w:val="20"/>
        </w:rPr>
        <w:t>widely known to the public before the filing date</w:t>
      </w:r>
      <w:r w:rsidRPr="00E7387E">
        <w:rPr>
          <w:rFonts w:ascii="Arial" w:hAnsi="Arial" w:cs="Arial"/>
          <w:sz w:val="20"/>
          <w:szCs w:val="20"/>
        </w:rPr>
        <w:t>" of the trademark application</w:t>
      </w:r>
      <w:r>
        <w:rPr>
          <w:rFonts w:ascii="Arial" w:hAnsi="Arial" w:cs="Arial"/>
          <w:sz w:val="20"/>
          <w:szCs w:val="20"/>
        </w:rPr>
        <w:t xml:space="preserve">; and </w:t>
      </w:r>
      <w:r w:rsidRPr="00E7387E">
        <w:rPr>
          <w:rFonts w:ascii="Arial" w:hAnsi="Arial" w:cs="Arial"/>
          <w:b/>
          <w:bCs/>
          <w:sz w:val="20"/>
          <w:szCs w:val="20"/>
        </w:rPr>
        <w:t>(ii)</w:t>
      </w:r>
      <w:r>
        <w:rPr>
          <w:rFonts w:ascii="Arial" w:hAnsi="Arial" w:cs="Arial"/>
          <w:sz w:val="20"/>
          <w:szCs w:val="20"/>
        </w:rPr>
        <w:t xml:space="preserve"> T</w:t>
      </w:r>
      <w:r w:rsidRPr="00E7387E">
        <w:rPr>
          <w:rFonts w:ascii="Arial" w:hAnsi="Arial" w:cs="Arial"/>
          <w:sz w:val="20"/>
          <w:szCs w:val="20"/>
        </w:rPr>
        <w:t>o successfully file a trademark opposition based on this ground</w:t>
      </w:r>
      <w:r>
        <w:rPr>
          <w:rFonts w:ascii="Arial" w:hAnsi="Arial" w:cs="Arial"/>
          <w:sz w:val="20"/>
          <w:szCs w:val="20"/>
        </w:rPr>
        <w:t xml:space="preserve"> in Vietnam</w:t>
      </w:r>
      <w:r w:rsidRPr="00E7387E">
        <w:rPr>
          <w:rFonts w:ascii="Arial" w:hAnsi="Arial" w:cs="Arial"/>
          <w:sz w:val="20"/>
          <w:szCs w:val="20"/>
        </w:rPr>
        <w:t xml:space="preserve">, the opponent must be able to </w:t>
      </w:r>
      <w:r>
        <w:rPr>
          <w:rFonts w:ascii="Arial" w:hAnsi="Arial" w:cs="Arial"/>
          <w:sz w:val="20"/>
          <w:szCs w:val="20"/>
        </w:rPr>
        <w:t xml:space="preserve">substantiate </w:t>
      </w:r>
      <w:r w:rsidRPr="00E7387E">
        <w:rPr>
          <w:rFonts w:ascii="Arial" w:hAnsi="Arial" w:cs="Arial"/>
          <w:sz w:val="20"/>
          <w:szCs w:val="20"/>
        </w:rPr>
        <w:t>that those characters or figures from copyrighted works that have achieved a significant level of public recognition are protected. In other words, the opposition can only be valid if the characters or figures in question have gained substantial public recognition and meet the criteria for being "well-known" figures.</w:t>
      </w:r>
    </w:p>
    <w:p w14:paraId="17B51AC6" w14:textId="77777777" w:rsidR="0015574F" w:rsidRDefault="0015574F" w:rsidP="0015574F">
      <w:pPr>
        <w:jc w:val="both"/>
        <w:rPr>
          <w:rFonts w:ascii="Arial" w:hAnsi="Arial" w:cs="Arial"/>
          <w:sz w:val="20"/>
          <w:szCs w:val="20"/>
        </w:rPr>
      </w:pPr>
    </w:p>
    <w:p w14:paraId="19D0D5FB" w14:textId="77777777" w:rsidR="0015574F" w:rsidRPr="00B3131C" w:rsidRDefault="0015574F" w:rsidP="0015574F">
      <w:pPr>
        <w:jc w:val="both"/>
        <w:rPr>
          <w:rFonts w:ascii="Arial" w:hAnsi="Arial" w:cs="Arial"/>
          <w:b/>
          <w:bCs/>
          <w:sz w:val="22"/>
          <w:szCs w:val="22"/>
        </w:rPr>
      </w:pPr>
      <w:r w:rsidRPr="00CE3EF6">
        <w:rPr>
          <w:rFonts w:ascii="Arial" w:hAnsi="Arial" w:cs="Arial"/>
          <w:b/>
          <w:bCs/>
          <w:color w:val="2F5496" w:themeColor="accent1" w:themeShade="BF"/>
          <w:sz w:val="22"/>
          <w:szCs w:val="22"/>
        </w:rPr>
        <w:t xml:space="preserve">7. Lack of Inherent Distinctiveness </w:t>
      </w:r>
      <w:r w:rsidRPr="0015574F">
        <w:rPr>
          <w:rFonts w:ascii="Arial" w:hAnsi="Arial" w:cs="Arial"/>
          <w:color w:val="000000" w:themeColor="text1"/>
          <w:sz w:val="20"/>
          <w:szCs w:val="20"/>
        </w:rPr>
        <w:t>(</w:t>
      </w:r>
      <w:r w:rsidRPr="0015574F">
        <w:rPr>
          <w:rFonts w:ascii="Arial" w:hAnsi="Arial" w:cs="Arial"/>
          <w:i/>
          <w:iCs/>
          <w:color w:val="000000" w:themeColor="text1"/>
          <w:sz w:val="20"/>
          <w:szCs w:val="20"/>
        </w:rPr>
        <w:t>Articles 73, 74.2a-d, &amp; dd</w:t>
      </w:r>
      <w:r w:rsidRPr="0015574F">
        <w:rPr>
          <w:rFonts w:ascii="Arial" w:hAnsi="Arial" w:cs="Arial"/>
          <w:color w:val="000000" w:themeColor="text1"/>
          <w:sz w:val="20"/>
          <w:szCs w:val="20"/>
        </w:rPr>
        <w:t>)</w:t>
      </w:r>
    </w:p>
    <w:p w14:paraId="7BADAC90" w14:textId="77777777" w:rsidR="0015574F" w:rsidRPr="006D5966" w:rsidRDefault="0015574F" w:rsidP="0015574F">
      <w:pPr>
        <w:jc w:val="both"/>
        <w:rPr>
          <w:rFonts w:ascii="Arial" w:hAnsi="Arial" w:cs="Arial"/>
          <w:sz w:val="20"/>
          <w:szCs w:val="20"/>
        </w:rPr>
      </w:pPr>
    </w:p>
    <w:p w14:paraId="50C1FADC" w14:textId="59E03DA7" w:rsidR="0015574F" w:rsidRPr="006D5966" w:rsidRDefault="0015574F" w:rsidP="0015574F">
      <w:pPr>
        <w:jc w:val="both"/>
        <w:rPr>
          <w:rFonts w:ascii="Arial" w:hAnsi="Arial" w:cs="Arial"/>
          <w:sz w:val="20"/>
          <w:szCs w:val="20"/>
        </w:rPr>
      </w:pPr>
      <w:r w:rsidRPr="006D5966">
        <w:rPr>
          <w:rFonts w:ascii="Arial" w:hAnsi="Arial" w:cs="Arial"/>
          <w:sz w:val="20"/>
          <w:szCs w:val="20"/>
        </w:rPr>
        <w:t>These articles</w:t>
      </w:r>
      <w:r>
        <w:rPr>
          <w:rFonts w:ascii="Arial" w:hAnsi="Arial" w:cs="Arial"/>
          <w:sz w:val="20"/>
          <w:szCs w:val="20"/>
        </w:rPr>
        <w:t xml:space="preserve"> </w:t>
      </w:r>
      <w:r w:rsidRPr="00B3131C">
        <w:rPr>
          <w:rFonts w:ascii="Arial" w:hAnsi="Arial" w:cs="Arial"/>
          <w:sz w:val="20"/>
          <w:szCs w:val="20"/>
        </w:rPr>
        <w:t>(Articles 73, 74.2a-d, &amp; dd)</w:t>
      </w:r>
      <w:r w:rsidRPr="006D5966">
        <w:rPr>
          <w:rFonts w:ascii="Arial" w:hAnsi="Arial" w:cs="Arial"/>
          <w:sz w:val="20"/>
          <w:szCs w:val="20"/>
        </w:rPr>
        <w:t xml:space="preserve"> list the types of signs that are ineligible for protection as marks, mainly focusing on those</w:t>
      </w:r>
      <w:r>
        <w:rPr>
          <w:rFonts w:ascii="Arial" w:hAnsi="Arial" w:cs="Arial"/>
          <w:sz w:val="20"/>
          <w:szCs w:val="20"/>
        </w:rPr>
        <w:t xml:space="preserve"> </w:t>
      </w:r>
      <w:r w:rsidRPr="006D5966">
        <w:rPr>
          <w:rFonts w:ascii="Arial" w:hAnsi="Arial" w:cs="Arial"/>
          <w:sz w:val="20"/>
          <w:szCs w:val="20"/>
        </w:rPr>
        <w:t>lacking</w:t>
      </w:r>
      <w:r>
        <w:rPr>
          <w:rFonts w:ascii="Arial" w:hAnsi="Arial" w:cs="Arial"/>
          <w:sz w:val="20"/>
          <w:szCs w:val="20"/>
        </w:rPr>
        <w:t xml:space="preserve"> inherent</w:t>
      </w:r>
      <w:r w:rsidRPr="006D5966">
        <w:rPr>
          <w:rFonts w:ascii="Arial" w:hAnsi="Arial" w:cs="Arial"/>
          <w:sz w:val="20"/>
          <w:szCs w:val="20"/>
        </w:rPr>
        <w:t xml:space="preserve"> distinctiveness due to their generic, descriptive, or misleading nature.</w:t>
      </w:r>
      <w:r>
        <w:rPr>
          <w:rFonts w:ascii="Arial" w:hAnsi="Arial" w:cs="Arial"/>
          <w:sz w:val="20"/>
          <w:szCs w:val="20"/>
        </w:rPr>
        <w:t xml:space="preserve"> </w:t>
      </w:r>
    </w:p>
    <w:p w14:paraId="3CC1AF27" w14:textId="77777777" w:rsidR="0015574F" w:rsidRPr="00B3131C" w:rsidRDefault="0015574F" w:rsidP="0015574F">
      <w:pPr>
        <w:jc w:val="both"/>
        <w:rPr>
          <w:rFonts w:ascii="Arial" w:hAnsi="Arial" w:cs="Arial"/>
          <w:b/>
          <w:bCs/>
          <w:sz w:val="22"/>
          <w:szCs w:val="22"/>
        </w:rPr>
      </w:pPr>
    </w:p>
    <w:p w14:paraId="6D692DDA" w14:textId="77777777" w:rsidR="0015574F" w:rsidRPr="00CE3EF6" w:rsidRDefault="0015574F" w:rsidP="0015574F">
      <w:pPr>
        <w:jc w:val="both"/>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8. Non-entitlement to register a trademark </w:t>
      </w:r>
      <w:r w:rsidRPr="0015574F">
        <w:rPr>
          <w:rFonts w:ascii="Arial" w:hAnsi="Arial" w:cs="Arial"/>
          <w:i/>
          <w:iCs/>
          <w:color w:val="000000" w:themeColor="text1"/>
          <w:sz w:val="20"/>
          <w:szCs w:val="20"/>
        </w:rPr>
        <w:t>(Article 87.2 and 87.7)</w:t>
      </w:r>
    </w:p>
    <w:p w14:paraId="7710F75B" w14:textId="77777777" w:rsidR="0015574F" w:rsidRPr="006D5966" w:rsidRDefault="0015574F" w:rsidP="0015574F">
      <w:pPr>
        <w:jc w:val="both"/>
        <w:rPr>
          <w:rFonts w:ascii="Arial" w:hAnsi="Arial" w:cs="Arial"/>
          <w:sz w:val="20"/>
          <w:szCs w:val="20"/>
        </w:rPr>
      </w:pPr>
    </w:p>
    <w:p w14:paraId="60EE654D" w14:textId="77777777" w:rsidR="0015574F" w:rsidRDefault="0015574F" w:rsidP="0015574F">
      <w:pPr>
        <w:jc w:val="both"/>
        <w:rPr>
          <w:rFonts w:ascii="Arial" w:hAnsi="Arial" w:cs="Arial"/>
          <w:sz w:val="20"/>
          <w:szCs w:val="20"/>
        </w:rPr>
      </w:pPr>
      <w:r w:rsidRPr="009475B9">
        <w:rPr>
          <w:rFonts w:ascii="Arial" w:hAnsi="Arial" w:cs="Arial"/>
          <w:sz w:val="20"/>
          <w:szCs w:val="20"/>
        </w:rPr>
        <w:t xml:space="preserve">Article 87.2 </w:t>
      </w:r>
      <w:r w:rsidRPr="005F3F2C">
        <w:rPr>
          <w:rFonts w:ascii="Arial" w:hAnsi="Arial" w:cs="Arial"/>
          <w:sz w:val="20"/>
          <w:szCs w:val="20"/>
        </w:rPr>
        <w:t>provides</w:t>
      </w:r>
      <w:r w:rsidRPr="009475B9">
        <w:rPr>
          <w:rFonts w:ascii="Arial" w:hAnsi="Arial" w:cs="Arial"/>
          <w:sz w:val="20"/>
          <w:szCs w:val="20"/>
        </w:rPr>
        <w:t xml:space="preserve"> </w:t>
      </w:r>
      <w:r>
        <w:rPr>
          <w:rFonts w:ascii="Arial" w:hAnsi="Arial" w:cs="Arial"/>
          <w:sz w:val="20"/>
          <w:szCs w:val="20"/>
        </w:rPr>
        <w:t xml:space="preserve">a </w:t>
      </w:r>
      <w:r w:rsidRPr="009475B9">
        <w:rPr>
          <w:rFonts w:ascii="Arial" w:hAnsi="Arial" w:cs="Arial"/>
          <w:sz w:val="20"/>
          <w:szCs w:val="20"/>
        </w:rPr>
        <w:t xml:space="preserve">producer </w:t>
      </w:r>
      <w:r>
        <w:rPr>
          <w:rFonts w:ascii="Arial" w:hAnsi="Arial" w:cs="Arial"/>
          <w:sz w:val="20"/>
          <w:szCs w:val="20"/>
        </w:rPr>
        <w:t xml:space="preserve">with </w:t>
      </w:r>
      <w:r w:rsidRPr="009475B9">
        <w:rPr>
          <w:rFonts w:ascii="Arial" w:hAnsi="Arial" w:cs="Arial"/>
          <w:sz w:val="20"/>
          <w:szCs w:val="20"/>
        </w:rPr>
        <w:t>the right to submit a Notice of Opposition in instances where a third party, like a distributor or a different organization, attempts to register a trademark for products linked to that producer. Specifically, should a producer discover that their distributor or marketer is seeking trademark registration with IP VIETNAM without their authorization, the producer is entitled to oppose this application. The basis for such opposition is the producer's lack of consent for the trademark filing. In these circumstances, the producer can challenge the trademark's registration by declaring their non-consent and objecting on those grounds</w:t>
      </w:r>
    </w:p>
    <w:p w14:paraId="34B135EE" w14:textId="77777777" w:rsidR="0015574F" w:rsidRDefault="0015574F" w:rsidP="0015574F">
      <w:pPr>
        <w:jc w:val="both"/>
        <w:rPr>
          <w:rFonts w:ascii="Arial" w:hAnsi="Arial" w:cs="Arial"/>
          <w:sz w:val="20"/>
          <w:szCs w:val="20"/>
        </w:rPr>
      </w:pPr>
    </w:p>
    <w:p w14:paraId="0D6EC813" w14:textId="77777777" w:rsidR="0015574F" w:rsidRPr="001B0871" w:rsidRDefault="0015574F" w:rsidP="0015574F">
      <w:pPr>
        <w:jc w:val="both"/>
        <w:rPr>
          <w:rFonts w:ascii="Arial" w:hAnsi="Arial" w:cs="Arial"/>
          <w:sz w:val="20"/>
          <w:szCs w:val="20"/>
        </w:rPr>
      </w:pPr>
      <w:r w:rsidRPr="002D3AD7">
        <w:rPr>
          <w:rFonts w:ascii="Arial" w:hAnsi="Arial" w:cs="Arial"/>
          <w:sz w:val="20"/>
          <w:szCs w:val="20"/>
        </w:rPr>
        <w:t xml:space="preserve">Under Article 87.7, if a representative or agent attempts to register a mark in Vietnam on behalf of the mark owner, and there is a treaty in place prohibiting such registration, the mark owner may have grounds to oppose the registration. The mark owner can argue that the registration is not permitted under the treaty, unless they have provided consent or there is a justifiable reason for the registration. Vietnam is a signatory to several international agreements and treaties related to trademarks and intellectual property rights such as </w:t>
      </w:r>
      <w:r w:rsidRPr="009475B9">
        <w:rPr>
          <w:rFonts w:ascii="Arial" w:hAnsi="Arial" w:cs="Arial"/>
          <w:b/>
          <w:bCs/>
          <w:sz w:val="20"/>
          <w:szCs w:val="20"/>
        </w:rPr>
        <w:t>Paris Convention</w:t>
      </w:r>
      <w:r w:rsidRPr="002D3AD7">
        <w:rPr>
          <w:rFonts w:ascii="Arial" w:hAnsi="Arial" w:cs="Arial"/>
          <w:sz w:val="20"/>
          <w:szCs w:val="20"/>
        </w:rPr>
        <w:t xml:space="preserve"> for the Protection of Industrial Property; </w:t>
      </w:r>
      <w:r w:rsidRPr="009475B9">
        <w:rPr>
          <w:rFonts w:ascii="Arial" w:hAnsi="Arial" w:cs="Arial"/>
          <w:b/>
          <w:bCs/>
          <w:sz w:val="20"/>
          <w:szCs w:val="20"/>
        </w:rPr>
        <w:t>TRIPS</w:t>
      </w:r>
      <w:r w:rsidRPr="002D3AD7">
        <w:rPr>
          <w:rFonts w:ascii="Arial" w:hAnsi="Arial" w:cs="Arial"/>
          <w:sz w:val="20"/>
          <w:szCs w:val="20"/>
        </w:rPr>
        <w:t xml:space="preserve"> Agreement (</w:t>
      </w:r>
      <w:r w:rsidRPr="009475B9">
        <w:rPr>
          <w:rFonts w:ascii="Arial" w:hAnsi="Arial" w:cs="Arial"/>
          <w:i/>
          <w:iCs/>
          <w:sz w:val="20"/>
          <w:szCs w:val="20"/>
        </w:rPr>
        <w:t>Agreement on Trade-Related Aspects of Intellectual Property Rights</w:t>
      </w:r>
      <w:r w:rsidRPr="002D3AD7">
        <w:rPr>
          <w:rFonts w:ascii="Arial" w:hAnsi="Arial" w:cs="Arial"/>
          <w:sz w:val="20"/>
          <w:szCs w:val="20"/>
        </w:rPr>
        <w:t>); Madrid Agreement Concerning the International Registration of Marks; Madrid Protocol</w:t>
      </w:r>
      <w:r>
        <w:rPr>
          <w:rFonts w:ascii="Arial" w:hAnsi="Arial" w:cs="Arial"/>
          <w:sz w:val="20"/>
          <w:szCs w:val="20"/>
        </w:rPr>
        <w:t xml:space="preserve"> (</w:t>
      </w:r>
      <w:r w:rsidRPr="009475B9">
        <w:rPr>
          <w:rFonts w:ascii="Arial" w:hAnsi="Arial" w:cs="Arial"/>
          <w:b/>
          <w:bCs/>
          <w:sz w:val="20"/>
          <w:szCs w:val="20"/>
        </w:rPr>
        <w:t>Madrid System</w:t>
      </w:r>
      <w:r>
        <w:rPr>
          <w:rFonts w:ascii="Arial" w:hAnsi="Arial" w:cs="Arial"/>
          <w:sz w:val="20"/>
          <w:szCs w:val="20"/>
        </w:rPr>
        <w:t>)</w:t>
      </w:r>
      <w:r w:rsidRPr="002D3AD7">
        <w:rPr>
          <w:rFonts w:ascii="Arial" w:hAnsi="Arial" w:cs="Arial"/>
          <w:sz w:val="20"/>
          <w:szCs w:val="20"/>
        </w:rPr>
        <w:t>; Bilateral and Regional Trade Agreement (</w:t>
      </w:r>
      <w:r>
        <w:rPr>
          <w:rFonts w:ascii="Arial" w:hAnsi="Arial" w:cs="Arial"/>
          <w:sz w:val="20"/>
          <w:szCs w:val="20"/>
        </w:rPr>
        <w:t xml:space="preserve">e.g., </w:t>
      </w:r>
      <w:r w:rsidRPr="002D3AD7">
        <w:rPr>
          <w:rFonts w:ascii="Arial" w:hAnsi="Arial" w:cs="Arial"/>
          <w:sz w:val="20"/>
          <w:szCs w:val="20"/>
        </w:rPr>
        <w:t>the United States-Vietnam Bilateral Trade Agreement, and the Comprehensive and Progressive Agreement for Trans-Pacific Partnership (</w:t>
      </w:r>
      <w:r w:rsidRPr="009475B9">
        <w:rPr>
          <w:rFonts w:ascii="Arial" w:hAnsi="Arial" w:cs="Arial"/>
          <w:b/>
          <w:bCs/>
          <w:sz w:val="20"/>
          <w:szCs w:val="20"/>
        </w:rPr>
        <w:t>CPTPP</w:t>
      </w:r>
      <w:r w:rsidRPr="002D3AD7">
        <w:rPr>
          <w:rFonts w:ascii="Arial" w:hAnsi="Arial" w:cs="Arial"/>
          <w:sz w:val="20"/>
          <w:szCs w:val="20"/>
        </w:rPr>
        <w:t>)</w:t>
      </w:r>
      <w:r>
        <w:rPr>
          <w:rFonts w:ascii="Arial" w:hAnsi="Arial" w:cs="Arial"/>
          <w:sz w:val="20"/>
          <w:szCs w:val="20"/>
        </w:rPr>
        <w:t xml:space="preserve">; </w:t>
      </w:r>
      <w:r w:rsidRPr="009475B9">
        <w:rPr>
          <w:rFonts w:ascii="Arial" w:hAnsi="Arial" w:cs="Arial"/>
          <w:sz w:val="20"/>
          <w:szCs w:val="20"/>
        </w:rPr>
        <w:t xml:space="preserve">EU–Vietnam Free Trade Agreement </w:t>
      </w:r>
      <w:r>
        <w:rPr>
          <w:rFonts w:ascii="Arial" w:hAnsi="Arial" w:cs="Arial"/>
          <w:sz w:val="20"/>
          <w:szCs w:val="20"/>
        </w:rPr>
        <w:t>(</w:t>
      </w:r>
      <w:r w:rsidRPr="009475B9">
        <w:rPr>
          <w:rFonts w:ascii="Arial" w:hAnsi="Arial" w:cs="Arial"/>
          <w:b/>
          <w:bCs/>
          <w:sz w:val="20"/>
          <w:szCs w:val="20"/>
        </w:rPr>
        <w:t>EVFTA</w:t>
      </w:r>
      <w:r>
        <w:rPr>
          <w:rFonts w:ascii="Arial" w:hAnsi="Arial" w:cs="Arial"/>
          <w:sz w:val="20"/>
          <w:szCs w:val="20"/>
        </w:rPr>
        <w:t xml:space="preserve">); </w:t>
      </w:r>
      <w:r w:rsidRPr="009475B9">
        <w:rPr>
          <w:rFonts w:ascii="Arial" w:hAnsi="Arial" w:cs="Arial"/>
          <w:sz w:val="20"/>
          <w:szCs w:val="20"/>
        </w:rPr>
        <w:t>Regional Comprehensive Economic Partnership (</w:t>
      </w:r>
      <w:r w:rsidRPr="009475B9">
        <w:rPr>
          <w:rFonts w:ascii="Arial" w:hAnsi="Arial" w:cs="Arial"/>
          <w:b/>
          <w:bCs/>
          <w:sz w:val="20"/>
          <w:szCs w:val="20"/>
        </w:rPr>
        <w:t>RCEP</w:t>
      </w:r>
      <w:r w:rsidRPr="009475B9">
        <w:rPr>
          <w:rFonts w:ascii="Arial" w:hAnsi="Arial" w:cs="Arial"/>
          <w:sz w:val="20"/>
          <w:szCs w:val="20"/>
        </w:rPr>
        <w:t>)</w:t>
      </w:r>
      <w:r w:rsidRPr="002D3AD7">
        <w:rPr>
          <w:rFonts w:ascii="Arial" w:hAnsi="Arial" w:cs="Arial"/>
          <w:sz w:val="20"/>
          <w:szCs w:val="20"/>
        </w:rPr>
        <w:t>)</w:t>
      </w:r>
    </w:p>
    <w:p w14:paraId="6DFE47DB" w14:textId="77777777" w:rsidR="0015574F" w:rsidRDefault="0015574F" w:rsidP="0015574F">
      <w:pPr>
        <w:rPr>
          <w:rFonts w:ascii="Arial" w:hAnsi="Arial" w:cs="Arial"/>
          <w:sz w:val="20"/>
          <w:szCs w:val="20"/>
        </w:rPr>
      </w:pPr>
    </w:p>
    <w:p w14:paraId="4F179D49" w14:textId="77777777" w:rsidR="0015574F" w:rsidRPr="00CE3EF6" w:rsidRDefault="0015574F" w:rsidP="0015574F">
      <w:pPr>
        <w:rPr>
          <w:rFonts w:ascii="Arial" w:hAnsi="Arial" w:cs="Arial"/>
          <w:b/>
          <w:bCs/>
          <w:color w:val="2F5496" w:themeColor="accent1" w:themeShade="BF"/>
          <w:sz w:val="22"/>
          <w:szCs w:val="22"/>
        </w:rPr>
      </w:pPr>
      <w:r w:rsidRPr="00CE3EF6">
        <w:rPr>
          <w:rFonts w:ascii="Arial" w:hAnsi="Arial" w:cs="Arial"/>
          <w:b/>
          <w:bCs/>
          <w:color w:val="2F5496" w:themeColor="accent1" w:themeShade="BF"/>
          <w:sz w:val="22"/>
          <w:szCs w:val="22"/>
        </w:rPr>
        <w:t xml:space="preserve">9. Bad Faith of Applicant </w:t>
      </w:r>
      <w:r w:rsidRPr="0015574F">
        <w:rPr>
          <w:rFonts w:ascii="Arial" w:hAnsi="Arial" w:cs="Arial"/>
          <w:color w:val="000000" w:themeColor="text1"/>
          <w:sz w:val="20"/>
          <w:szCs w:val="20"/>
        </w:rPr>
        <w:t>(</w:t>
      </w:r>
      <w:r w:rsidRPr="0015574F">
        <w:rPr>
          <w:rFonts w:ascii="Arial" w:hAnsi="Arial" w:cs="Arial"/>
          <w:i/>
          <w:iCs/>
          <w:color w:val="000000" w:themeColor="text1"/>
          <w:sz w:val="20"/>
          <w:szCs w:val="20"/>
        </w:rPr>
        <w:t>Article 187.2</w:t>
      </w:r>
      <w:r w:rsidRPr="0015574F">
        <w:rPr>
          <w:rFonts w:ascii="Arial" w:hAnsi="Arial" w:cs="Arial"/>
          <w:color w:val="000000" w:themeColor="text1"/>
          <w:sz w:val="20"/>
          <w:szCs w:val="20"/>
        </w:rPr>
        <w:t>)</w:t>
      </w:r>
    </w:p>
    <w:p w14:paraId="57F9D5C1" w14:textId="77777777" w:rsidR="0015574F" w:rsidRDefault="0015574F" w:rsidP="0015574F">
      <w:pPr>
        <w:rPr>
          <w:rFonts w:ascii="Arial" w:hAnsi="Arial" w:cs="Arial"/>
          <w:sz w:val="20"/>
          <w:szCs w:val="20"/>
        </w:rPr>
      </w:pPr>
    </w:p>
    <w:p w14:paraId="268A3DF5" w14:textId="77777777" w:rsidR="0015574F" w:rsidRDefault="0015574F" w:rsidP="0015574F">
      <w:pPr>
        <w:jc w:val="both"/>
        <w:rPr>
          <w:rFonts w:ascii="Arial" w:hAnsi="Arial" w:cs="Arial"/>
          <w:sz w:val="20"/>
          <w:szCs w:val="20"/>
        </w:rPr>
      </w:pPr>
      <w:r w:rsidRPr="00C25C61">
        <w:rPr>
          <w:rFonts w:ascii="Arial" w:hAnsi="Arial" w:cs="Arial"/>
          <w:sz w:val="20"/>
          <w:szCs w:val="20"/>
        </w:rPr>
        <w:t xml:space="preserve">A third party who believes that the applicant is seeking trademark protection with bad intentions or in bad faith can file a trademark opposition in Vietnam. </w:t>
      </w:r>
      <w:r>
        <w:rPr>
          <w:rFonts w:ascii="Arial" w:hAnsi="Arial" w:cs="Arial"/>
          <w:sz w:val="20"/>
          <w:szCs w:val="20"/>
        </w:rPr>
        <w:t>“B</w:t>
      </w:r>
      <w:r w:rsidRPr="008D6E70">
        <w:rPr>
          <w:rFonts w:ascii="Arial" w:hAnsi="Arial" w:cs="Arial"/>
          <w:sz w:val="20"/>
          <w:szCs w:val="20"/>
        </w:rPr>
        <w:t>ad faith</w:t>
      </w:r>
      <w:r>
        <w:rPr>
          <w:rFonts w:ascii="Arial" w:hAnsi="Arial" w:cs="Arial"/>
          <w:sz w:val="20"/>
          <w:szCs w:val="20"/>
        </w:rPr>
        <w:t>”</w:t>
      </w:r>
      <w:r w:rsidRPr="008D6E70">
        <w:rPr>
          <w:rFonts w:ascii="Arial" w:hAnsi="Arial" w:cs="Arial"/>
          <w:sz w:val="20"/>
          <w:szCs w:val="20"/>
        </w:rPr>
        <w:t xml:space="preserve"> is understood as the situation where an applicant knows that the mark that is applied for registration already belongs to another person who has a genuine claim to that mark and has not consented to such registration</w:t>
      </w:r>
      <w:r>
        <w:rPr>
          <w:rFonts w:ascii="Arial" w:hAnsi="Arial" w:cs="Arial"/>
          <w:sz w:val="20"/>
          <w:szCs w:val="20"/>
        </w:rPr>
        <w:t>.</w:t>
      </w:r>
    </w:p>
    <w:p w14:paraId="2077A89D" w14:textId="77777777" w:rsidR="0015574F" w:rsidRDefault="0015574F" w:rsidP="0015574F">
      <w:pPr>
        <w:rPr>
          <w:rFonts w:ascii="Arial" w:hAnsi="Arial" w:cs="Arial"/>
          <w:sz w:val="20"/>
          <w:szCs w:val="20"/>
        </w:rPr>
      </w:pPr>
    </w:p>
    <w:p w14:paraId="298C42E3" w14:textId="608C55C1" w:rsidR="0015574F" w:rsidRPr="00D13FD3" w:rsidRDefault="0015574F" w:rsidP="0015574F">
      <w:pPr>
        <w:jc w:val="both"/>
        <w:rPr>
          <w:rFonts w:ascii="Arial" w:hAnsi="Arial" w:cs="Arial"/>
          <w:sz w:val="20"/>
          <w:szCs w:val="20"/>
        </w:rPr>
      </w:pPr>
      <w:r w:rsidRPr="00D13FD3">
        <w:rPr>
          <w:rFonts w:ascii="Arial" w:hAnsi="Arial" w:cs="Arial"/>
          <w:sz w:val="20"/>
          <w:szCs w:val="20"/>
        </w:rPr>
        <w:t>The interpretation of “</w:t>
      </w:r>
      <w:hyperlink r:id="rId21" w:history="1">
        <w:r w:rsidRPr="000877A5">
          <w:rPr>
            <w:rStyle w:val="Hyperlink"/>
            <w:rFonts w:ascii="Arial" w:hAnsi="Arial" w:cs="Arial"/>
            <w:sz w:val="20"/>
            <w:szCs w:val="20"/>
          </w:rPr>
          <w:t>Bad Faith</w:t>
        </w:r>
      </w:hyperlink>
      <w:r w:rsidRPr="00D13FD3">
        <w:rPr>
          <w:rFonts w:ascii="Arial" w:hAnsi="Arial" w:cs="Arial"/>
          <w:sz w:val="20"/>
          <w:szCs w:val="20"/>
        </w:rPr>
        <w:t xml:space="preserve">” as a ground for </w:t>
      </w:r>
      <w:r w:rsidRPr="00D20193">
        <w:rPr>
          <w:rFonts w:ascii="Arial" w:hAnsi="Arial" w:cs="Arial"/>
          <w:sz w:val="20"/>
          <w:szCs w:val="20"/>
          <w:shd w:val="clear" w:color="auto" w:fill="FFFFFF"/>
        </w:rPr>
        <w:t>challenging</w:t>
      </w:r>
      <w:r w:rsidRPr="00D13FD3" w:rsidDel="00D20193">
        <w:rPr>
          <w:rFonts w:ascii="Arial" w:hAnsi="Arial" w:cs="Arial"/>
          <w:sz w:val="20"/>
          <w:szCs w:val="20"/>
        </w:rPr>
        <w:t xml:space="preserve"> </w:t>
      </w:r>
      <w:r w:rsidRPr="00D13FD3">
        <w:rPr>
          <w:rFonts w:ascii="Arial" w:hAnsi="Arial" w:cs="Arial"/>
          <w:sz w:val="20"/>
          <w:szCs w:val="20"/>
        </w:rPr>
        <w:t>trademark application</w:t>
      </w:r>
      <w:r>
        <w:rPr>
          <w:rFonts w:ascii="Arial" w:hAnsi="Arial" w:cs="Arial"/>
          <w:sz w:val="20"/>
          <w:szCs w:val="20"/>
        </w:rPr>
        <w:t xml:space="preserve"> or </w:t>
      </w:r>
      <w:r w:rsidRPr="00D13FD3">
        <w:rPr>
          <w:rFonts w:ascii="Arial" w:hAnsi="Arial" w:cs="Arial"/>
          <w:sz w:val="20"/>
          <w:szCs w:val="20"/>
        </w:rPr>
        <w:t>registration is specified in Point 34.2 of Circular No. 23/2023/TT-BKHCN</w:t>
      </w:r>
      <w:r>
        <w:rPr>
          <w:rFonts w:ascii="Arial" w:hAnsi="Arial" w:cs="Arial"/>
          <w:sz w:val="20"/>
          <w:szCs w:val="20"/>
        </w:rPr>
        <w:t>,</w:t>
      </w:r>
      <w:r w:rsidRPr="00D13FD3">
        <w:rPr>
          <w:rFonts w:ascii="Arial" w:hAnsi="Arial" w:cs="Arial"/>
          <w:sz w:val="20"/>
          <w:szCs w:val="20"/>
        </w:rPr>
        <w:t xml:space="preserve"> which came into effect on 30 November 2023. Accordingly, the applicant would be considered </w:t>
      </w:r>
      <w:r>
        <w:rPr>
          <w:rFonts w:ascii="Arial" w:hAnsi="Arial" w:cs="Arial"/>
          <w:sz w:val="20"/>
          <w:szCs w:val="20"/>
        </w:rPr>
        <w:t>to have</w:t>
      </w:r>
      <w:r w:rsidRPr="00D13FD3">
        <w:rPr>
          <w:rFonts w:ascii="Arial" w:hAnsi="Arial" w:cs="Arial"/>
          <w:sz w:val="20"/>
          <w:szCs w:val="20"/>
        </w:rPr>
        <w:t xml:space="preserve"> act</w:t>
      </w:r>
      <w:r>
        <w:rPr>
          <w:rFonts w:ascii="Arial" w:hAnsi="Arial" w:cs="Arial"/>
          <w:sz w:val="20"/>
          <w:szCs w:val="20"/>
        </w:rPr>
        <w:t>ed</w:t>
      </w:r>
      <w:r w:rsidRPr="00D13FD3">
        <w:rPr>
          <w:rFonts w:ascii="Arial" w:hAnsi="Arial" w:cs="Arial"/>
          <w:sz w:val="20"/>
          <w:szCs w:val="20"/>
        </w:rPr>
        <w:t xml:space="preserve"> “</w:t>
      </w:r>
      <w:hyperlink r:id="rId22" w:history="1">
        <w:r w:rsidRPr="000877A5">
          <w:rPr>
            <w:rStyle w:val="Hyperlink"/>
            <w:rFonts w:ascii="Arial" w:hAnsi="Arial" w:cs="Arial"/>
            <w:sz w:val="20"/>
            <w:szCs w:val="20"/>
          </w:rPr>
          <w:t>in bad faith</w:t>
        </w:r>
      </w:hyperlink>
      <w:r w:rsidRPr="00D13FD3">
        <w:rPr>
          <w:rFonts w:ascii="Arial" w:hAnsi="Arial" w:cs="Arial"/>
          <w:sz w:val="20"/>
          <w:szCs w:val="20"/>
        </w:rPr>
        <w:t xml:space="preserve">" if the </w:t>
      </w:r>
      <w:r>
        <w:rPr>
          <w:rFonts w:ascii="Arial" w:hAnsi="Arial" w:cs="Arial"/>
          <w:sz w:val="20"/>
          <w:szCs w:val="20"/>
        </w:rPr>
        <w:t xml:space="preserve">presented </w:t>
      </w:r>
      <w:r w:rsidRPr="00D13FD3">
        <w:rPr>
          <w:rFonts w:ascii="Arial" w:hAnsi="Arial" w:cs="Arial"/>
          <w:sz w:val="20"/>
          <w:szCs w:val="20"/>
        </w:rPr>
        <w:t xml:space="preserve">evidence </w:t>
      </w:r>
      <w:r w:rsidRPr="00D20193">
        <w:rPr>
          <w:rFonts w:ascii="Arial" w:hAnsi="Arial" w:cs="Arial"/>
          <w:sz w:val="20"/>
          <w:szCs w:val="20"/>
          <w:shd w:val="clear" w:color="auto" w:fill="FFFFFF"/>
        </w:rPr>
        <w:t>fulfills both of the following criteria</w:t>
      </w:r>
      <w:r w:rsidRPr="00D13FD3">
        <w:rPr>
          <w:rFonts w:ascii="Arial" w:hAnsi="Arial" w:cs="Arial"/>
          <w:sz w:val="20"/>
          <w:szCs w:val="20"/>
        </w:rPr>
        <w:t>:</w:t>
      </w:r>
    </w:p>
    <w:p w14:paraId="04EECC9E" w14:textId="77777777" w:rsidR="0015574F" w:rsidRPr="00D13FD3" w:rsidRDefault="0015574F" w:rsidP="0015574F">
      <w:pPr>
        <w:jc w:val="both"/>
        <w:rPr>
          <w:rFonts w:ascii="Arial" w:hAnsi="Arial" w:cs="Arial"/>
          <w:sz w:val="20"/>
          <w:szCs w:val="20"/>
        </w:rPr>
      </w:pPr>
    </w:p>
    <w:p w14:paraId="582C8E2E" w14:textId="77777777" w:rsidR="0015574F" w:rsidRPr="0015574F" w:rsidRDefault="0015574F" w:rsidP="0015574F">
      <w:pPr>
        <w:numPr>
          <w:ilvl w:val="0"/>
          <w:numId w:val="2"/>
        </w:numPr>
        <w:ind w:left="450" w:hanging="450"/>
        <w:jc w:val="both"/>
        <w:rPr>
          <w:rFonts w:ascii="Arial" w:hAnsi="Arial" w:cs="Arial"/>
          <w:i/>
          <w:iCs/>
          <w:sz w:val="20"/>
          <w:szCs w:val="20"/>
        </w:rPr>
      </w:pPr>
      <w:r w:rsidRPr="0015574F">
        <w:rPr>
          <w:rFonts w:ascii="Arial" w:hAnsi="Arial" w:cs="Arial"/>
          <w:i/>
          <w:iCs/>
          <w:sz w:val="20"/>
          <w:szCs w:val="20"/>
        </w:rPr>
        <w:t xml:space="preserve">At the time of filing the application, the applicant either </w:t>
      </w:r>
      <w:r w:rsidRPr="0015574F">
        <w:rPr>
          <w:rFonts w:ascii="Arial" w:hAnsi="Arial" w:cs="Arial"/>
          <w:i/>
          <w:iCs/>
          <w:sz w:val="20"/>
          <w:szCs w:val="20"/>
          <w:u w:val="single"/>
        </w:rPr>
        <w:t>knows</w:t>
      </w:r>
      <w:r w:rsidRPr="0015574F">
        <w:rPr>
          <w:rFonts w:ascii="Arial" w:hAnsi="Arial" w:cs="Arial"/>
          <w:i/>
          <w:iCs/>
          <w:sz w:val="20"/>
          <w:szCs w:val="20"/>
        </w:rPr>
        <w:t xml:space="preserve"> or has </w:t>
      </w:r>
      <w:r w:rsidRPr="0015574F">
        <w:rPr>
          <w:rFonts w:ascii="Arial" w:hAnsi="Arial" w:cs="Arial"/>
          <w:i/>
          <w:iCs/>
          <w:sz w:val="20"/>
          <w:szCs w:val="20"/>
          <w:u w:val="single"/>
        </w:rPr>
        <w:t>reasonable grounds to know</w:t>
      </w:r>
      <w:r w:rsidRPr="0015574F">
        <w:rPr>
          <w:rFonts w:ascii="Arial" w:hAnsi="Arial" w:cs="Arial"/>
          <w:i/>
          <w:iCs/>
          <w:sz w:val="20"/>
          <w:szCs w:val="20"/>
        </w:rPr>
        <w:t xml:space="preserve"> that his/her applied-for trademark is identical or confusingly similar to other person’s trademark that is widely used in Vietnam, or become famous in other countries, designated for identical or similar goods or services; and</w:t>
      </w:r>
    </w:p>
    <w:p w14:paraId="4057712C" w14:textId="77777777" w:rsidR="0015574F" w:rsidRPr="0015574F" w:rsidRDefault="0015574F" w:rsidP="0015574F">
      <w:pPr>
        <w:ind w:left="450" w:hanging="450"/>
        <w:jc w:val="both"/>
        <w:rPr>
          <w:rFonts w:ascii="Arial" w:hAnsi="Arial" w:cs="Arial"/>
          <w:i/>
          <w:iCs/>
          <w:sz w:val="20"/>
          <w:szCs w:val="20"/>
        </w:rPr>
      </w:pPr>
    </w:p>
    <w:p w14:paraId="759D857D" w14:textId="77777777" w:rsidR="0015574F" w:rsidRPr="0015574F" w:rsidRDefault="0015574F" w:rsidP="0015574F">
      <w:pPr>
        <w:numPr>
          <w:ilvl w:val="0"/>
          <w:numId w:val="2"/>
        </w:numPr>
        <w:ind w:left="450" w:hanging="450"/>
        <w:jc w:val="both"/>
        <w:rPr>
          <w:rFonts w:ascii="Arial" w:hAnsi="Arial" w:cs="Arial"/>
          <w:i/>
          <w:iCs/>
          <w:sz w:val="20"/>
          <w:szCs w:val="20"/>
        </w:rPr>
      </w:pPr>
      <w:r w:rsidRPr="0015574F">
        <w:rPr>
          <w:rFonts w:ascii="Arial" w:hAnsi="Arial" w:cs="Arial"/>
          <w:i/>
          <w:iCs/>
          <w:sz w:val="20"/>
          <w:szCs w:val="20"/>
        </w:rPr>
        <w:t xml:space="preserve">The applicant’s trademark registration‘s motive behind </w:t>
      </w:r>
      <w:r w:rsidRPr="0015574F">
        <w:rPr>
          <w:rFonts w:ascii="Arial" w:hAnsi="Arial" w:cs="Arial"/>
          <w:i/>
          <w:iCs/>
          <w:sz w:val="20"/>
          <w:szCs w:val="20"/>
          <w:shd w:val="clear" w:color="auto" w:fill="FFFFFF"/>
        </w:rPr>
        <w:t xml:space="preserve">the trademark registration is </w:t>
      </w:r>
      <w:r w:rsidRPr="0015574F">
        <w:rPr>
          <w:rFonts w:ascii="Arial" w:hAnsi="Arial" w:cs="Arial"/>
          <w:i/>
          <w:iCs/>
          <w:sz w:val="20"/>
          <w:szCs w:val="20"/>
        </w:rPr>
        <w:t xml:space="preserve">to take advantage of (capitalize on) the reputation or goodwill of the other person’s trademark for profit (monetary gains), or mainly for the purpose of reselling, licensing or transferring registration rights to the other person whose trademark is widely used in Vietnam, or recognized as well-known trademark in other countries, or with the goal of preventing the other person from entering the market, or conducting other behaviors contrary to fair commercial practices. </w:t>
      </w:r>
    </w:p>
    <w:p w14:paraId="37170AD1" w14:textId="77777777" w:rsidR="0015574F" w:rsidRDefault="0015574F" w:rsidP="0015574F">
      <w:pPr>
        <w:rPr>
          <w:rFonts w:ascii="Arial" w:hAnsi="Arial" w:cs="Arial"/>
          <w:sz w:val="20"/>
          <w:szCs w:val="20"/>
        </w:rPr>
      </w:pPr>
    </w:p>
    <w:p w14:paraId="0A06B7E4" w14:textId="77777777" w:rsidR="0015574F" w:rsidRPr="00300EF1" w:rsidRDefault="0015574F" w:rsidP="0015574F">
      <w:pPr>
        <w:jc w:val="both"/>
        <w:rPr>
          <w:rFonts w:ascii="Arial" w:hAnsi="Arial" w:cs="Arial"/>
          <w:sz w:val="20"/>
          <w:szCs w:val="20"/>
        </w:rPr>
      </w:pPr>
      <w:r w:rsidRPr="00300EF1">
        <w:rPr>
          <w:rFonts w:ascii="Arial" w:hAnsi="Arial" w:cs="Arial"/>
          <w:sz w:val="20"/>
          <w:szCs w:val="20"/>
        </w:rPr>
        <w:t>Awareness of the mark can stem from various sources, including the mark's recognition in Vietnam or internationally, or its established reputation within Vietnam. Additionally, knowledge of the mark may be established if the applicant has had a prior connection or business relationship with the owner of the mark they are attempting to register. This connection could be evidenced through past correspondence or negotiations between the relevant parties.</w:t>
      </w:r>
    </w:p>
    <w:p w14:paraId="3EC94FA3" w14:textId="77777777" w:rsidR="0015574F" w:rsidRDefault="0015574F" w:rsidP="0015574F">
      <w:pPr>
        <w:rPr>
          <w:rFonts w:ascii="Arial" w:hAnsi="Arial" w:cs="Arial"/>
          <w:sz w:val="20"/>
          <w:szCs w:val="20"/>
        </w:rPr>
      </w:pPr>
    </w:p>
    <w:p w14:paraId="4C0107B1" w14:textId="77777777" w:rsidR="0015574F" w:rsidRPr="00CE3EF6" w:rsidRDefault="0015574F" w:rsidP="0015574F">
      <w:pPr>
        <w:rPr>
          <w:rFonts w:ascii="Arial" w:hAnsi="Arial" w:cs="Arial"/>
          <w:b/>
          <w:bCs/>
          <w:color w:val="2F5496" w:themeColor="accent1" w:themeShade="BF"/>
        </w:rPr>
      </w:pPr>
      <w:r w:rsidRPr="00CE3EF6">
        <w:rPr>
          <w:rFonts w:ascii="Arial" w:hAnsi="Arial" w:cs="Arial"/>
          <w:b/>
          <w:bCs/>
          <w:color w:val="2F5496" w:themeColor="accent1" w:themeShade="BF"/>
        </w:rPr>
        <w:t>Final thoughts</w:t>
      </w:r>
    </w:p>
    <w:p w14:paraId="5E90E538" w14:textId="77777777" w:rsidR="0015574F" w:rsidRDefault="0015574F" w:rsidP="0015574F">
      <w:pPr>
        <w:rPr>
          <w:rFonts w:ascii="Arial" w:hAnsi="Arial" w:cs="Arial"/>
          <w:sz w:val="20"/>
          <w:szCs w:val="20"/>
        </w:rPr>
      </w:pPr>
    </w:p>
    <w:p w14:paraId="77B67FF7" w14:textId="07B6DFD6" w:rsidR="0015574F" w:rsidRDefault="0015574F" w:rsidP="0015574F">
      <w:pPr>
        <w:jc w:val="both"/>
        <w:rPr>
          <w:rFonts w:ascii="Arial" w:hAnsi="Arial" w:cs="Arial"/>
          <w:sz w:val="20"/>
          <w:szCs w:val="20"/>
        </w:rPr>
      </w:pPr>
      <w:r w:rsidRPr="00CE3EF6">
        <w:rPr>
          <w:rFonts w:ascii="Arial" w:hAnsi="Arial" w:cs="Arial"/>
          <w:sz w:val="20"/>
          <w:szCs w:val="20"/>
        </w:rPr>
        <w:t>In conclusion, winning in a trademark opposition in Vietnam depends on more than just presenting strong evidence; it's about coupling this evidence with a profound understanding of the grounds for challenging a third party's mark.  Genuine trademark owners, by skillfully blending strong evidence with astute, statute-based arguments, can significantly increase their chances of securing favorable decisions from IP VIETNAM in the context of increasingly complex trademark disputes in Vietnam.</w:t>
      </w:r>
    </w:p>
    <w:p w14:paraId="0DB5C154" w14:textId="10C669EB" w:rsidR="0015574F" w:rsidRDefault="0015574F" w:rsidP="0015574F">
      <w:pPr>
        <w:jc w:val="both"/>
        <w:rPr>
          <w:rFonts w:ascii="Arial" w:hAnsi="Arial" w:cs="Arial"/>
          <w:sz w:val="20"/>
          <w:szCs w:val="20"/>
        </w:rPr>
      </w:pPr>
    </w:p>
    <w:p w14:paraId="26DA0AE7" w14:textId="037D4735" w:rsidR="0015574F" w:rsidRDefault="0015574F" w:rsidP="0015574F">
      <w:pPr>
        <w:jc w:val="both"/>
        <w:rPr>
          <w:rFonts w:ascii="Arial" w:hAnsi="Arial" w:cs="Arial"/>
          <w:sz w:val="20"/>
          <w:szCs w:val="20"/>
        </w:rPr>
      </w:pPr>
      <w:r>
        <w:rPr>
          <w:rFonts w:ascii="Arial" w:hAnsi="Arial" w:cs="Arial"/>
          <w:sz w:val="20"/>
          <w:szCs w:val="20"/>
        </w:rPr>
        <w:t>Reach out to KENFOX if you require our professional advice on trademark oppositions in Vietnam.</w:t>
      </w:r>
    </w:p>
    <w:p w14:paraId="565A2439" w14:textId="77777777" w:rsidR="00AD33B3" w:rsidRDefault="00AD33B3" w:rsidP="0015574F"/>
    <w:sectPr w:rsidR="00AD33B3" w:rsidSect="0015574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D76"/>
    <w:multiLevelType w:val="hybridMultilevel"/>
    <w:tmpl w:val="BE4ABA1C"/>
    <w:lvl w:ilvl="0" w:tplc="40009ED8">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A65AF"/>
    <w:multiLevelType w:val="hybridMultilevel"/>
    <w:tmpl w:val="70C6C85E"/>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4F"/>
    <w:rsid w:val="00020F0B"/>
    <w:rsid w:val="000877A5"/>
    <w:rsid w:val="0015574F"/>
    <w:rsid w:val="00AD33B3"/>
    <w:rsid w:val="00CE09DA"/>
    <w:rsid w:val="00D43E51"/>
    <w:rsid w:val="00D70261"/>
    <w:rsid w:val="00F4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CF5"/>
  <w15:chartTrackingRefBased/>
  <w15:docId w15:val="{B4D05903-F1F1-4624-AB52-9212B038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74F"/>
    <w:rPr>
      <w:color w:val="0563C1" w:themeColor="hyperlink"/>
      <w:u w:val="single"/>
    </w:rPr>
  </w:style>
  <w:style w:type="character" w:styleId="UnresolvedMention">
    <w:name w:val="Unresolved Mention"/>
    <w:basedOn w:val="DefaultParagraphFont"/>
    <w:uiPriority w:val="99"/>
    <w:semiHidden/>
    <w:unhideWhenUsed/>
    <w:rsid w:val="00D4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kenfoxlaw.com/bad-faith-malicious-a-legal-basis-for-trademark-opposition-or-invalidation-in-vietnam" TargetMode="External"/><Relationship Id="rId7" Type="http://schemas.openxmlformats.org/officeDocument/2006/relationships/image" Target="media/image2.jpeg"/><Relationship Id="rId12" Type="http://schemas.openxmlformats.org/officeDocument/2006/relationships/hyperlink" Target="https://kenfoxlaw.com/what-strategies-to-reclaim-unregistered-trademark-rights-in-vietnam"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kenfoxlaw.com/how-to-effectively-handle-conflicts-between-trademarks-and-copyrights-in-vietnam-as-per-article-73-7-of-vietnam-ip-law-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enfoxlaw.com/resolving-disputes-between-trade-names-and-trademarks-in-vietnam-how-to-proceed" TargetMode="External"/><Relationship Id="rId24" Type="http://schemas.openxmlformats.org/officeDocument/2006/relationships/theme" Target="theme/theme1.xml"/><Relationship Id="rId5" Type="http://schemas.openxmlformats.org/officeDocument/2006/relationships/hyperlink" Target="https://kenfoxlaw.com/how-to-successfully-argue-wide-use-evidence-in-trademark-opposition-and-cancellation-cases-in-vietnam" TargetMode="Externa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kenfoxlaw.com/approaches-to-overcome-a-refusal-of-a-trademark-application-that-is-identical-or-similar-to-an-expired-mark-in-vietnam" TargetMode="External"/><Relationship Id="rId19" Type="http://schemas.openxmlformats.org/officeDocument/2006/relationships/hyperlink" Target="https://kenfoxlaw.com/wp-content/uploads/2019/02/Circular-No.-01-2007-TT-BKHCN.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hyperlink" Target="https://kenfoxlaw.com/bad-faith-trademark-filing-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3</cp:revision>
  <dcterms:created xsi:type="dcterms:W3CDTF">2024-04-15T03:49:00Z</dcterms:created>
  <dcterms:modified xsi:type="dcterms:W3CDTF">2024-04-15T10:31:00Z</dcterms:modified>
</cp:coreProperties>
</file>