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94C39" w14:textId="1E3715BC" w:rsidR="003D09DC" w:rsidRPr="003D09DC" w:rsidRDefault="003D09DC" w:rsidP="003D09DC">
      <w:pPr>
        <w:spacing w:after="0" w:line="240" w:lineRule="auto"/>
        <w:ind w:right="512"/>
        <w:jc w:val="center"/>
        <w:rPr>
          <w:rFonts w:ascii="Arial" w:hAnsi="Arial" w:cs="Arial"/>
          <w:b/>
          <w:sz w:val="24"/>
          <w:szCs w:val="24"/>
        </w:rPr>
      </w:pPr>
      <w:r w:rsidRPr="003D09DC">
        <w:rPr>
          <w:rFonts w:ascii="Arial" w:hAnsi="Arial" w:cs="Arial"/>
          <w:b/>
          <w:color w:val="C00000"/>
          <w:sz w:val="24"/>
          <w:szCs w:val="24"/>
        </w:rPr>
        <w:t>Vượt qua</w:t>
      </w:r>
      <w:r w:rsidRPr="003D09DC">
        <w:rPr>
          <w:rFonts w:ascii="Arial" w:hAnsi="Arial" w:cs="Arial"/>
          <w:b/>
          <w:color w:val="C00000"/>
          <w:spacing w:val="-3"/>
          <w:sz w:val="24"/>
          <w:szCs w:val="24"/>
        </w:rPr>
        <w:t xml:space="preserve"> dự định từ chối đối với </w:t>
      </w:r>
      <w:r w:rsidRPr="003D09DC">
        <w:rPr>
          <w:rFonts w:ascii="Arial" w:hAnsi="Arial" w:cs="Arial"/>
          <w:b/>
          <w:color w:val="C00000"/>
          <w:sz w:val="24"/>
          <w:szCs w:val="24"/>
        </w:rPr>
        <w:t xml:space="preserve">đăng ký Quốc tế chỉ định tại Việt Nam – Khó nhưng </w:t>
      </w:r>
      <w:r w:rsidR="00900D21">
        <w:rPr>
          <w:rFonts w:ascii="Arial" w:hAnsi="Arial" w:cs="Arial"/>
          <w:b/>
          <w:color w:val="C00000"/>
          <w:sz w:val="24"/>
          <w:szCs w:val="24"/>
        </w:rPr>
        <w:t>đừng bao</w:t>
      </w:r>
      <w:r w:rsidRPr="003D09DC">
        <w:rPr>
          <w:rFonts w:ascii="Arial" w:hAnsi="Arial" w:cs="Arial"/>
          <w:b/>
          <w:color w:val="C00000"/>
          <w:sz w:val="24"/>
          <w:szCs w:val="24"/>
        </w:rPr>
        <w:t xml:space="preserve"> giờ bỏ</w:t>
      </w:r>
      <w:r w:rsidR="00900D21">
        <w:rPr>
          <w:rFonts w:ascii="Arial" w:hAnsi="Arial" w:cs="Arial"/>
          <w:b/>
          <w:color w:val="C00000"/>
          <w:sz w:val="24"/>
          <w:szCs w:val="24"/>
        </w:rPr>
        <w:t xml:space="preserve"> cuộc</w:t>
      </w:r>
    </w:p>
    <w:p w14:paraId="09CE0ABD" w14:textId="77777777" w:rsidR="003D09DC" w:rsidRPr="003D09DC" w:rsidRDefault="003D09DC" w:rsidP="003D09DC">
      <w:pPr>
        <w:spacing w:after="0" w:line="240" w:lineRule="auto"/>
        <w:ind w:right="114"/>
        <w:jc w:val="both"/>
        <w:rPr>
          <w:rFonts w:ascii="Arial" w:hAnsi="Arial" w:cs="Arial"/>
          <w:i/>
          <w:sz w:val="20"/>
          <w:szCs w:val="20"/>
        </w:rPr>
      </w:pPr>
    </w:p>
    <w:p w14:paraId="407EBB05" w14:textId="27503890" w:rsidR="003D09DC" w:rsidRPr="003D09DC" w:rsidRDefault="003D09DC" w:rsidP="003D09DC">
      <w:pPr>
        <w:spacing w:after="0" w:line="240" w:lineRule="auto"/>
        <w:ind w:right="111"/>
        <w:jc w:val="both"/>
        <w:rPr>
          <w:rFonts w:ascii="Arial" w:hAnsi="Arial" w:cs="Arial"/>
          <w:i/>
          <w:spacing w:val="1"/>
          <w:sz w:val="20"/>
          <w:szCs w:val="20"/>
        </w:rPr>
      </w:pPr>
      <w:r w:rsidRPr="003D09DC">
        <w:rPr>
          <w:rFonts w:ascii="Arial" w:hAnsi="Arial" w:cs="Arial"/>
          <w:i/>
          <w:sz w:val="20"/>
          <w:szCs w:val="20"/>
        </w:rPr>
        <w:t xml:space="preserve">Làm thế nào để khắc phục các Thông báo dự định từ chối bảo hộ đối với </w:t>
      </w:r>
      <w:r>
        <w:rPr>
          <w:rFonts w:ascii="Arial" w:hAnsi="Arial" w:cs="Arial"/>
          <w:i/>
          <w:sz w:val="20"/>
          <w:szCs w:val="20"/>
        </w:rPr>
        <w:t>Đ</w:t>
      </w:r>
      <w:r w:rsidRPr="003D09DC">
        <w:rPr>
          <w:rFonts w:ascii="Arial" w:hAnsi="Arial" w:cs="Arial"/>
          <w:i/>
          <w:sz w:val="20"/>
          <w:szCs w:val="20"/>
        </w:rPr>
        <w:t>ăng ký nhãn hiệu quốc tế</w:t>
      </w:r>
      <w:r>
        <w:rPr>
          <w:rFonts w:ascii="Arial" w:hAnsi="Arial" w:cs="Arial"/>
          <w:i/>
          <w:sz w:val="20"/>
          <w:szCs w:val="20"/>
        </w:rPr>
        <w:t xml:space="preserve"> (</w:t>
      </w:r>
      <w:r w:rsidRPr="003D09DC">
        <w:rPr>
          <w:rFonts w:ascii="Arial" w:hAnsi="Arial" w:cs="Arial"/>
          <w:b/>
          <w:bCs/>
          <w:i/>
          <w:sz w:val="20"/>
          <w:szCs w:val="20"/>
        </w:rPr>
        <w:t>ĐKQT</w:t>
      </w:r>
      <w:r>
        <w:rPr>
          <w:rFonts w:ascii="Arial" w:hAnsi="Arial" w:cs="Arial"/>
          <w:i/>
          <w:sz w:val="20"/>
          <w:szCs w:val="20"/>
        </w:rPr>
        <w:t>)</w:t>
      </w:r>
      <w:r w:rsidRPr="003D09DC">
        <w:rPr>
          <w:rFonts w:ascii="Arial" w:hAnsi="Arial" w:cs="Arial"/>
          <w:i/>
          <w:sz w:val="20"/>
          <w:szCs w:val="20"/>
        </w:rPr>
        <w:t xml:space="preserve"> có chỉ định tại</w:t>
      </w:r>
      <w:r w:rsidRPr="003D09DC">
        <w:rPr>
          <w:rFonts w:ascii="Arial" w:hAnsi="Arial" w:cs="Arial"/>
          <w:i/>
          <w:spacing w:val="1"/>
          <w:sz w:val="20"/>
          <w:szCs w:val="20"/>
        </w:rPr>
        <w:t xml:space="preserve"> </w:t>
      </w:r>
      <w:r w:rsidRPr="003D09DC">
        <w:rPr>
          <w:rFonts w:ascii="Arial" w:hAnsi="Arial" w:cs="Arial"/>
          <w:i/>
          <w:sz w:val="20"/>
          <w:szCs w:val="20"/>
        </w:rPr>
        <w:t xml:space="preserve">Việt Nam? Để bảo nhãn hiệu của bạn được bảo hộ tại Việt Nam, những bước nào cần được thực hiện? Trong những năm gần đây, ngày càng trở nên phổ biến do quy trình đơn giản và tiện lợi, giúp tiết kiệm đáng kể thời gian và chi phí. </w:t>
      </w:r>
      <w:r w:rsidRPr="00BC23D6">
        <w:rPr>
          <w:rFonts w:ascii="Arial" w:hAnsi="Arial" w:cs="Arial"/>
          <w:i/>
          <w:color w:val="000000" w:themeColor="text1"/>
          <w:sz w:val="20"/>
          <w:szCs w:val="20"/>
        </w:rPr>
        <w:t xml:space="preserve">Tuy nhiên, quy trình này cũng </w:t>
      </w:r>
      <w:r w:rsidRPr="003D09DC">
        <w:rPr>
          <w:rFonts w:ascii="Arial" w:hAnsi="Arial" w:cs="Arial"/>
          <w:i/>
          <w:sz w:val="20"/>
          <w:szCs w:val="20"/>
        </w:rPr>
        <w:t xml:space="preserve">đặt ra nhiều rủi ro tiềm ẩn. </w:t>
      </w:r>
      <w:r w:rsidRPr="003D09DC">
        <w:rPr>
          <w:rFonts w:ascii="Arial" w:hAnsi="Arial" w:cs="Arial"/>
          <w:b/>
          <w:i/>
          <w:sz w:val="20"/>
          <w:szCs w:val="20"/>
        </w:rPr>
        <w:t xml:space="preserve">KENFOX IP &amp; LAW OFFICE </w:t>
      </w:r>
      <w:r w:rsidRPr="003D09DC">
        <w:rPr>
          <w:rFonts w:ascii="Arial" w:hAnsi="Arial" w:cs="Arial"/>
          <w:i/>
          <w:sz w:val="20"/>
          <w:szCs w:val="20"/>
        </w:rPr>
        <w:t xml:space="preserve">đã hỗ trợ khách hàng </w:t>
      </w:r>
      <w:hyperlink r:id="rId4" w:history="1">
        <w:r w:rsidRPr="006478CF">
          <w:rPr>
            <w:rStyle w:val="Hyperlink"/>
            <w:rFonts w:ascii="Arial" w:hAnsi="Arial" w:cs="Arial"/>
            <w:i/>
            <w:spacing w:val="1"/>
            <w:sz w:val="20"/>
            <w:szCs w:val="20"/>
          </w:rPr>
          <w:t>vượt qua dự định từ chối</w:t>
        </w:r>
      </w:hyperlink>
      <w:r w:rsidRPr="003D09DC">
        <w:rPr>
          <w:rFonts w:ascii="Arial" w:hAnsi="Arial" w:cs="Arial"/>
          <w:i/>
          <w:spacing w:val="1"/>
          <w:sz w:val="20"/>
          <w:szCs w:val="20"/>
        </w:rPr>
        <w:t xml:space="preserve"> cho </w:t>
      </w:r>
      <w:r>
        <w:rPr>
          <w:rFonts w:ascii="Arial" w:hAnsi="Arial" w:cs="Arial"/>
          <w:i/>
          <w:spacing w:val="1"/>
          <w:sz w:val="20"/>
          <w:szCs w:val="20"/>
        </w:rPr>
        <w:t>ĐKQT</w:t>
      </w:r>
      <w:r w:rsidRPr="003D09DC">
        <w:rPr>
          <w:rFonts w:ascii="Arial" w:hAnsi="Arial" w:cs="Arial"/>
          <w:i/>
          <w:spacing w:val="1"/>
          <w:sz w:val="20"/>
          <w:szCs w:val="20"/>
        </w:rPr>
        <w:t xml:space="preserve"> chỉ định Việt Nam thông qua việc áp dụng một loạt biện pháp và thủ tục pháp lý đa dạng.</w:t>
      </w:r>
    </w:p>
    <w:p w14:paraId="58D977CC" w14:textId="77777777" w:rsidR="003D09DC" w:rsidRPr="003D09DC" w:rsidRDefault="003D09DC" w:rsidP="003D09DC">
      <w:pPr>
        <w:spacing w:after="0" w:line="240" w:lineRule="auto"/>
        <w:ind w:right="111"/>
        <w:jc w:val="both"/>
        <w:rPr>
          <w:rFonts w:ascii="Arial" w:hAnsi="Arial" w:cs="Arial"/>
          <w:i/>
          <w:sz w:val="20"/>
          <w:szCs w:val="20"/>
        </w:rPr>
      </w:pPr>
    </w:p>
    <w:p w14:paraId="29D5A3CE" w14:textId="34EEAAD1" w:rsidR="003D09DC" w:rsidRPr="003D09DC" w:rsidRDefault="003D09DC" w:rsidP="003D09DC">
      <w:pPr>
        <w:pStyle w:val="Heading1"/>
        <w:ind w:left="0"/>
        <w:jc w:val="both"/>
        <w:rPr>
          <w:color w:val="2F5496" w:themeColor="accent1" w:themeShade="BF"/>
          <w:sz w:val="22"/>
          <w:szCs w:val="22"/>
        </w:rPr>
      </w:pPr>
      <w:r>
        <w:rPr>
          <w:color w:val="2F5496" w:themeColor="accent1" w:themeShade="BF"/>
          <w:sz w:val="22"/>
          <w:szCs w:val="22"/>
        </w:rPr>
        <w:t xml:space="preserve">1. </w:t>
      </w:r>
      <w:r w:rsidRPr="003D09DC">
        <w:rPr>
          <w:color w:val="2F5496" w:themeColor="accent1" w:themeShade="BF"/>
          <w:sz w:val="22"/>
          <w:szCs w:val="22"/>
        </w:rPr>
        <w:t>Bối cảnh</w:t>
      </w:r>
    </w:p>
    <w:p w14:paraId="03F9CF63" w14:textId="77777777" w:rsidR="003D09DC" w:rsidRPr="003D09DC" w:rsidRDefault="003D09DC" w:rsidP="003D09DC">
      <w:pPr>
        <w:pStyle w:val="BodyText"/>
        <w:ind w:firstLine="142"/>
        <w:jc w:val="both"/>
        <w:rPr>
          <w:rFonts w:ascii="Arial" w:hAnsi="Arial" w:cs="Arial"/>
          <w:b/>
        </w:rPr>
      </w:pPr>
    </w:p>
    <w:p w14:paraId="2195A943" w14:textId="4B5329CB" w:rsidR="003D09DC" w:rsidRPr="003D09DC" w:rsidRDefault="003D09DC" w:rsidP="003D09DC">
      <w:pPr>
        <w:pStyle w:val="BodyText"/>
        <w:ind w:right="114"/>
        <w:jc w:val="both"/>
        <w:rPr>
          <w:rFonts w:ascii="Arial" w:hAnsi="Arial" w:cs="Arial"/>
        </w:rPr>
      </w:pPr>
      <w:r w:rsidRPr="003D09DC">
        <w:rPr>
          <w:rFonts w:ascii="Arial" w:hAnsi="Arial" w:cs="Arial"/>
          <w:color w:val="212121"/>
        </w:rPr>
        <w:t>Guangzhou City Baiyun Lianjia Fine Chemical Factory (trang web:</w:t>
      </w:r>
      <w:r w:rsidR="008E586F">
        <w:rPr>
          <w:rFonts w:ascii="Arial" w:hAnsi="Arial" w:cs="Arial"/>
          <w:color w:val="212121"/>
        </w:rPr>
        <w:t xml:space="preserve"> </w:t>
      </w:r>
      <w:hyperlink r:id="rId5" w:history="1">
        <w:r w:rsidR="008E586F" w:rsidRPr="00E362EB">
          <w:rPr>
            <w:rStyle w:val="Hyperlink"/>
            <w:rFonts w:ascii="Arial" w:hAnsi="Arial" w:cs="Arial"/>
          </w:rPr>
          <w:t>https://www.danzi.cn/</w:t>
        </w:r>
      </w:hyperlink>
      <w:r w:rsidRPr="003D09DC">
        <w:rPr>
          <w:rFonts w:ascii="Arial" w:hAnsi="Arial" w:cs="Arial"/>
          <w:color w:val="212121"/>
        </w:rPr>
        <w:t>)  có trụ sở tại Quảng Châu</w:t>
      </w:r>
      <w:r w:rsidRPr="003D09DC">
        <w:rPr>
          <w:rFonts w:ascii="Arial" w:hAnsi="Arial" w:cs="Arial"/>
          <w:color w:val="212121"/>
          <w:spacing w:val="1"/>
        </w:rPr>
        <w:t xml:space="preserve"> </w:t>
      </w:r>
      <w:r w:rsidRPr="003D09DC">
        <w:rPr>
          <w:rFonts w:ascii="Arial" w:hAnsi="Arial" w:cs="Arial"/>
          <w:color w:val="212121"/>
        </w:rPr>
        <w:t xml:space="preserve">Thành phố, tỉnh Quảng Đông, Trung Quốc, </w:t>
      </w:r>
      <w:r w:rsidRPr="003D09DC">
        <w:rPr>
          <w:rFonts w:ascii="Arial" w:hAnsi="Arial" w:cs="Arial"/>
          <w:color w:val="0D0D0D"/>
          <w:shd w:val="clear" w:color="auto" w:fill="FFFFFF"/>
        </w:rPr>
        <w:t>chuyên sản xuất và phân phối các sản phẩm trong lĩnh vực chăm sóc cá nhân như nước hoa, mỹ phẩm và các sản phẩm vệ sinh cá nhân khác</w:t>
      </w:r>
      <w:r w:rsidRPr="003D09DC">
        <w:rPr>
          <w:rFonts w:ascii="Arial" w:hAnsi="Arial" w:cs="Arial"/>
          <w:color w:val="212121"/>
        </w:rPr>
        <w:t xml:space="preserve">. Công ty này đã nộp </w:t>
      </w:r>
      <w:r>
        <w:rPr>
          <w:rFonts w:ascii="Arial" w:hAnsi="Arial" w:cs="Arial"/>
          <w:color w:val="212121"/>
        </w:rPr>
        <w:t>đơn ĐKQT</w:t>
      </w:r>
      <w:r w:rsidRPr="003D09DC">
        <w:rPr>
          <w:rFonts w:ascii="Arial" w:hAnsi="Arial" w:cs="Arial"/>
          <w:color w:val="212121"/>
        </w:rPr>
        <w:t xml:space="preserve"> số </w:t>
      </w:r>
      <w:r w:rsidRPr="003D09DC">
        <w:rPr>
          <w:rFonts w:ascii="Arial" w:hAnsi="Arial" w:cs="Arial"/>
        </w:rPr>
        <w:t>1175364 (“</w:t>
      </w:r>
      <w:r w:rsidRPr="003D09DC">
        <w:rPr>
          <w:rFonts w:ascii="Arial" w:hAnsi="Arial" w:cs="Arial"/>
          <w:noProof/>
          <w:spacing w:val="-19"/>
        </w:rPr>
        <w:drawing>
          <wp:inline distT="0" distB="0" distL="0" distR="0" wp14:anchorId="7AB63E02" wp14:editId="3C75CE49">
            <wp:extent cx="518799" cy="349250"/>
            <wp:effectExtent l="0" t="0" r="0" b="0"/>
            <wp:docPr id="2" name="image2.jpeg" descr="117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518799" cy="349250"/>
                    </a:xfrm>
                    <a:prstGeom prst="rect">
                      <a:avLst/>
                    </a:prstGeom>
                  </pic:spPr>
                </pic:pic>
              </a:graphicData>
            </a:graphic>
          </wp:inline>
        </w:drawing>
      </w:r>
      <w:r w:rsidRPr="003D09DC">
        <w:rPr>
          <w:rFonts w:ascii="Arial" w:hAnsi="Arial" w:cs="Arial"/>
          <w:spacing w:val="-14"/>
        </w:rPr>
        <w:t xml:space="preserve"> </w:t>
      </w:r>
      <w:r w:rsidRPr="003D09DC">
        <w:rPr>
          <w:rFonts w:ascii="Arial" w:hAnsi="Arial" w:cs="Arial"/>
        </w:rPr>
        <w:t>”) cho sản phẩm, hàng hóa thuộc Nhóm 03 có chỉ định</w:t>
      </w:r>
      <w:r w:rsidRPr="003D09DC">
        <w:rPr>
          <w:rFonts w:ascii="Arial" w:hAnsi="Arial" w:cs="Arial"/>
          <w:spacing w:val="1"/>
        </w:rPr>
        <w:t xml:space="preserve"> </w:t>
      </w:r>
      <w:r w:rsidRPr="003D09DC">
        <w:rPr>
          <w:rFonts w:ascii="Arial" w:hAnsi="Arial" w:cs="Arial"/>
        </w:rPr>
        <w:t>Việt Nam.</w:t>
      </w:r>
      <w:r w:rsidRPr="003D09DC">
        <w:rPr>
          <w:rFonts w:ascii="Arial" w:hAnsi="Arial" w:cs="Arial"/>
          <w:spacing w:val="1"/>
        </w:rPr>
        <w:t xml:space="preserve"> Cục </w:t>
      </w:r>
      <w:r w:rsidRPr="003D09DC">
        <w:rPr>
          <w:rFonts w:ascii="Arial" w:hAnsi="Arial" w:cs="Arial"/>
        </w:rPr>
        <w:t>Sở hữu trí tuệ (</w:t>
      </w:r>
      <w:r w:rsidRPr="003D09DC">
        <w:rPr>
          <w:rFonts w:ascii="Arial" w:hAnsi="Arial" w:cs="Arial"/>
          <w:b/>
          <w:bCs/>
        </w:rPr>
        <w:t>Cục SHTT</w:t>
      </w:r>
      <w:r w:rsidRPr="003D09DC">
        <w:rPr>
          <w:rFonts w:ascii="Arial" w:hAnsi="Arial" w:cs="Arial"/>
        </w:rPr>
        <w:t>)</w:t>
      </w:r>
      <w:r w:rsidRPr="003D09DC">
        <w:rPr>
          <w:rFonts w:ascii="Arial" w:hAnsi="Arial" w:cs="Arial"/>
          <w:spacing w:val="1"/>
        </w:rPr>
        <w:t xml:space="preserve"> </w:t>
      </w:r>
      <w:r w:rsidRPr="003D09DC">
        <w:rPr>
          <w:rFonts w:ascii="Arial" w:hAnsi="Arial" w:cs="Arial"/>
        </w:rPr>
        <w:t>đã ra thông báo</w:t>
      </w:r>
      <w:r w:rsidRPr="003D09DC">
        <w:rPr>
          <w:rFonts w:ascii="Arial" w:hAnsi="Arial" w:cs="Arial"/>
          <w:spacing w:val="1"/>
        </w:rPr>
        <w:t xml:space="preserve"> cho Văn phòng quốc tế</w:t>
      </w:r>
      <w:r>
        <w:rPr>
          <w:rFonts w:ascii="Arial" w:hAnsi="Arial" w:cs="Arial"/>
          <w:spacing w:val="1"/>
        </w:rPr>
        <w:t xml:space="preserve"> của Tổ chức SHTT thế giới</w:t>
      </w:r>
      <w:r w:rsidRPr="003D09DC">
        <w:rPr>
          <w:rFonts w:ascii="Arial" w:hAnsi="Arial" w:cs="Arial"/>
          <w:spacing w:val="1"/>
        </w:rPr>
        <w:t xml:space="preserve"> </w:t>
      </w:r>
      <w:r w:rsidRPr="003D09DC">
        <w:rPr>
          <w:rFonts w:ascii="Arial" w:hAnsi="Arial" w:cs="Arial"/>
        </w:rPr>
        <w:t xml:space="preserve">về dự định từ chối theo Điều 74.2(e), Luật SHTT, trích dẫn nhãn hiệu “DAN” </w:t>
      </w:r>
      <w:r>
        <w:rPr>
          <w:rFonts w:ascii="Arial" w:hAnsi="Arial" w:cs="Arial"/>
        </w:rPr>
        <w:t>đã đăng ký</w:t>
      </w:r>
      <w:r w:rsidRPr="003D09DC">
        <w:rPr>
          <w:rFonts w:ascii="Arial" w:hAnsi="Arial" w:cs="Arial"/>
        </w:rPr>
        <w:t xml:space="preserve"> trước đó cho sản phẩm, hàng hóa thuộc Nhóm 03</w:t>
      </w:r>
      <w:r w:rsidRPr="003D09DC">
        <w:rPr>
          <w:rFonts w:ascii="Arial" w:hAnsi="Arial" w:cs="Arial"/>
          <w:spacing w:val="1"/>
        </w:rPr>
        <w:t xml:space="preserve"> theo Giấy chứng nhận đăng ký nhãn hiệu số </w:t>
      </w:r>
      <w:r w:rsidRPr="003D09DC">
        <w:rPr>
          <w:rFonts w:ascii="Arial" w:hAnsi="Arial" w:cs="Arial"/>
        </w:rPr>
        <w:t>24666</w:t>
      </w:r>
      <w:r w:rsidRPr="003D09DC">
        <w:rPr>
          <w:rFonts w:ascii="Arial" w:hAnsi="Arial" w:cs="Arial"/>
          <w:spacing w:val="1"/>
        </w:rPr>
        <w:t xml:space="preserve"> làm đối chứng để từ chối </w:t>
      </w:r>
      <w:r w:rsidRPr="003D09DC">
        <w:rPr>
          <w:rFonts w:ascii="Arial" w:hAnsi="Arial" w:cs="Arial"/>
        </w:rPr>
        <w:t>("</w:t>
      </w:r>
      <w:r w:rsidRPr="003D09DC">
        <w:rPr>
          <w:rFonts w:ascii="Arial" w:hAnsi="Arial" w:cs="Arial"/>
          <w:b/>
          <w:i/>
        </w:rPr>
        <w:t>từ chối lần thứ nhất</w:t>
      </w:r>
      <w:r w:rsidRPr="003D09DC">
        <w:rPr>
          <w:rFonts w:ascii="Arial" w:hAnsi="Arial" w:cs="Arial"/>
        </w:rPr>
        <w:t>”)</w:t>
      </w:r>
      <w:r>
        <w:rPr>
          <w:rFonts w:ascii="Arial" w:hAnsi="Arial" w:cs="Arial"/>
        </w:rPr>
        <w:t>.</w:t>
      </w:r>
    </w:p>
    <w:p w14:paraId="058B2DD5" w14:textId="77777777" w:rsidR="003D09DC" w:rsidRPr="003D09DC" w:rsidRDefault="003D09DC" w:rsidP="003D09DC">
      <w:pPr>
        <w:pStyle w:val="BodyText"/>
        <w:ind w:left="136" w:firstLine="142"/>
        <w:jc w:val="both"/>
        <w:rPr>
          <w:rFonts w:ascii="Arial" w:hAnsi="Arial" w:cs="Arial"/>
        </w:rPr>
      </w:pPr>
    </w:p>
    <w:p w14:paraId="476A0A96" w14:textId="3DA994A8" w:rsidR="003D09DC" w:rsidRPr="003D09DC" w:rsidRDefault="003D09DC" w:rsidP="003D09DC">
      <w:pPr>
        <w:pStyle w:val="Heading1"/>
        <w:ind w:left="0"/>
        <w:jc w:val="both"/>
        <w:rPr>
          <w:color w:val="2F5496" w:themeColor="accent1" w:themeShade="BF"/>
          <w:sz w:val="22"/>
          <w:szCs w:val="22"/>
        </w:rPr>
      </w:pPr>
      <w:r w:rsidRPr="003D09DC">
        <w:rPr>
          <w:color w:val="2F5496" w:themeColor="accent1" w:themeShade="BF"/>
          <w:sz w:val="22"/>
          <w:szCs w:val="22"/>
        </w:rPr>
        <w:t>2. Hành động</w:t>
      </w:r>
    </w:p>
    <w:p w14:paraId="4A24FDE6" w14:textId="77777777" w:rsidR="003D09DC" w:rsidRPr="003D09DC" w:rsidRDefault="003D09DC" w:rsidP="003D09DC">
      <w:pPr>
        <w:pStyle w:val="BodyText"/>
        <w:jc w:val="both"/>
        <w:rPr>
          <w:rFonts w:ascii="Arial" w:hAnsi="Arial" w:cs="Arial"/>
          <w:b/>
        </w:rPr>
      </w:pPr>
    </w:p>
    <w:p w14:paraId="082D3F7E" w14:textId="7314B676" w:rsidR="003D09DC" w:rsidRDefault="003D09DC" w:rsidP="003D09DC">
      <w:pPr>
        <w:spacing w:after="0" w:line="240" w:lineRule="auto"/>
        <w:ind w:right="110"/>
        <w:jc w:val="both"/>
        <w:rPr>
          <w:rFonts w:ascii="Arial" w:hAnsi="Arial" w:cs="Arial"/>
          <w:sz w:val="20"/>
          <w:szCs w:val="20"/>
        </w:rPr>
      </w:pPr>
      <w:r w:rsidRPr="003D09DC">
        <w:rPr>
          <w:rFonts w:ascii="Arial" w:hAnsi="Arial" w:cs="Arial"/>
          <w:b/>
          <w:bCs/>
        </w:rPr>
        <w:t xml:space="preserve">Nộp </w:t>
      </w:r>
      <w:r>
        <w:rPr>
          <w:rFonts w:ascii="Arial" w:hAnsi="Arial" w:cs="Arial"/>
          <w:b/>
          <w:bCs/>
        </w:rPr>
        <w:t>Đ</w:t>
      </w:r>
      <w:r w:rsidRPr="003D09DC">
        <w:rPr>
          <w:rFonts w:ascii="Arial" w:hAnsi="Arial" w:cs="Arial"/>
          <w:b/>
          <w:bCs/>
        </w:rPr>
        <w:t>ơn khiếu nại Thông báo dự định từ chối của Cục SHTT</w:t>
      </w:r>
      <w:r w:rsidRPr="003D09DC">
        <w:rPr>
          <w:rFonts w:ascii="Arial" w:hAnsi="Arial" w:cs="Arial"/>
          <w:sz w:val="20"/>
          <w:szCs w:val="20"/>
        </w:rPr>
        <w:t>:</w:t>
      </w:r>
      <w:r w:rsidRPr="003D09DC">
        <w:rPr>
          <w:rFonts w:ascii="Arial" w:hAnsi="Arial" w:cs="Arial"/>
          <w:spacing w:val="18"/>
          <w:sz w:val="20"/>
          <w:szCs w:val="20"/>
        </w:rPr>
        <w:t xml:space="preserve"> </w:t>
      </w:r>
      <w:r>
        <w:rPr>
          <w:rFonts w:ascii="Arial" w:hAnsi="Arial" w:cs="Arial"/>
          <w:spacing w:val="18"/>
          <w:sz w:val="20"/>
          <w:szCs w:val="20"/>
        </w:rPr>
        <w:t>Đưa ra p</w:t>
      </w:r>
      <w:r w:rsidRPr="003D09DC">
        <w:rPr>
          <w:rFonts w:ascii="Arial" w:hAnsi="Arial" w:cs="Arial"/>
          <w:sz w:val="20"/>
          <w:szCs w:val="20"/>
        </w:rPr>
        <w:t xml:space="preserve">hân tích </w:t>
      </w:r>
      <w:r>
        <w:rPr>
          <w:rFonts w:ascii="Arial" w:hAnsi="Arial" w:cs="Arial"/>
          <w:sz w:val="20"/>
          <w:szCs w:val="20"/>
        </w:rPr>
        <w:t xml:space="preserve">sâu rộng </w:t>
      </w:r>
      <w:r w:rsidRPr="003D09DC">
        <w:rPr>
          <w:rFonts w:ascii="Arial" w:hAnsi="Arial" w:cs="Arial"/>
          <w:sz w:val="20"/>
          <w:szCs w:val="20"/>
        </w:rPr>
        <w:t>về sự khác biệt của các nhãn hiệu</w:t>
      </w:r>
      <w:r>
        <w:rPr>
          <w:rFonts w:ascii="Arial" w:hAnsi="Arial" w:cs="Arial"/>
          <w:sz w:val="20"/>
          <w:szCs w:val="20"/>
        </w:rPr>
        <w:t xml:space="preserve"> xin đăng ký và nhãn hiệu đối chứng, cùng với </w:t>
      </w:r>
      <w:r w:rsidRPr="003D09DC">
        <w:rPr>
          <w:rFonts w:ascii="Arial" w:hAnsi="Arial" w:cs="Arial"/>
          <w:sz w:val="20"/>
          <w:szCs w:val="20"/>
        </w:rPr>
        <w:t>các tiền lệ tương tự đã được cung cấp nhằm yêu cầu Cục SHTT thu hồi Thông báo từ chối.</w:t>
      </w:r>
    </w:p>
    <w:p w14:paraId="4E8D255E" w14:textId="77777777" w:rsidR="003D09DC" w:rsidRPr="003D09DC" w:rsidRDefault="003D09DC" w:rsidP="003D09DC">
      <w:pPr>
        <w:spacing w:after="0" w:line="240" w:lineRule="auto"/>
        <w:ind w:right="110"/>
        <w:jc w:val="both"/>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2"/>
        <w:gridCol w:w="4000"/>
        <w:gridCol w:w="4218"/>
      </w:tblGrid>
      <w:tr w:rsidR="003D09DC" w:rsidRPr="003D09DC" w14:paraId="3C8BC032" w14:textId="77777777" w:rsidTr="002D67DD">
        <w:trPr>
          <w:trHeight w:val="685"/>
        </w:trPr>
        <w:tc>
          <w:tcPr>
            <w:tcW w:w="962" w:type="dxa"/>
            <w:vMerge w:val="restart"/>
          </w:tcPr>
          <w:p w14:paraId="4AE97D92" w14:textId="77777777" w:rsidR="003D09DC" w:rsidRPr="003D09DC" w:rsidRDefault="003D09DC" w:rsidP="00432514">
            <w:pPr>
              <w:pStyle w:val="TableParagraph"/>
              <w:jc w:val="center"/>
              <w:rPr>
                <w:rFonts w:ascii="Arial" w:hAnsi="Arial" w:cs="Arial"/>
                <w:sz w:val="20"/>
                <w:szCs w:val="20"/>
              </w:rPr>
            </w:pPr>
          </w:p>
          <w:p w14:paraId="7A8317BD" w14:textId="77777777" w:rsidR="003D09DC" w:rsidRPr="003D09DC" w:rsidRDefault="003D09DC" w:rsidP="00432514">
            <w:pPr>
              <w:pStyle w:val="TableParagraph"/>
              <w:jc w:val="center"/>
              <w:rPr>
                <w:rFonts w:ascii="Arial" w:hAnsi="Arial" w:cs="Arial"/>
                <w:sz w:val="20"/>
                <w:szCs w:val="20"/>
              </w:rPr>
            </w:pPr>
          </w:p>
          <w:p w14:paraId="1232955D" w14:textId="77777777" w:rsidR="003D09DC" w:rsidRPr="003D09DC" w:rsidRDefault="003D09DC" w:rsidP="00432514">
            <w:pPr>
              <w:pStyle w:val="TableParagraph"/>
              <w:jc w:val="center"/>
              <w:rPr>
                <w:rFonts w:ascii="Arial" w:hAnsi="Arial" w:cs="Arial"/>
                <w:sz w:val="20"/>
                <w:szCs w:val="20"/>
              </w:rPr>
            </w:pPr>
          </w:p>
          <w:p w14:paraId="3998D33F" w14:textId="77777777" w:rsidR="003D09DC" w:rsidRPr="003D09DC" w:rsidRDefault="003D09DC" w:rsidP="00432514">
            <w:pPr>
              <w:pStyle w:val="TableParagraph"/>
              <w:jc w:val="center"/>
              <w:rPr>
                <w:rFonts w:ascii="Arial" w:hAnsi="Arial" w:cs="Arial"/>
                <w:sz w:val="20"/>
                <w:szCs w:val="20"/>
              </w:rPr>
            </w:pPr>
          </w:p>
          <w:p w14:paraId="36ECF626" w14:textId="77777777" w:rsidR="003D09DC" w:rsidRPr="003D09DC" w:rsidRDefault="003D09DC" w:rsidP="00432514">
            <w:pPr>
              <w:pStyle w:val="TableParagraph"/>
              <w:jc w:val="center"/>
              <w:rPr>
                <w:rFonts w:ascii="Arial" w:hAnsi="Arial" w:cs="Arial"/>
                <w:b/>
                <w:sz w:val="20"/>
                <w:szCs w:val="20"/>
              </w:rPr>
            </w:pPr>
            <w:r w:rsidRPr="003D09DC">
              <w:rPr>
                <w:rFonts w:ascii="Arial" w:hAnsi="Arial" w:cs="Arial"/>
                <w:b/>
                <w:sz w:val="20"/>
                <w:szCs w:val="20"/>
              </w:rPr>
              <w:t>Nhãn hiệu</w:t>
            </w:r>
          </w:p>
        </w:tc>
        <w:tc>
          <w:tcPr>
            <w:tcW w:w="4000" w:type="dxa"/>
          </w:tcPr>
          <w:p w14:paraId="3BABD69D" w14:textId="32D91D24" w:rsidR="003D09DC" w:rsidRPr="003D09DC" w:rsidRDefault="003D09DC" w:rsidP="00432514">
            <w:pPr>
              <w:pStyle w:val="TableParagraph"/>
              <w:spacing w:before="120"/>
              <w:ind w:left="57" w:right="57"/>
              <w:jc w:val="center"/>
              <w:rPr>
                <w:rFonts w:ascii="Arial" w:hAnsi="Arial" w:cs="Arial"/>
                <w:b/>
                <w:bCs/>
                <w:sz w:val="20"/>
                <w:szCs w:val="20"/>
              </w:rPr>
            </w:pPr>
            <w:r w:rsidRPr="003D09DC">
              <w:rPr>
                <w:rFonts w:ascii="Arial" w:hAnsi="Arial" w:cs="Arial"/>
                <w:b/>
                <w:bCs/>
                <w:sz w:val="20"/>
                <w:szCs w:val="20"/>
              </w:rPr>
              <w:t>Đăng ký nhãn hiệu quốc tế số 1175364</w:t>
            </w:r>
          </w:p>
        </w:tc>
        <w:tc>
          <w:tcPr>
            <w:tcW w:w="4218" w:type="dxa"/>
          </w:tcPr>
          <w:p w14:paraId="4A551176" w14:textId="2641CF84" w:rsidR="003D09DC" w:rsidRPr="003D09DC" w:rsidRDefault="003D09DC" w:rsidP="00432514">
            <w:pPr>
              <w:pStyle w:val="TableParagraph"/>
              <w:spacing w:before="120"/>
              <w:ind w:left="57" w:right="57"/>
              <w:jc w:val="center"/>
              <w:rPr>
                <w:rFonts w:ascii="Arial" w:hAnsi="Arial" w:cs="Arial"/>
                <w:b/>
                <w:bCs/>
                <w:sz w:val="20"/>
                <w:szCs w:val="20"/>
              </w:rPr>
            </w:pPr>
            <w:r w:rsidRPr="003D09DC">
              <w:rPr>
                <w:rFonts w:ascii="Arial" w:hAnsi="Arial" w:cs="Arial"/>
                <w:b/>
                <w:bCs/>
                <w:sz w:val="20"/>
                <w:szCs w:val="20"/>
              </w:rPr>
              <w:t>Nhãn hiệu đối chứng theo GCN ĐKNH số 24666</w:t>
            </w:r>
          </w:p>
        </w:tc>
      </w:tr>
      <w:tr w:rsidR="003D09DC" w:rsidRPr="003D09DC" w14:paraId="1216B07A" w14:textId="77777777" w:rsidTr="002D67DD">
        <w:trPr>
          <w:trHeight w:val="1318"/>
        </w:trPr>
        <w:tc>
          <w:tcPr>
            <w:tcW w:w="962" w:type="dxa"/>
            <w:vMerge/>
            <w:tcBorders>
              <w:top w:val="nil"/>
            </w:tcBorders>
          </w:tcPr>
          <w:p w14:paraId="58592052" w14:textId="77777777" w:rsidR="003D09DC" w:rsidRPr="003D09DC" w:rsidRDefault="003D09DC" w:rsidP="00432514">
            <w:pPr>
              <w:spacing w:after="0" w:line="240" w:lineRule="auto"/>
              <w:jc w:val="center"/>
              <w:rPr>
                <w:rFonts w:ascii="Arial" w:hAnsi="Arial" w:cs="Arial"/>
                <w:sz w:val="20"/>
                <w:szCs w:val="20"/>
              </w:rPr>
            </w:pPr>
          </w:p>
        </w:tc>
        <w:tc>
          <w:tcPr>
            <w:tcW w:w="4000" w:type="dxa"/>
            <w:vAlign w:val="center"/>
          </w:tcPr>
          <w:p w14:paraId="6E39C1AD" w14:textId="77777777" w:rsidR="003D09DC" w:rsidRPr="003D09DC" w:rsidRDefault="003D09DC" w:rsidP="00432514">
            <w:pPr>
              <w:pStyle w:val="TableParagraph"/>
              <w:spacing w:before="120" w:after="120"/>
              <w:jc w:val="center"/>
              <w:rPr>
                <w:rFonts w:ascii="Arial" w:hAnsi="Arial" w:cs="Arial"/>
                <w:sz w:val="20"/>
                <w:szCs w:val="20"/>
              </w:rPr>
            </w:pPr>
            <w:r w:rsidRPr="003D09DC">
              <w:rPr>
                <w:rFonts w:ascii="Arial" w:hAnsi="Arial" w:cs="Arial"/>
                <w:noProof/>
                <w:sz w:val="20"/>
                <w:szCs w:val="20"/>
              </w:rPr>
              <w:drawing>
                <wp:inline distT="0" distB="0" distL="0" distR="0" wp14:anchorId="0E778E3B" wp14:editId="1B981A65">
                  <wp:extent cx="942975" cy="634553"/>
                  <wp:effectExtent l="0" t="0" r="0" b="0"/>
                  <wp:docPr id="14" name="image2.jpeg" descr="117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959112" cy="645412"/>
                          </a:xfrm>
                          <a:prstGeom prst="rect">
                            <a:avLst/>
                          </a:prstGeom>
                        </pic:spPr>
                      </pic:pic>
                    </a:graphicData>
                  </a:graphic>
                </wp:inline>
              </w:drawing>
            </w:r>
          </w:p>
        </w:tc>
        <w:tc>
          <w:tcPr>
            <w:tcW w:w="4218" w:type="dxa"/>
            <w:vAlign w:val="center"/>
          </w:tcPr>
          <w:p w14:paraId="38C80C86" w14:textId="77777777" w:rsidR="003D09DC" w:rsidRPr="003D09DC" w:rsidRDefault="003D09DC" w:rsidP="003D09DC">
            <w:pPr>
              <w:pStyle w:val="TableParagraph"/>
              <w:jc w:val="center"/>
              <w:rPr>
                <w:rFonts w:ascii="Arial" w:hAnsi="Arial" w:cs="Arial"/>
                <w:sz w:val="20"/>
                <w:szCs w:val="20"/>
              </w:rPr>
            </w:pPr>
          </w:p>
          <w:p w14:paraId="6D954220" w14:textId="77777777" w:rsidR="003D09DC" w:rsidRPr="003D09DC" w:rsidRDefault="003D09DC" w:rsidP="00432514">
            <w:pPr>
              <w:pStyle w:val="TableParagraph"/>
              <w:spacing w:after="120"/>
              <w:ind w:left="379"/>
              <w:jc w:val="center"/>
              <w:rPr>
                <w:rFonts w:ascii="Arial" w:hAnsi="Arial" w:cs="Arial"/>
                <w:sz w:val="20"/>
                <w:szCs w:val="20"/>
              </w:rPr>
            </w:pPr>
            <w:r w:rsidRPr="003D09DC">
              <w:rPr>
                <w:rFonts w:ascii="Arial" w:hAnsi="Arial" w:cs="Arial"/>
                <w:noProof/>
                <w:sz w:val="20"/>
                <w:szCs w:val="20"/>
              </w:rPr>
              <w:drawing>
                <wp:inline distT="0" distB="0" distL="0" distR="0" wp14:anchorId="35394792" wp14:editId="717B6C53">
                  <wp:extent cx="1314450" cy="445596"/>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358127" cy="460402"/>
                          </a:xfrm>
                          <a:prstGeom prst="rect">
                            <a:avLst/>
                          </a:prstGeom>
                        </pic:spPr>
                      </pic:pic>
                    </a:graphicData>
                  </a:graphic>
                </wp:inline>
              </w:drawing>
            </w:r>
          </w:p>
        </w:tc>
      </w:tr>
      <w:tr w:rsidR="003D09DC" w:rsidRPr="003D09DC" w14:paraId="6EAF9437" w14:textId="77777777" w:rsidTr="002D67DD">
        <w:trPr>
          <w:trHeight w:val="1064"/>
        </w:trPr>
        <w:tc>
          <w:tcPr>
            <w:tcW w:w="962" w:type="dxa"/>
          </w:tcPr>
          <w:p w14:paraId="0B7CECB3" w14:textId="77777777" w:rsidR="003D09DC" w:rsidRPr="003D09DC" w:rsidRDefault="003D09DC" w:rsidP="00432514">
            <w:pPr>
              <w:pStyle w:val="TableParagraph"/>
              <w:jc w:val="center"/>
              <w:rPr>
                <w:rFonts w:ascii="Arial" w:hAnsi="Arial" w:cs="Arial"/>
                <w:sz w:val="20"/>
                <w:szCs w:val="20"/>
              </w:rPr>
            </w:pPr>
          </w:p>
          <w:p w14:paraId="5291413A" w14:textId="77777777" w:rsidR="003D09DC" w:rsidRPr="003D09DC" w:rsidRDefault="003D09DC" w:rsidP="00432514">
            <w:pPr>
              <w:pStyle w:val="TableParagraph"/>
              <w:jc w:val="center"/>
              <w:rPr>
                <w:rFonts w:ascii="Arial" w:hAnsi="Arial" w:cs="Arial"/>
                <w:sz w:val="20"/>
                <w:szCs w:val="20"/>
              </w:rPr>
            </w:pPr>
          </w:p>
          <w:p w14:paraId="298042BC" w14:textId="77777777" w:rsidR="003D09DC" w:rsidRPr="003D09DC" w:rsidRDefault="003D09DC" w:rsidP="00432514">
            <w:pPr>
              <w:pStyle w:val="TableParagraph"/>
              <w:jc w:val="center"/>
              <w:rPr>
                <w:rFonts w:ascii="Arial" w:hAnsi="Arial" w:cs="Arial"/>
                <w:b/>
                <w:sz w:val="20"/>
                <w:szCs w:val="20"/>
              </w:rPr>
            </w:pPr>
            <w:r w:rsidRPr="003D09DC">
              <w:rPr>
                <w:rFonts w:ascii="Arial" w:hAnsi="Arial" w:cs="Arial"/>
                <w:b/>
                <w:sz w:val="20"/>
                <w:szCs w:val="20"/>
              </w:rPr>
              <w:t>Nhóm 03</w:t>
            </w:r>
          </w:p>
        </w:tc>
        <w:tc>
          <w:tcPr>
            <w:tcW w:w="4000" w:type="dxa"/>
            <w:vAlign w:val="center"/>
          </w:tcPr>
          <w:p w14:paraId="1339FCAD" w14:textId="77777777" w:rsidR="003D09DC" w:rsidRPr="003D09DC" w:rsidRDefault="003D09DC" w:rsidP="00432514">
            <w:pPr>
              <w:pStyle w:val="TableParagraph"/>
              <w:spacing w:before="120" w:after="120"/>
              <w:ind w:left="57" w:right="57"/>
              <w:jc w:val="both"/>
              <w:rPr>
                <w:rFonts w:ascii="Arial" w:hAnsi="Arial" w:cs="Arial"/>
                <w:sz w:val="20"/>
                <w:szCs w:val="20"/>
              </w:rPr>
            </w:pPr>
            <w:r w:rsidRPr="003D09DC">
              <w:rPr>
                <w:rFonts w:ascii="Arial" w:hAnsi="Arial" w:cs="Arial"/>
                <w:sz w:val="20"/>
                <w:szCs w:val="20"/>
              </w:rPr>
              <w:t>Nước xức tóc; sữa rửa mặt;</w:t>
            </w:r>
            <w:r w:rsidRPr="003D09DC">
              <w:rPr>
                <w:rFonts w:ascii="Arial" w:hAnsi="Arial" w:cs="Arial"/>
                <w:spacing w:val="1"/>
                <w:sz w:val="20"/>
                <w:szCs w:val="20"/>
              </w:rPr>
              <w:t xml:space="preserve"> </w:t>
            </w:r>
            <w:r w:rsidRPr="003D09DC">
              <w:rPr>
                <w:rFonts w:ascii="Arial" w:hAnsi="Arial" w:cs="Arial"/>
                <w:sz w:val="20"/>
                <w:szCs w:val="20"/>
              </w:rPr>
              <w:t>chế phẩm để làm sạch; chất làm bóng; giấy nhám; nước hoa; kem đánh răng; mỹ phẩm; hương thơm để thắp; dầu gội cho thú cưng</w:t>
            </w:r>
          </w:p>
        </w:tc>
        <w:tc>
          <w:tcPr>
            <w:tcW w:w="4218" w:type="dxa"/>
          </w:tcPr>
          <w:p w14:paraId="329F33BE" w14:textId="77777777" w:rsidR="003D09DC" w:rsidRPr="003D09DC" w:rsidRDefault="003D09DC" w:rsidP="003D09DC">
            <w:pPr>
              <w:pStyle w:val="TableParagraph"/>
              <w:jc w:val="both"/>
              <w:rPr>
                <w:rFonts w:ascii="Arial" w:hAnsi="Arial" w:cs="Arial"/>
                <w:sz w:val="20"/>
                <w:szCs w:val="20"/>
              </w:rPr>
            </w:pPr>
          </w:p>
          <w:p w14:paraId="2090D106" w14:textId="77777777" w:rsidR="003D09DC" w:rsidRPr="003D09DC" w:rsidRDefault="003D09DC" w:rsidP="00432514">
            <w:pPr>
              <w:pStyle w:val="TableParagraph"/>
              <w:spacing w:before="120" w:after="120"/>
              <w:ind w:left="57" w:right="57"/>
              <w:jc w:val="center"/>
              <w:rPr>
                <w:rFonts w:ascii="Arial" w:hAnsi="Arial" w:cs="Arial"/>
                <w:sz w:val="20"/>
                <w:szCs w:val="20"/>
              </w:rPr>
            </w:pPr>
            <w:r w:rsidRPr="003D09DC">
              <w:rPr>
                <w:rFonts w:ascii="Arial" w:hAnsi="Arial" w:cs="Arial"/>
                <w:sz w:val="20"/>
                <w:szCs w:val="20"/>
              </w:rPr>
              <w:t>Dầu gội,</w:t>
            </w:r>
            <w:r w:rsidRPr="003D09DC">
              <w:rPr>
                <w:rFonts w:ascii="Arial" w:hAnsi="Arial" w:cs="Arial"/>
                <w:spacing w:val="-3"/>
                <w:sz w:val="20"/>
                <w:szCs w:val="20"/>
              </w:rPr>
              <w:t xml:space="preserve"> </w:t>
            </w:r>
            <w:r w:rsidRPr="003D09DC">
              <w:rPr>
                <w:rFonts w:ascii="Arial" w:hAnsi="Arial" w:cs="Arial"/>
                <w:sz w:val="20"/>
                <w:szCs w:val="20"/>
              </w:rPr>
              <w:t>xà phòng, bột giặt</w:t>
            </w:r>
          </w:p>
        </w:tc>
      </w:tr>
    </w:tbl>
    <w:p w14:paraId="60D5F54B" w14:textId="77777777" w:rsidR="003D09DC" w:rsidRPr="003D09DC" w:rsidRDefault="003D09DC" w:rsidP="003D09DC">
      <w:pPr>
        <w:pStyle w:val="ListParagraph"/>
        <w:tabs>
          <w:tab w:val="left" w:pos="693"/>
          <w:tab w:val="left" w:pos="694"/>
        </w:tabs>
        <w:ind w:left="693" w:right="110" w:firstLine="0"/>
        <w:rPr>
          <w:rFonts w:ascii="Arial" w:hAnsi="Arial" w:cs="Arial"/>
          <w:sz w:val="20"/>
          <w:szCs w:val="20"/>
        </w:rPr>
      </w:pPr>
    </w:p>
    <w:p w14:paraId="523DB174" w14:textId="0C9540EC" w:rsidR="003D09DC" w:rsidRDefault="003D09DC" w:rsidP="003D09DC">
      <w:pPr>
        <w:tabs>
          <w:tab w:val="left" w:pos="694"/>
        </w:tabs>
        <w:spacing w:after="0" w:line="240" w:lineRule="auto"/>
        <w:ind w:right="109"/>
        <w:jc w:val="both"/>
        <w:rPr>
          <w:rFonts w:ascii="Segoe UI" w:hAnsi="Segoe UI" w:cs="Segoe UI"/>
          <w:color w:val="0D0D0D"/>
          <w:shd w:val="clear" w:color="auto" w:fill="FFFFFF"/>
        </w:rPr>
      </w:pPr>
      <w:r w:rsidRPr="003D09DC">
        <w:rPr>
          <w:rFonts w:ascii="Arial" w:hAnsi="Arial" w:cs="Arial"/>
          <w:b/>
          <w:bCs/>
        </w:rPr>
        <w:t>Ra Quyết định từ chối Đăng ký Quốc tế số 1175364</w:t>
      </w:r>
      <w:r w:rsidRPr="003D09DC">
        <w:rPr>
          <w:rFonts w:ascii="Arial" w:hAnsi="Arial" w:cs="Arial"/>
          <w:sz w:val="20"/>
          <w:szCs w:val="20"/>
        </w:rPr>
        <w:t>: Cục SHTT không chấp nhận đơn khiếu nại và tiếp tục ban hành quyết định từ chối (từ chối lần thứ hai), với lý do nhãn hiệu đề nghị đăng ký không thỏa mãn yêu cầu bảo hộ dựa trên Điều 74.2(e).</w:t>
      </w:r>
    </w:p>
    <w:p w14:paraId="54E85D6C" w14:textId="77777777" w:rsidR="003D09DC" w:rsidRPr="003D09DC" w:rsidRDefault="003D09DC" w:rsidP="003D09DC">
      <w:pPr>
        <w:tabs>
          <w:tab w:val="left" w:pos="694"/>
        </w:tabs>
        <w:spacing w:after="0" w:line="240" w:lineRule="auto"/>
        <w:ind w:right="109"/>
        <w:jc w:val="both"/>
        <w:rPr>
          <w:rFonts w:ascii="Arial" w:hAnsi="Arial" w:cs="Arial"/>
          <w:sz w:val="20"/>
          <w:szCs w:val="20"/>
        </w:rPr>
      </w:pPr>
    </w:p>
    <w:p w14:paraId="23CD8589" w14:textId="4F50F98F" w:rsidR="003D09DC" w:rsidRPr="003D09DC" w:rsidRDefault="003D09DC" w:rsidP="003D09DC">
      <w:pPr>
        <w:tabs>
          <w:tab w:val="left" w:pos="694"/>
        </w:tabs>
        <w:spacing w:after="0" w:line="240" w:lineRule="auto"/>
        <w:jc w:val="both"/>
        <w:rPr>
          <w:rFonts w:ascii="Arial" w:hAnsi="Arial" w:cs="Arial"/>
          <w:sz w:val="20"/>
          <w:szCs w:val="20"/>
        </w:rPr>
      </w:pPr>
      <w:r w:rsidRPr="003D09DC">
        <w:rPr>
          <w:rFonts w:ascii="Arial" w:hAnsi="Arial" w:cs="Arial"/>
          <w:b/>
          <w:bCs/>
        </w:rPr>
        <w:t xml:space="preserve">Nộp Đơn khiếu nại lên Bộ trưởng Bộ </w:t>
      </w:r>
      <w:r>
        <w:rPr>
          <w:rFonts w:ascii="Arial" w:hAnsi="Arial" w:cs="Arial"/>
          <w:b/>
          <w:bCs/>
        </w:rPr>
        <w:t>Khoa học và Công nghệ (Bộ KHCN)</w:t>
      </w:r>
      <w:r w:rsidRPr="003D09DC">
        <w:rPr>
          <w:rFonts w:ascii="Arial" w:hAnsi="Arial" w:cs="Arial"/>
          <w:sz w:val="20"/>
          <w:szCs w:val="20"/>
        </w:rPr>
        <w:t xml:space="preserve">: Không đồng ý với Quyết định từ chối của Cục SHTT, chúng tôi đã nộp Đơn khiếu nại lên Bộ trưởng Bộ </w:t>
      </w:r>
      <w:r>
        <w:rPr>
          <w:rFonts w:ascii="Arial" w:hAnsi="Arial" w:cs="Arial"/>
          <w:sz w:val="20"/>
          <w:szCs w:val="20"/>
        </w:rPr>
        <w:t>KHCN</w:t>
      </w:r>
      <w:r w:rsidRPr="003D09DC">
        <w:rPr>
          <w:rFonts w:ascii="Arial" w:hAnsi="Arial" w:cs="Arial"/>
          <w:sz w:val="20"/>
          <w:szCs w:val="20"/>
        </w:rPr>
        <w:t>, cung cấp thông tin chi tiết</w:t>
      </w:r>
      <w:r w:rsidRPr="003D09DC">
        <w:rPr>
          <w:rFonts w:ascii="Arial" w:hAnsi="Arial" w:cs="Arial"/>
          <w:spacing w:val="1"/>
          <w:sz w:val="20"/>
          <w:szCs w:val="20"/>
        </w:rPr>
        <w:t xml:space="preserve"> </w:t>
      </w:r>
      <w:r w:rsidRPr="003D09DC">
        <w:rPr>
          <w:rFonts w:ascii="Arial" w:hAnsi="Arial" w:cs="Arial"/>
          <w:sz w:val="20"/>
          <w:szCs w:val="20"/>
        </w:rPr>
        <w:t>phân tích</w:t>
      </w:r>
      <w:r w:rsidRPr="003D09DC">
        <w:rPr>
          <w:rFonts w:ascii="Arial" w:hAnsi="Arial" w:cs="Arial"/>
          <w:spacing w:val="1"/>
          <w:sz w:val="20"/>
          <w:szCs w:val="20"/>
        </w:rPr>
        <w:t xml:space="preserve"> </w:t>
      </w:r>
      <w:r w:rsidRPr="003D09DC">
        <w:rPr>
          <w:rFonts w:ascii="Arial" w:hAnsi="Arial" w:cs="Arial"/>
          <w:sz w:val="20"/>
          <w:szCs w:val="20"/>
        </w:rPr>
        <w:t>về sự khác biệt giữa</w:t>
      </w:r>
      <w:r w:rsidRPr="003D09DC">
        <w:rPr>
          <w:rFonts w:ascii="Arial" w:hAnsi="Arial" w:cs="Arial"/>
          <w:spacing w:val="1"/>
          <w:sz w:val="20"/>
          <w:szCs w:val="20"/>
        </w:rPr>
        <w:t xml:space="preserve"> </w:t>
      </w:r>
      <w:r w:rsidRPr="003D09DC">
        <w:rPr>
          <w:rFonts w:ascii="Arial" w:hAnsi="Arial" w:cs="Arial"/>
          <w:sz w:val="20"/>
          <w:szCs w:val="20"/>
        </w:rPr>
        <w:t>hai nhãn hiệu, nhấn mạnh rằng các nhãn hiệu này hoàn toàn có khả năng phân biệt với nhau và việc tách nhãn hiệu thành các phần khác nhau nhằm mục đích thẩm định để kết luận rằng nhãn hiệu được nộp sau là tương tự đến mức gây nhầm lẫn mà</w:t>
      </w:r>
      <w:r w:rsidRPr="003D09DC">
        <w:rPr>
          <w:rFonts w:ascii="Arial" w:hAnsi="Arial" w:cs="Arial"/>
          <w:spacing w:val="-1"/>
          <w:sz w:val="20"/>
          <w:szCs w:val="20"/>
        </w:rPr>
        <w:t xml:space="preserve"> </w:t>
      </w:r>
      <w:r w:rsidRPr="003D09DC">
        <w:rPr>
          <w:rFonts w:ascii="Arial" w:hAnsi="Arial" w:cs="Arial"/>
          <w:sz w:val="20"/>
          <w:szCs w:val="20"/>
        </w:rPr>
        <w:t>không đặt vào vị trí/nhận định từ góc độ</w:t>
      </w:r>
      <w:r w:rsidRPr="003D09DC">
        <w:rPr>
          <w:rFonts w:ascii="Arial" w:hAnsi="Arial" w:cs="Arial"/>
          <w:spacing w:val="-2"/>
          <w:sz w:val="20"/>
          <w:szCs w:val="20"/>
        </w:rPr>
        <w:t xml:space="preserve"> </w:t>
      </w:r>
      <w:r w:rsidRPr="003D09DC">
        <w:rPr>
          <w:rFonts w:ascii="Arial" w:hAnsi="Arial" w:cs="Arial"/>
          <w:sz w:val="20"/>
          <w:szCs w:val="20"/>
        </w:rPr>
        <w:t>người tiêu dùng là không phù hợp.</w:t>
      </w:r>
    </w:p>
    <w:p w14:paraId="1E889CCF" w14:textId="77777777" w:rsidR="003D09DC" w:rsidRPr="003D09DC" w:rsidRDefault="003D09DC" w:rsidP="003D09DC">
      <w:pPr>
        <w:pStyle w:val="BodyText"/>
        <w:jc w:val="both"/>
        <w:rPr>
          <w:rFonts w:ascii="Arial" w:hAnsi="Arial" w:cs="Arial"/>
        </w:rPr>
      </w:pPr>
    </w:p>
    <w:p w14:paraId="79F461F9" w14:textId="4431ABFC" w:rsidR="003D09DC" w:rsidRPr="003D09DC" w:rsidRDefault="003D09DC" w:rsidP="003D09DC">
      <w:pPr>
        <w:pStyle w:val="Heading1"/>
        <w:ind w:left="0"/>
        <w:jc w:val="both"/>
        <w:rPr>
          <w:color w:val="2F5496" w:themeColor="accent1" w:themeShade="BF"/>
          <w:sz w:val="22"/>
          <w:szCs w:val="22"/>
        </w:rPr>
      </w:pPr>
      <w:r w:rsidRPr="003D09DC">
        <w:rPr>
          <w:color w:val="2F5496" w:themeColor="accent1" w:themeShade="BF"/>
          <w:sz w:val="22"/>
          <w:szCs w:val="22"/>
        </w:rPr>
        <w:t>3. Kết quả</w:t>
      </w:r>
    </w:p>
    <w:p w14:paraId="2F5F972D" w14:textId="77777777" w:rsidR="003D09DC" w:rsidRPr="003D09DC" w:rsidRDefault="003D09DC" w:rsidP="003D09DC">
      <w:pPr>
        <w:pStyle w:val="BodyText"/>
        <w:jc w:val="both"/>
        <w:rPr>
          <w:rFonts w:ascii="Arial" w:hAnsi="Arial" w:cs="Arial"/>
          <w:b/>
        </w:rPr>
      </w:pPr>
    </w:p>
    <w:p w14:paraId="01376DCC" w14:textId="750A6BF1" w:rsidR="003D09DC" w:rsidRPr="003D09DC" w:rsidRDefault="003D09DC" w:rsidP="003D09DC">
      <w:pPr>
        <w:pStyle w:val="BodyText"/>
        <w:ind w:right="113"/>
        <w:jc w:val="both"/>
        <w:rPr>
          <w:rFonts w:ascii="Arial" w:hAnsi="Arial" w:cs="Arial"/>
        </w:rPr>
      </w:pPr>
      <w:r w:rsidRPr="003D09DC">
        <w:rPr>
          <w:rFonts w:ascii="Arial" w:hAnsi="Arial" w:cs="Arial"/>
        </w:rPr>
        <w:lastRenderedPageBreak/>
        <w:t xml:space="preserve">Bộ </w:t>
      </w:r>
      <w:r>
        <w:rPr>
          <w:rFonts w:ascii="Arial" w:hAnsi="Arial" w:cs="Arial"/>
        </w:rPr>
        <w:t>KHCN</w:t>
      </w:r>
      <w:r w:rsidRPr="003D09DC">
        <w:rPr>
          <w:rFonts w:ascii="Arial" w:hAnsi="Arial" w:cs="Arial"/>
        </w:rPr>
        <w:t xml:space="preserve"> đã tổ chức </w:t>
      </w:r>
      <w:r>
        <w:rPr>
          <w:rFonts w:ascii="Arial" w:hAnsi="Arial" w:cs="Arial"/>
        </w:rPr>
        <w:t xml:space="preserve">một phiên </w:t>
      </w:r>
      <w:r w:rsidRPr="003D09DC">
        <w:rPr>
          <w:rFonts w:ascii="Arial" w:hAnsi="Arial" w:cs="Arial"/>
        </w:rPr>
        <w:t>đối thoại để giải quyết Đơn khiếu nại</w:t>
      </w:r>
      <w:r>
        <w:rPr>
          <w:rFonts w:ascii="Arial" w:hAnsi="Arial" w:cs="Arial"/>
        </w:rPr>
        <w:t xml:space="preserve">. </w:t>
      </w:r>
      <w:r w:rsidRPr="003D09DC">
        <w:rPr>
          <w:rFonts w:ascii="Arial" w:hAnsi="Arial" w:cs="Arial"/>
          <w:lang w:val="vi"/>
        </w:rPr>
        <w:t xml:space="preserve">Các bên tham gia vào </w:t>
      </w:r>
      <w:r w:rsidRPr="003D09DC">
        <w:rPr>
          <w:rFonts w:ascii="Arial" w:hAnsi="Arial" w:cs="Arial"/>
        </w:rPr>
        <w:t>buổi đối thoại</w:t>
      </w:r>
      <w:r w:rsidRPr="003D09DC">
        <w:rPr>
          <w:rFonts w:ascii="Arial" w:hAnsi="Arial" w:cs="Arial"/>
          <w:lang w:val="vi"/>
        </w:rPr>
        <w:t xml:space="preserve"> này </w:t>
      </w:r>
      <w:r>
        <w:rPr>
          <w:rFonts w:ascii="Arial" w:hAnsi="Arial" w:cs="Arial"/>
        </w:rPr>
        <w:t xml:space="preserve">gồm </w:t>
      </w:r>
      <w:r w:rsidRPr="003D09DC">
        <w:rPr>
          <w:rFonts w:ascii="Arial" w:hAnsi="Arial" w:cs="Arial"/>
          <w:lang w:val="vi"/>
        </w:rPr>
        <w:t xml:space="preserve">đại diện của </w:t>
      </w:r>
      <w:r w:rsidRPr="003D09DC">
        <w:rPr>
          <w:rFonts w:ascii="Arial" w:hAnsi="Arial" w:cs="Arial"/>
        </w:rPr>
        <w:t xml:space="preserve">Bộ </w:t>
      </w:r>
      <w:r>
        <w:rPr>
          <w:rFonts w:ascii="Arial" w:hAnsi="Arial" w:cs="Arial"/>
        </w:rPr>
        <w:t>KHCN</w:t>
      </w:r>
      <w:r w:rsidRPr="003D09DC">
        <w:rPr>
          <w:rFonts w:ascii="Arial" w:hAnsi="Arial" w:cs="Arial"/>
        </w:rPr>
        <w:t xml:space="preserve"> </w:t>
      </w:r>
      <w:r w:rsidRPr="003D09DC">
        <w:rPr>
          <w:rFonts w:ascii="Arial" w:hAnsi="Arial" w:cs="Arial"/>
          <w:lang w:val="vi"/>
        </w:rPr>
        <w:t>đảm nhận vai trò của cơ quan nhà nước chịu trách nhiệm giải quyết</w:t>
      </w:r>
      <w:r w:rsidRPr="003D09DC">
        <w:rPr>
          <w:rFonts w:ascii="Arial" w:hAnsi="Arial" w:cs="Arial"/>
        </w:rPr>
        <w:t xml:space="preserve"> khiếu nại, KENFOX IP &amp; Law Office,</w:t>
      </w:r>
      <w:r w:rsidRPr="003D09DC">
        <w:rPr>
          <w:rFonts w:ascii="Arial" w:hAnsi="Arial" w:cs="Arial"/>
          <w:spacing w:val="1"/>
        </w:rPr>
        <w:t xml:space="preserve"> </w:t>
      </w:r>
      <w:r w:rsidRPr="003D09DC">
        <w:rPr>
          <w:rFonts w:ascii="Arial" w:hAnsi="Arial" w:cs="Arial"/>
        </w:rPr>
        <w:t>với tư cách là đại diện sở hữu công nghiệp của</w:t>
      </w:r>
      <w:r w:rsidRPr="003D09DC">
        <w:rPr>
          <w:rFonts w:ascii="Arial" w:hAnsi="Arial" w:cs="Arial"/>
          <w:spacing w:val="1"/>
        </w:rPr>
        <w:t xml:space="preserve"> </w:t>
      </w:r>
      <w:r w:rsidRPr="003D09DC">
        <w:rPr>
          <w:rFonts w:ascii="Arial" w:hAnsi="Arial" w:cs="Arial"/>
          <w:color w:val="212121"/>
        </w:rPr>
        <w:t xml:space="preserve">Guangzhou City Baiyun Lianjia Fine Chemical Factory </w:t>
      </w:r>
      <w:r w:rsidRPr="003D09DC">
        <w:rPr>
          <w:rFonts w:ascii="Arial" w:hAnsi="Arial" w:cs="Arial"/>
        </w:rPr>
        <w:t>và Cục SHTT với tư cách là</w:t>
      </w:r>
      <w:r w:rsidRPr="003D09DC">
        <w:rPr>
          <w:rFonts w:ascii="Arial" w:hAnsi="Arial" w:cs="Arial"/>
          <w:spacing w:val="1"/>
        </w:rPr>
        <w:t xml:space="preserve"> </w:t>
      </w:r>
      <w:r w:rsidRPr="003D09DC">
        <w:rPr>
          <w:rFonts w:ascii="Arial" w:hAnsi="Arial" w:cs="Arial"/>
        </w:rPr>
        <w:t>người bị khiếu nại.</w:t>
      </w:r>
    </w:p>
    <w:p w14:paraId="467BD36C" w14:textId="77777777" w:rsidR="003D09DC" w:rsidRPr="003D09DC" w:rsidRDefault="003D09DC" w:rsidP="003D09DC">
      <w:pPr>
        <w:pStyle w:val="BodyText"/>
        <w:jc w:val="both"/>
        <w:rPr>
          <w:rFonts w:ascii="Arial" w:hAnsi="Arial" w:cs="Arial"/>
        </w:rPr>
      </w:pPr>
    </w:p>
    <w:p w14:paraId="176AA570" w14:textId="06C91EFB" w:rsidR="003D09DC" w:rsidRPr="003D09DC" w:rsidRDefault="003D09DC" w:rsidP="003D09DC">
      <w:pPr>
        <w:pStyle w:val="BodyText"/>
        <w:ind w:right="111"/>
        <w:jc w:val="both"/>
        <w:rPr>
          <w:rFonts w:ascii="Arial" w:hAnsi="Arial" w:cs="Arial"/>
        </w:rPr>
      </w:pPr>
      <w:r w:rsidRPr="003D09DC">
        <w:rPr>
          <w:rFonts w:ascii="Arial" w:hAnsi="Arial" w:cs="Arial"/>
        </w:rPr>
        <w:t>Trong</w:t>
      </w:r>
      <w:r w:rsidRPr="00900D21">
        <w:rPr>
          <w:rFonts w:ascii="Arial" w:hAnsi="Arial" w:cs="Arial"/>
        </w:rPr>
        <w:t xml:space="preserve"> buổi đối thoạ</w:t>
      </w:r>
      <w:r w:rsidR="00900D21" w:rsidRPr="00900D21">
        <w:rPr>
          <w:rFonts w:ascii="Arial" w:hAnsi="Arial" w:cs="Arial"/>
        </w:rPr>
        <w:t>i</w:t>
      </w:r>
      <w:r w:rsidRPr="003D09DC">
        <w:rPr>
          <w:rFonts w:ascii="Arial" w:hAnsi="Arial" w:cs="Arial"/>
        </w:rPr>
        <w:t>,</w:t>
      </w:r>
      <w:r w:rsidRPr="00900D21">
        <w:rPr>
          <w:rFonts w:ascii="Arial" w:hAnsi="Arial" w:cs="Arial"/>
        </w:rPr>
        <w:t xml:space="preserve"> </w:t>
      </w:r>
      <w:r w:rsidRPr="003D09DC">
        <w:rPr>
          <w:rFonts w:ascii="Arial" w:hAnsi="Arial" w:cs="Arial"/>
        </w:rPr>
        <w:t>chúng tôi</w:t>
      </w:r>
      <w:r w:rsidRPr="00900D21">
        <w:rPr>
          <w:rFonts w:ascii="Arial" w:hAnsi="Arial" w:cs="Arial"/>
        </w:rPr>
        <w:t xml:space="preserve"> đã tái </w:t>
      </w:r>
      <w:r w:rsidRPr="003D09DC">
        <w:rPr>
          <w:rFonts w:ascii="Arial" w:hAnsi="Arial" w:cs="Arial"/>
        </w:rPr>
        <w:t>khẳng định các luận điểm được trình bày trong Đơn khiếu nại ban đầu.</w:t>
      </w:r>
      <w:r w:rsidRPr="00900D21">
        <w:rPr>
          <w:rFonts w:ascii="Arial" w:hAnsi="Arial" w:cs="Arial"/>
        </w:rPr>
        <w:t xml:space="preserve"> </w:t>
      </w:r>
      <w:r w:rsidR="00900D21" w:rsidRPr="00900D21">
        <w:rPr>
          <w:rFonts w:ascii="Arial" w:hAnsi="Arial" w:cs="Arial"/>
        </w:rPr>
        <w:t>Luận điểm chính bao gồm</w:t>
      </w:r>
      <w:r w:rsidRPr="003D09DC">
        <w:rPr>
          <w:rFonts w:ascii="Arial" w:hAnsi="Arial" w:cs="Arial"/>
        </w:rPr>
        <w:t xml:space="preserve">: Nhãn hiệu xin đăng ký có sự khác biệt về cấu trúc, hình ảnh và </w:t>
      </w:r>
      <w:r w:rsidR="00900D21">
        <w:rPr>
          <w:rFonts w:ascii="Arial" w:hAnsi="Arial" w:cs="Arial"/>
        </w:rPr>
        <w:t>cách phát</w:t>
      </w:r>
      <w:r w:rsidRPr="003D09DC">
        <w:rPr>
          <w:rFonts w:ascii="Arial" w:hAnsi="Arial" w:cs="Arial"/>
        </w:rPr>
        <w:t xml:space="preserve"> âm </w:t>
      </w:r>
      <w:r w:rsidR="00900D21">
        <w:rPr>
          <w:rFonts w:ascii="Arial" w:hAnsi="Arial" w:cs="Arial"/>
        </w:rPr>
        <w:t xml:space="preserve">so </w:t>
      </w:r>
      <w:r w:rsidRPr="003D09DC">
        <w:rPr>
          <w:rFonts w:ascii="Arial" w:hAnsi="Arial" w:cs="Arial"/>
        </w:rPr>
        <w:t>với nhãn hiệu đối chứng</w:t>
      </w:r>
      <w:r w:rsidR="00900D21">
        <w:rPr>
          <w:rFonts w:ascii="Arial" w:hAnsi="Arial" w:cs="Arial"/>
        </w:rPr>
        <w:t>.</w:t>
      </w:r>
      <w:r w:rsidRPr="00900D21">
        <w:rPr>
          <w:rFonts w:ascii="Arial" w:hAnsi="Arial" w:cs="Arial"/>
        </w:rPr>
        <w:t xml:space="preserve"> </w:t>
      </w:r>
      <w:r w:rsidR="00900D21">
        <w:rPr>
          <w:rFonts w:ascii="Arial" w:hAnsi="Arial" w:cs="Arial"/>
        </w:rPr>
        <w:t>H</w:t>
      </w:r>
      <w:r w:rsidRPr="003D09DC">
        <w:rPr>
          <w:rFonts w:ascii="Arial" w:hAnsi="Arial" w:cs="Arial"/>
        </w:rPr>
        <w:t>ơn nữa,</w:t>
      </w:r>
      <w:r w:rsidRPr="00900D21">
        <w:rPr>
          <w:rFonts w:ascii="Arial" w:hAnsi="Arial" w:cs="Arial"/>
        </w:rPr>
        <w:t xml:space="preserve"> “DANZ</w:t>
      </w:r>
      <w:r w:rsidRPr="003D09DC">
        <w:rPr>
          <w:rFonts w:ascii="Arial" w:hAnsi="Arial" w:cs="Arial"/>
        </w:rPr>
        <w:t>”</w:t>
      </w:r>
      <w:r w:rsidRPr="00900D21">
        <w:rPr>
          <w:rFonts w:ascii="Arial" w:hAnsi="Arial" w:cs="Arial"/>
        </w:rPr>
        <w:t xml:space="preserve"> </w:t>
      </w:r>
      <w:r w:rsidRPr="003D09DC">
        <w:rPr>
          <w:rFonts w:ascii="Arial" w:hAnsi="Arial" w:cs="Arial"/>
        </w:rPr>
        <w:t xml:space="preserve">chỉ là một trong số những yếu tố </w:t>
      </w:r>
      <w:r w:rsidR="00900D21">
        <w:rPr>
          <w:rFonts w:ascii="Arial" w:hAnsi="Arial" w:cs="Arial"/>
        </w:rPr>
        <w:t>cấu thành</w:t>
      </w:r>
      <w:r w:rsidRPr="003D09DC">
        <w:rPr>
          <w:rFonts w:ascii="Arial" w:hAnsi="Arial" w:cs="Arial"/>
        </w:rPr>
        <w:t xml:space="preserve"> trong nhãn hiệu xin đăng ký, và do đó, tổng thể của hai nhãn hiệu hoàn toàn phân biệt được với nhau. Sau khi tiến hành tra cứu trên cơ sở dữ liệu nhãn hiệu trực tuyến của Cục SHTT, chúng tôi cung cấp thông tin thêm rằng các</w:t>
      </w:r>
      <w:r w:rsidRPr="003D09DC">
        <w:rPr>
          <w:rFonts w:ascii="Arial" w:hAnsi="Arial" w:cs="Arial"/>
          <w:spacing w:val="1"/>
        </w:rPr>
        <w:t xml:space="preserve"> n</w:t>
      </w:r>
      <w:r w:rsidRPr="003D09DC">
        <w:rPr>
          <w:rFonts w:ascii="Arial" w:hAnsi="Arial" w:cs="Arial"/>
        </w:rPr>
        <w:t>hãn hiệu “DAN” (nhãn hiệu có chứa yếu tố “DAN”) cũng đã được Cục SHTT chấp nhận cho</w:t>
      </w:r>
      <w:r w:rsidRPr="003D09DC">
        <w:rPr>
          <w:rFonts w:ascii="Arial" w:hAnsi="Arial" w:cs="Arial"/>
          <w:spacing w:val="1"/>
        </w:rPr>
        <w:t xml:space="preserve"> </w:t>
      </w:r>
      <w:r w:rsidRPr="003D09DC">
        <w:rPr>
          <w:rFonts w:ascii="Arial" w:hAnsi="Arial" w:cs="Arial"/>
        </w:rPr>
        <w:t>đăng ký dưới tên của các chủ sở hữu khác nhau. Điều này cho thấy đây không phải là yếu tố mạnh. Vì vậy, Cục SHTT cần</w:t>
      </w:r>
      <w:r w:rsidRPr="003D09DC">
        <w:rPr>
          <w:rFonts w:ascii="Arial" w:hAnsi="Arial" w:cs="Arial"/>
          <w:spacing w:val="1"/>
        </w:rPr>
        <w:t xml:space="preserve"> </w:t>
      </w:r>
      <w:r w:rsidRPr="003D09DC">
        <w:rPr>
          <w:rFonts w:ascii="Arial" w:hAnsi="Arial" w:cs="Arial"/>
        </w:rPr>
        <w:t>thẩm định các nhãn hiệu trong tổng thể của chúng, thay vì chỉ tập trung vào từng yếu tố riêng lẻ. Dựa trên các lập luận, bằng chứng đã cung cấp, chúng tôi khẳng định rằng không có nguy cơ (rủi ro) gây nhầm lẫn về nguồn gốc của sản phẩm mang hai nhãn hiệu.</w:t>
      </w:r>
    </w:p>
    <w:p w14:paraId="71597866" w14:textId="77777777" w:rsidR="003D09DC" w:rsidRPr="003D09DC" w:rsidRDefault="003D09DC" w:rsidP="003D09DC">
      <w:pPr>
        <w:pStyle w:val="BodyText"/>
        <w:ind w:left="332" w:right="111"/>
        <w:jc w:val="both"/>
        <w:rPr>
          <w:rFonts w:ascii="Arial" w:hAnsi="Arial" w:cs="Arial"/>
        </w:rPr>
      </w:pPr>
    </w:p>
    <w:p w14:paraId="106CE289" w14:textId="6E3DD0EE" w:rsidR="003D09DC" w:rsidRPr="003D09DC" w:rsidRDefault="003D09DC" w:rsidP="003D09DC">
      <w:pPr>
        <w:pStyle w:val="BodyText"/>
        <w:ind w:right="108"/>
        <w:jc w:val="both"/>
        <w:rPr>
          <w:rFonts w:ascii="Arial" w:hAnsi="Arial" w:cs="Arial"/>
        </w:rPr>
      </w:pPr>
      <w:r w:rsidRPr="003D09DC">
        <w:rPr>
          <w:rFonts w:ascii="Arial" w:hAnsi="Arial" w:cs="Arial"/>
        </w:rPr>
        <w:t>Sau phiên đối thoại, Bộ KHCN nhận thấy rằng các lập luận, và chứng cứ do KENFOX</w:t>
      </w:r>
      <w:r w:rsidR="00900D21">
        <w:rPr>
          <w:rFonts w:ascii="Arial" w:hAnsi="Arial" w:cs="Arial"/>
        </w:rPr>
        <w:t xml:space="preserve"> </w:t>
      </w:r>
      <w:r w:rsidRPr="003D09DC">
        <w:rPr>
          <w:rFonts w:ascii="Arial" w:hAnsi="Arial" w:cs="Arial"/>
        </w:rPr>
        <w:t>là hợp lý và có sức thuyết phục, do đó,</w:t>
      </w:r>
      <w:r w:rsidRPr="003D09DC">
        <w:rPr>
          <w:rFonts w:ascii="Arial" w:hAnsi="Arial" w:cs="Arial"/>
          <w:spacing w:val="1"/>
        </w:rPr>
        <w:t xml:space="preserve"> đã hủy bỏ</w:t>
      </w:r>
      <w:r w:rsidRPr="003D09DC">
        <w:rPr>
          <w:rFonts w:ascii="Arial" w:hAnsi="Arial" w:cs="Arial"/>
        </w:rPr>
        <w:t xml:space="preserve"> kết luận của thẩm định viên tại Phòng nhãn hiệu của Cục SHTT Việt Nam, thu hồi Quyết định từ chối</w:t>
      </w:r>
      <w:r w:rsidRPr="003D09DC">
        <w:rPr>
          <w:rFonts w:ascii="Arial" w:hAnsi="Arial" w:cs="Arial"/>
          <w:spacing w:val="-1"/>
        </w:rPr>
        <w:t xml:space="preserve"> </w:t>
      </w:r>
      <w:r w:rsidRPr="003D09DC">
        <w:rPr>
          <w:rFonts w:ascii="Arial" w:hAnsi="Arial" w:cs="Arial"/>
        </w:rPr>
        <w:t>và chấp nhận bảo hộ nhãn "</w:t>
      </w:r>
      <w:r w:rsidRPr="003D09DC">
        <w:rPr>
          <w:rFonts w:ascii="Arial" w:hAnsi="Arial" w:cs="Arial"/>
          <w:spacing w:val="-25"/>
        </w:rPr>
        <w:t xml:space="preserve"> </w:t>
      </w:r>
      <w:r w:rsidR="00432514" w:rsidRPr="003D09DC">
        <w:rPr>
          <w:rFonts w:ascii="Arial" w:hAnsi="Arial" w:cs="Arial"/>
          <w:noProof/>
          <w:spacing w:val="-19"/>
        </w:rPr>
        <w:drawing>
          <wp:inline distT="0" distB="0" distL="0" distR="0" wp14:anchorId="54853292" wp14:editId="14F1EB7A">
            <wp:extent cx="518799" cy="349250"/>
            <wp:effectExtent l="0" t="0" r="0" b="0"/>
            <wp:docPr id="1" name="image2.jpeg" descr="117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518799" cy="349250"/>
                    </a:xfrm>
                    <a:prstGeom prst="rect">
                      <a:avLst/>
                    </a:prstGeom>
                  </pic:spPr>
                </pic:pic>
              </a:graphicData>
            </a:graphic>
          </wp:inline>
        </w:drawing>
      </w:r>
      <w:r w:rsidRPr="003D09DC">
        <w:rPr>
          <w:rFonts w:ascii="Arial" w:hAnsi="Arial" w:cs="Arial"/>
          <w:spacing w:val="-2"/>
        </w:rPr>
        <w:t xml:space="preserve"> </w:t>
      </w:r>
      <w:r w:rsidRPr="003D09DC">
        <w:rPr>
          <w:rFonts w:ascii="Arial" w:hAnsi="Arial" w:cs="Arial"/>
        </w:rPr>
        <w:t>”</w:t>
      </w:r>
      <w:r w:rsidRPr="003D09DC">
        <w:rPr>
          <w:rFonts w:ascii="Arial" w:hAnsi="Arial" w:cs="Arial"/>
          <w:spacing w:val="-1"/>
        </w:rPr>
        <w:t xml:space="preserve"> </w:t>
      </w:r>
      <w:r w:rsidRPr="003D09DC">
        <w:rPr>
          <w:rFonts w:ascii="Arial" w:hAnsi="Arial" w:cs="Arial"/>
        </w:rPr>
        <w:t xml:space="preserve">theo </w:t>
      </w:r>
      <w:r w:rsidR="00900D21">
        <w:rPr>
          <w:rFonts w:ascii="Arial" w:hAnsi="Arial" w:cs="Arial"/>
        </w:rPr>
        <w:t>ĐKQT</w:t>
      </w:r>
      <w:r w:rsidRPr="003D09DC">
        <w:rPr>
          <w:rFonts w:ascii="Arial" w:hAnsi="Arial" w:cs="Arial"/>
        </w:rPr>
        <w:t xml:space="preserve"> số 1175364 của Guangzhou City Baiyun Lianjia Fine Chemical Factory tại Việt Nam.</w:t>
      </w:r>
    </w:p>
    <w:p w14:paraId="3C3B5073" w14:textId="77777777" w:rsidR="003D09DC" w:rsidRPr="003D09DC" w:rsidRDefault="003D09DC" w:rsidP="003D09DC">
      <w:pPr>
        <w:pStyle w:val="BodyText"/>
        <w:jc w:val="both"/>
        <w:rPr>
          <w:rFonts w:ascii="Arial" w:hAnsi="Arial" w:cs="Arial"/>
        </w:rPr>
      </w:pPr>
    </w:p>
    <w:p w14:paraId="4A8A2BD6" w14:textId="34C6F757" w:rsidR="003D09DC" w:rsidRPr="003D09DC" w:rsidRDefault="003D09DC" w:rsidP="003D09DC">
      <w:pPr>
        <w:pStyle w:val="Heading1"/>
        <w:ind w:left="0"/>
        <w:jc w:val="both"/>
        <w:rPr>
          <w:color w:val="2F5496" w:themeColor="accent1" w:themeShade="BF"/>
          <w:sz w:val="22"/>
          <w:szCs w:val="22"/>
        </w:rPr>
      </w:pPr>
      <w:r w:rsidRPr="003D09DC">
        <w:rPr>
          <w:color w:val="2F5496" w:themeColor="accent1" w:themeShade="BF"/>
          <w:sz w:val="22"/>
          <w:szCs w:val="22"/>
        </w:rPr>
        <w:t>4. Những điều cần lưu ý:</w:t>
      </w:r>
    </w:p>
    <w:p w14:paraId="31C08556" w14:textId="77777777" w:rsidR="003D09DC" w:rsidRPr="003D09DC" w:rsidRDefault="003D09DC" w:rsidP="003D09DC">
      <w:pPr>
        <w:pStyle w:val="BodyText"/>
        <w:jc w:val="both"/>
        <w:rPr>
          <w:rFonts w:ascii="Arial" w:hAnsi="Arial" w:cs="Arial"/>
          <w:b/>
        </w:rPr>
      </w:pPr>
    </w:p>
    <w:p w14:paraId="230F331C" w14:textId="45A6109C" w:rsidR="003D09DC" w:rsidRDefault="003D09DC" w:rsidP="003D09DC">
      <w:pPr>
        <w:tabs>
          <w:tab w:val="left" w:pos="874"/>
        </w:tabs>
        <w:spacing w:after="0" w:line="240" w:lineRule="auto"/>
        <w:ind w:right="117"/>
        <w:jc w:val="both"/>
        <w:rPr>
          <w:rFonts w:ascii="Arial" w:hAnsi="Arial" w:cs="Arial"/>
          <w:sz w:val="20"/>
          <w:szCs w:val="20"/>
        </w:rPr>
      </w:pPr>
      <w:r w:rsidRPr="003D09DC">
        <w:rPr>
          <w:rFonts w:ascii="Arial" w:hAnsi="Arial" w:cs="Arial"/>
          <w:b/>
          <w:bCs/>
          <w:sz w:val="20"/>
          <w:szCs w:val="20"/>
        </w:rPr>
        <w:t>[</w:t>
      </w:r>
      <w:r>
        <w:rPr>
          <w:rFonts w:ascii="Arial" w:hAnsi="Arial" w:cs="Arial"/>
          <w:b/>
          <w:bCs/>
          <w:sz w:val="20"/>
          <w:szCs w:val="20"/>
        </w:rPr>
        <w:t>i</w:t>
      </w:r>
      <w:r w:rsidRPr="003D09DC">
        <w:rPr>
          <w:rFonts w:ascii="Arial" w:hAnsi="Arial" w:cs="Arial"/>
          <w:b/>
          <w:bCs/>
          <w:sz w:val="20"/>
          <w:szCs w:val="20"/>
        </w:rPr>
        <w:t xml:space="preserve">] Không chỉ </w:t>
      </w:r>
      <w:r w:rsidRPr="003D09DC">
        <w:rPr>
          <w:rFonts w:ascii="Arial" w:hAnsi="Arial" w:cs="Arial"/>
          <w:b/>
          <w:bCs/>
          <w:color w:val="0D0D0D"/>
          <w:sz w:val="20"/>
          <w:szCs w:val="20"/>
          <w:shd w:val="clear" w:color="auto" w:fill="FFFFFF"/>
        </w:rPr>
        <w:t>yêu cầu kiến thức chuyên môn sâu rộng, mà còn cần đến sự dày dạn kinh nghiệm</w:t>
      </w:r>
      <w:r>
        <w:rPr>
          <w:rFonts w:ascii="Arial" w:hAnsi="Arial" w:cs="Arial"/>
          <w:color w:val="0D0D0D"/>
          <w:sz w:val="20"/>
          <w:szCs w:val="20"/>
          <w:shd w:val="clear" w:color="auto" w:fill="FFFFFF"/>
        </w:rPr>
        <w:t>:</w:t>
      </w:r>
    </w:p>
    <w:p w14:paraId="41C810DB" w14:textId="3DCB0254" w:rsidR="003D09DC" w:rsidRPr="003D09DC" w:rsidRDefault="003D09DC" w:rsidP="003D09DC">
      <w:pPr>
        <w:tabs>
          <w:tab w:val="left" w:pos="874"/>
        </w:tabs>
        <w:spacing w:after="0" w:line="240" w:lineRule="auto"/>
        <w:ind w:right="117"/>
        <w:jc w:val="both"/>
        <w:rPr>
          <w:rFonts w:ascii="Arial" w:hAnsi="Arial" w:cs="Arial"/>
          <w:sz w:val="20"/>
          <w:szCs w:val="20"/>
        </w:rPr>
      </w:pPr>
      <w:r w:rsidRPr="003D09DC">
        <w:rPr>
          <w:rFonts w:ascii="Arial" w:hAnsi="Arial" w:cs="Arial"/>
          <w:sz w:val="20"/>
          <w:szCs w:val="20"/>
        </w:rPr>
        <w:t xml:space="preserve">Không thể phủ nhận rằng việc vượt qua dự định từ chối bảo hộ nhãn hiệu phát sinh từ các xung đột với các nhãn hiệu có trước là không hề dễ dàng, đặc biệt khi Đơn khiếu nại lần thứ nhất tiếp tục bị từ chối. Việc vượt qua nhiều lý do từ chối đối với một nhãn hiệu xin đăng ký </w:t>
      </w:r>
      <w:r w:rsidRPr="003D09DC">
        <w:rPr>
          <w:rFonts w:ascii="Arial" w:hAnsi="Arial" w:cs="Arial"/>
          <w:color w:val="0D0D0D"/>
          <w:sz w:val="20"/>
          <w:szCs w:val="20"/>
          <w:shd w:val="clear" w:color="auto" w:fill="FFFFFF"/>
        </w:rPr>
        <w:t xml:space="preserve">không chỉ yêu cầu kiến thức chuyên môn sâu rộng, mà còn cần đến sự dày dạn kinh nghiệm của các chuyên gia trong lĩnh vực </w:t>
      </w:r>
      <w:r w:rsidR="00900D21">
        <w:rPr>
          <w:rFonts w:ascii="Arial" w:hAnsi="Arial" w:cs="Arial"/>
          <w:color w:val="0D0D0D"/>
          <w:sz w:val="20"/>
          <w:szCs w:val="20"/>
          <w:shd w:val="clear" w:color="auto" w:fill="FFFFFF"/>
        </w:rPr>
        <w:t>SHTT</w:t>
      </w:r>
      <w:r w:rsidRPr="003D09DC">
        <w:rPr>
          <w:rFonts w:ascii="Arial" w:hAnsi="Arial" w:cs="Arial"/>
          <w:sz w:val="20"/>
          <w:szCs w:val="20"/>
        </w:rPr>
        <w:t xml:space="preserve">. Vụ việc này đòi hỏi khá nhiều nỗ lực, kỹ năng cũng như chuyên môn từ đội ngũ luật sư của KENFOX. </w:t>
      </w:r>
      <w:r w:rsidRPr="003D09DC">
        <w:rPr>
          <w:rFonts w:ascii="Arial" w:hAnsi="Arial" w:cs="Arial"/>
          <w:color w:val="0D0D0D"/>
          <w:sz w:val="20"/>
          <w:szCs w:val="20"/>
          <w:shd w:val="clear" w:color="auto" w:fill="FFFFFF"/>
        </w:rPr>
        <w:t xml:space="preserve">Chúng tôi hiểu rõ những điểm then chốt cần được chú trọng để </w:t>
      </w:r>
      <w:hyperlink r:id="rId8" w:history="1">
        <w:r w:rsidRPr="0000695F">
          <w:rPr>
            <w:rStyle w:val="Hyperlink"/>
            <w:rFonts w:ascii="Arial" w:hAnsi="Arial" w:cs="Arial"/>
            <w:sz w:val="20"/>
            <w:szCs w:val="20"/>
            <w:shd w:val="clear" w:color="auto" w:fill="FFFFFF"/>
          </w:rPr>
          <w:t>khiếu nại thành công</w:t>
        </w:r>
      </w:hyperlink>
      <w:r w:rsidRPr="003D09DC">
        <w:rPr>
          <w:rFonts w:ascii="Arial" w:hAnsi="Arial" w:cs="Arial"/>
          <w:color w:val="0D0D0D"/>
          <w:sz w:val="20"/>
          <w:szCs w:val="20"/>
          <w:shd w:val="clear" w:color="auto" w:fill="FFFFFF"/>
        </w:rPr>
        <w:t xml:space="preserve"> Quyết định từ chối của Cục SHTT, đặc biệt khi đã nộp Đơn khiếu nại lần thứ hai lên Bộ Khoa học và Công nghệ.</w:t>
      </w:r>
    </w:p>
    <w:p w14:paraId="333B6884" w14:textId="77777777" w:rsidR="003D09DC" w:rsidRPr="003D09DC" w:rsidRDefault="003D09DC" w:rsidP="003D09DC">
      <w:pPr>
        <w:pStyle w:val="BodyText"/>
        <w:jc w:val="both"/>
        <w:rPr>
          <w:rFonts w:ascii="Arial" w:hAnsi="Arial" w:cs="Arial"/>
        </w:rPr>
      </w:pPr>
    </w:p>
    <w:p w14:paraId="09256A52" w14:textId="084C8A55" w:rsidR="003D09DC" w:rsidRPr="003D09DC" w:rsidRDefault="003D09DC" w:rsidP="003D09DC">
      <w:pPr>
        <w:tabs>
          <w:tab w:val="left" w:pos="874"/>
        </w:tabs>
        <w:spacing w:after="0" w:line="240" w:lineRule="auto"/>
        <w:jc w:val="both"/>
        <w:rPr>
          <w:rFonts w:ascii="Arial" w:hAnsi="Arial" w:cs="Arial"/>
          <w:sz w:val="20"/>
          <w:szCs w:val="20"/>
        </w:rPr>
      </w:pPr>
      <w:r>
        <w:rPr>
          <w:rFonts w:ascii="Arial" w:hAnsi="Arial" w:cs="Arial"/>
          <w:b/>
          <w:bCs/>
          <w:sz w:val="20"/>
          <w:szCs w:val="20"/>
        </w:rPr>
        <w:t>[ii]</w:t>
      </w:r>
      <w:r w:rsidR="00900D21">
        <w:rPr>
          <w:rFonts w:ascii="Arial" w:hAnsi="Arial" w:cs="Arial"/>
          <w:b/>
          <w:bCs/>
          <w:sz w:val="20"/>
          <w:szCs w:val="20"/>
        </w:rPr>
        <w:t xml:space="preserve"> </w:t>
      </w:r>
      <w:r w:rsidRPr="003D09DC">
        <w:rPr>
          <w:rFonts w:ascii="Arial" w:hAnsi="Arial" w:cs="Arial"/>
          <w:b/>
          <w:bCs/>
          <w:sz w:val="20"/>
          <w:szCs w:val="20"/>
        </w:rPr>
        <w:t>Thực tiễn thẩm định nhãn hiệu tại Việt Nam</w:t>
      </w:r>
      <w:r>
        <w:rPr>
          <w:rFonts w:ascii="Arial" w:hAnsi="Arial" w:cs="Arial"/>
          <w:sz w:val="20"/>
          <w:szCs w:val="20"/>
        </w:rPr>
        <w:t xml:space="preserve">: </w:t>
      </w:r>
      <w:r w:rsidRPr="003D09DC">
        <w:rPr>
          <w:rFonts w:ascii="Arial" w:hAnsi="Arial" w:cs="Arial"/>
          <w:sz w:val="20"/>
          <w:szCs w:val="20"/>
        </w:rPr>
        <w:t>Việc lấy một phần của nhãn hiệu và so sánh nó với một nhãn hiệu có trước là cách thẩm định không phù hợp. Tách nhãn hiệu thành các phần khác nhau để thẩm định và kết luận</w:t>
      </w:r>
      <w:r w:rsidRPr="003D09DC">
        <w:rPr>
          <w:rFonts w:ascii="Arial" w:hAnsi="Arial" w:cs="Arial"/>
          <w:spacing w:val="1"/>
          <w:sz w:val="20"/>
          <w:szCs w:val="20"/>
        </w:rPr>
        <w:t xml:space="preserve"> rằng </w:t>
      </w:r>
      <w:r w:rsidRPr="003D09DC">
        <w:rPr>
          <w:rFonts w:ascii="Arial" w:hAnsi="Arial" w:cs="Arial"/>
          <w:sz w:val="20"/>
          <w:szCs w:val="20"/>
        </w:rPr>
        <w:t>phần được so sánh đó tương tự đến mức gây nhầm lẫn với nhãn hiệu có trước, đặc biệt khi nhãn hiệu có trước là một</w:t>
      </w:r>
      <w:r w:rsidRPr="003D09DC">
        <w:rPr>
          <w:rFonts w:ascii="Arial" w:hAnsi="Arial" w:cs="Arial"/>
          <w:spacing w:val="1"/>
          <w:sz w:val="20"/>
          <w:szCs w:val="20"/>
        </w:rPr>
        <w:t xml:space="preserve"> </w:t>
      </w:r>
      <w:r w:rsidRPr="003D09DC">
        <w:rPr>
          <w:rFonts w:ascii="Arial" w:hAnsi="Arial" w:cs="Arial"/>
          <w:sz w:val="20"/>
          <w:szCs w:val="20"/>
        </w:rPr>
        <w:t>nhãn hiệu ngắn (</w:t>
      </w:r>
      <w:r w:rsidRPr="003D09DC">
        <w:rPr>
          <w:rFonts w:ascii="Arial" w:hAnsi="Arial" w:cs="Arial"/>
          <w:i/>
          <w:sz w:val="20"/>
          <w:szCs w:val="20"/>
        </w:rPr>
        <w:t>tức là có một âm tiết</w:t>
      </w:r>
      <w:r w:rsidRPr="003D09DC">
        <w:rPr>
          <w:rFonts w:ascii="Arial" w:hAnsi="Arial" w:cs="Arial"/>
          <w:sz w:val="20"/>
          <w:szCs w:val="20"/>
        </w:rPr>
        <w:t xml:space="preserve">) là không toàn diện, </w:t>
      </w:r>
      <w:r w:rsidRPr="003D09DC">
        <w:rPr>
          <w:rFonts w:ascii="Arial" w:hAnsi="Arial" w:cs="Arial"/>
          <w:color w:val="0D0D0D"/>
          <w:sz w:val="20"/>
          <w:szCs w:val="20"/>
          <w:shd w:val="clear" w:color="auto" w:fill="FFFFFF"/>
        </w:rPr>
        <w:t>không công bằng và thiếu chính xác</w:t>
      </w:r>
      <w:r w:rsidRPr="003D09DC">
        <w:rPr>
          <w:rFonts w:ascii="Arial" w:hAnsi="Arial" w:cs="Arial"/>
          <w:sz w:val="20"/>
          <w:szCs w:val="20"/>
        </w:rPr>
        <w:t>.</w:t>
      </w:r>
      <w:r w:rsidRPr="003D09DC">
        <w:rPr>
          <w:rFonts w:ascii="Arial" w:hAnsi="Arial" w:cs="Arial"/>
          <w:spacing w:val="1"/>
          <w:sz w:val="20"/>
          <w:szCs w:val="20"/>
        </w:rPr>
        <w:t xml:space="preserve"> </w:t>
      </w:r>
      <w:r w:rsidRPr="003D09DC">
        <w:rPr>
          <w:rFonts w:ascii="Arial" w:hAnsi="Arial" w:cs="Arial"/>
          <w:sz w:val="20"/>
          <w:szCs w:val="20"/>
        </w:rPr>
        <w:t>Sự so sánh như vậy là khấp khiễng. Tuy nhiên, việc chia nhỏ các nhãn hiệu xin đăng ký để thẩm định khả năng đăng ký đã trở thành thực tiễn khá</w:t>
      </w:r>
      <w:bookmarkStart w:id="0" w:name="_GoBack"/>
      <w:bookmarkEnd w:id="0"/>
      <w:r w:rsidRPr="003D09DC">
        <w:rPr>
          <w:rFonts w:ascii="Arial" w:hAnsi="Arial" w:cs="Arial"/>
          <w:sz w:val="20"/>
          <w:szCs w:val="20"/>
        </w:rPr>
        <w:t xml:space="preserve"> phổ biến tại Việt Nam. Việc chia nhãn hiệu thành các phần riêng biệt để đánh giá sự tương tự của nhãn hiệu đó với các nhãn hiệu khác đăng ký trước</w:t>
      </w:r>
      <w:r w:rsidRPr="003D09DC">
        <w:rPr>
          <w:rFonts w:ascii="Arial" w:hAnsi="Arial" w:cs="Arial"/>
          <w:spacing w:val="1"/>
          <w:sz w:val="20"/>
          <w:szCs w:val="20"/>
        </w:rPr>
        <w:t xml:space="preserve"> mà </w:t>
      </w:r>
      <w:r w:rsidRPr="003D09DC">
        <w:rPr>
          <w:rFonts w:ascii="Arial" w:hAnsi="Arial" w:cs="Arial"/>
          <w:sz w:val="20"/>
          <w:szCs w:val="20"/>
        </w:rPr>
        <w:t>không xem xét đến tổng thể nhãn hiệu (</w:t>
      </w:r>
      <w:r w:rsidRPr="00900D21">
        <w:rPr>
          <w:rFonts w:ascii="Arial" w:hAnsi="Arial" w:cs="Arial"/>
          <w:i/>
          <w:iCs/>
          <w:sz w:val="20"/>
          <w:szCs w:val="20"/>
        </w:rPr>
        <w:t>các yếu tố cấu thành nhãn hiệu</w:t>
      </w:r>
      <w:r w:rsidRPr="003D09DC">
        <w:rPr>
          <w:rFonts w:ascii="Arial" w:hAnsi="Arial" w:cs="Arial"/>
          <w:sz w:val="20"/>
          <w:szCs w:val="20"/>
        </w:rPr>
        <w:t>) sẽ dẫn đến nhận định sai về</w:t>
      </w:r>
      <w:r w:rsidRPr="003D09DC">
        <w:rPr>
          <w:rFonts w:ascii="Arial" w:hAnsi="Arial" w:cs="Arial"/>
          <w:spacing w:val="1"/>
          <w:sz w:val="20"/>
          <w:szCs w:val="20"/>
        </w:rPr>
        <w:t xml:space="preserve"> </w:t>
      </w:r>
      <w:r w:rsidRPr="003D09DC">
        <w:rPr>
          <w:rFonts w:ascii="Arial" w:hAnsi="Arial" w:cs="Arial"/>
          <w:sz w:val="20"/>
          <w:szCs w:val="20"/>
        </w:rPr>
        <w:t>khả năng gây nhầm lẫn. Có thể thấy rằng khả năng gây nhầm lẫn phải được đánh giá toàn diện, xem xét tất cả các yếu tố liên quan đến bối cảnh của vụ việc.</w:t>
      </w:r>
    </w:p>
    <w:p w14:paraId="6682C756" w14:textId="77777777" w:rsidR="003D09DC" w:rsidRDefault="003D09DC" w:rsidP="003D09DC">
      <w:pPr>
        <w:tabs>
          <w:tab w:val="left" w:pos="874"/>
        </w:tabs>
        <w:spacing w:after="0" w:line="240" w:lineRule="auto"/>
        <w:ind w:right="115"/>
        <w:jc w:val="both"/>
        <w:rPr>
          <w:rFonts w:ascii="Arial" w:hAnsi="Arial" w:cs="Arial"/>
          <w:sz w:val="20"/>
          <w:szCs w:val="20"/>
        </w:rPr>
      </w:pPr>
    </w:p>
    <w:p w14:paraId="7B6C8182" w14:textId="785F42A5" w:rsidR="003D09DC" w:rsidRPr="003D09DC" w:rsidRDefault="003D09DC" w:rsidP="003D09DC">
      <w:pPr>
        <w:tabs>
          <w:tab w:val="left" w:pos="874"/>
        </w:tabs>
        <w:spacing w:after="0" w:line="240" w:lineRule="auto"/>
        <w:ind w:right="115"/>
        <w:jc w:val="both"/>
        <w:rPr>
          <w:rFonts w:ascii="Arial" w:hAnsi="Arial" w:cs="Arial"/>
          <w:sz w:val="20"/>
          <w:szCs w:val="20"/>
        </w:rPr>
      </w:pPr>
      <w:r w:rsidRPr="003D09DC">
        <w:rPr>
          <w:rFonts w:ascii="Arial" w:hAnsi="Arial" w:cs="Arial"/>
          <w:b/>
          <w:bCs/>
          <w:sz w:val="20"/>
          <w:szCs w:val="20"/>
        </w:rPr>
        <w:t>[iii] Quyền khiếu nại</w:t>
      </w:r>
      <w:r>
        <w:rPr>
          <w:rFonts w:ascii="Arial" w:hAnsi="Arial" w:cs="Arial"/>
          <w:sz w:val="20"/>
          <w:szCs w:val="20"/>
        </w:rPr>
        <w:t xml:space="preserve">: </w:t>
      </w:r>
      <w:r w:rsidRPr="003D09DC">
        <w:rPr>
          <w:rFonts w:ascii="Arial" w:hAnsi="Arial" w:cs="Arial"/>
          <w:sz w:val="20"/>
          <w:szCs w:val="20"/>
        </w:rPr>
        <w:t xml:space="preserve">Khi Đơn khiếu nại đầu tiên gửi tới Cục SHTT bị từ chối, chủ đơn vẫn có quyền nộp đơn khiếu nại theo luật định lên Bộ </w:t>
      </w:r>
      <w:r w:rsidR="00900D21">
        <w:rPr>
          <w:rFonts w:ascii="Arial" w:hAnsi="Arial" w:cs="Arial"/>
          <w:sz w:val="20"/>
          <w:szCs w:val="20"/>
        </w:rPr>
        <w:t>KHCN</w:t>
      </w:r>
      <w:r w:rsidRPr="003D09DC">
        <w:rPr>
          <w:rFonts w:ascii="Arial" w:hAnsi="Arial" w:cs="Arial"/>
          <w:sz w:val="20"/>
          <w:szCs w:val="20"/>
        </w:rPr>
        <w:t>. Việt Nam áp dụng hệ thống khiếu nại 2 cấp. Vì vậy, trong trường hợp nộp đơn khiếu nại</w:t>
      </w:r>
      <w:r w:rsidRPr="003D09DC">
        <w:rPr>
          <w:rFonts w:ascii="Arial" w:hAnsi="Arial" w:cs="Arial"/>
          <w:spacing w:val="1"/>
          <w:sz w:val="20"/>
          <w:szCs w:val="20"/>
        </w:rPr>
        <w:t xml:space="preserve"> </w:t>
      </w:r>
      <w:r w:rsidRPr="003D09DC">
        <w:rPr>
          <w:rFonts w:ascii="Arial" w:hAnsi="Arial" w:cs="Arial"/>
          <w:sz w:val="20"/>
          <w:szCs w:val="20"/>
        </w:rPr>
        <w:t>tại Cục SHTT Việt Nam (“</w:t>
      </w:r>
      <w:r w:rsidRPr="003D09DC">
        <w:rPr>
          <w:rFonts w:ascii="Arial" w:hAnsi="Arial" w:cs="Arial"/>
          <w:i/>
          <w:sz w:val="20"/>
          <w:szCs w:val="20"/>
        </w:rPr>
        <w:t>khiếu nại lần 1</w:t>
      </w:r>
      <w:r w:rsidRPr="003D09DC">
        <w:rPr>
          <w:rFonts w:ascii="Arial" w:hAnsi="Arial" w:cs="Arial"/>
          <w:sz w:val="20"/>
          <w:szCs w:val="20"/>
        </w:rPr>
        <w:t>”) không thành công, thì chủ đơn có quyền tiếp tục nộp Đơn</w:t>
      </w:r>
      <w:r w:rsidRPr="003D09DC">
        <w:rPr>
          <w:rFonts w:ascii="Arial" w:hAnsi="Arial" w:cs="Arial"/>
          <w:spacing w:val="1"/>
          <w:sz w:val="20"/>
          <w:szCs w:val="20"/>
        </w:rPr>
        <w:t xml:space="preserve"> </w:t>
      </w:r>
      <w:r w:rsidRPr="003D09DC">
        <w:rPr>
          <w:rFonts w:ascii="Arial" w:hAnsi="Arial" w:cs="Arial"/>
          <w:sz w:val="20"/>
          <w:szCs w:val="20"/>
        </w:rPr>
        <w:t xml:space="preserve">khiếu nại lên </w:t>
      </w:r>
      <w:r w:rsidR="00900D21">
        <w:rPr>
          <w:rFonts w:ascii="Arial" w:hAnsi="Arial" w:cs="Arial"/>
          <w:sz w:val="20"/>
          <w:szCs w:val="20"/>
        </w:rPr>
        <w:t>Bộ KHCN</w:t>
      </w:r>
      <w:r w:rsidRPr="003D09DC">
        <w:rPr>
          <w:rFonts w:ascii="Arial" w:hAnsi="Arial" w:cs="Arial"/>
          <w:sz w:val="20"/>
          <w:szCs w:val="20"/>
        </w:rPr>
        <w:t xml:space="preserve"> (cơ quan cấp trên của Cục SHTT - “khiếu nại lần 2”) hoặc nộp đơn khởi kiện Quyết định hành chính.</w:t>
      </w:r>
    </w:p>
    <w:p w14:paraId="0CB16180" w14:textId="77777777" w:rsidR="003D09DC" w:rsidRPr="003D09DC" w:rsidRDefault="003D09DC" w:rsidP="003D09DC">
      <w:pPr>
        <w:pStyle w:val="BodyText"/>
        <w:jc w:val="both"/>
        <w:rPr>
          <w:rFonts w:ascii="Arial" w:hAnsi="Arial" w:cs="Arial"/>
        </w:rPr>
      </w:pPr>
    </w:p>
    <w:p w14:paraId="18C070EE" w14:textId="710460AF" w:rsidR="00ED785B" w:rsidRPr="003D09DC" w:rsidRDefault="003D09DC" w:rsidP="003D09DC">
      <w:pPr>
        <w:spacing w:after="0" w:line="240" w:lineRule="auto"/>
        <w:jc w:val="both"/>
        <w:rPr>
          <w:rFonts w:ascii="Arial" w:hAnsi="Arial" w:cs="Arial"/>
          <w:sz w:val="20"/>
          <w:szCs w:val="20"/>
        </w:rPr>
      </w:pPr>
      <w:r w:rsidRPr="003D09DC">
        <w:rPr>
          <w:rFonts w:ascii="Arial" w:hAnsi="Arial" w:cs="Arial"/>
          <w:b/>
          <w:bCs/>
          <w:sz w:val="20"/>
          <w:szCs w:val="20"/>
        </w:rPr>
        <w:t>[iv] Đối thoại và giải quyết khiếu nại tại Bộ KHCN</w:t>
      </w:r>
      <w:r>
        <w:rPr>
          <w:rFonts w:ascii="Arial" w:hAnsi="Arial" w:cs="Arial"/>
          <w:sz w:val="20"/>
          <w:szCs w:val="20"/>
        </w:rPr>
        <w:t>:</w:t>
      </w:r>
      <w:r w:rsidRPr="003D09DC">
        <w:rPr>
          <w:rFonts w:ascii="Arial" w:hAnsi="Arial" w:cs="Arial"/>
          <w:sz w:val="20"/>
          <w:szCs w:val="20"/>
        </w:rPr>
        <w:t xml:space="preserve"> Phiên đối thoại là một thủ tục diễn ra phổ biến trong quá trình giải quyết khiếu nại tại Bộ </w:t>
      </w:r>
      <w:r w:rsidR="00900D21">
        <w:rPr>
          <w:rFonts w:ascii="Arial" w:hAnsi="Arial" w:cs="Arial"/>
          <w:sz w:val="20"/>
          <w:szCs w:val="20"/>
        </w:rPr>
        <w:t>KHCN</w:t>
      </w:r>
      <w:r w:rsidRPr="003D09DC">
        <w:rPr>
          <w:rFonts w:ascii="Arial" w:hAnsi="Arial" w:cs="Arial"/>
          <w:sz w:val="20"/>
          <w:szCs w:val="20"/>
        </w:rPr>
        <w:t>. Thủ tục này</w:t>
      </w:r>
      <w:r w:rsidRPr="003D09DC">
        <w:rPr>
          <w:rFonts w:ascii="Arial" w:hAnsi="Arial" w:cs="Arial"/>
          <w:color w:val="0D0D0D"/>
          <w:sz w:val="20"/>
          <w:szCs w:val="20"/>
          <w:shd w:val="clear" w:color="auto" w:fill="FFFFFF"/>
        </w:rPr>
        <w:t xml:space="preserve"> tạo điều kiện cho cả Người khiếu nại và Cục SHTT - đại diện cho bên bị khiếu nại - có cơ hội trực tiếp trình bày quan điểm của mình trước Bộ. Quy trình này đặc biệt đòi hỏi sự chú trọng đến chi tiết và có thể trở nên khá phức tạp, bao gồm những cuộc thảo luận chuyên sâu. Do vậy, việc chuẩn bị kỹ lưỡng và dành thời gian để tham gia các phiên đối thoại là rất quan trọng, nhằm đảm bảo rằng Đơn khiếu nại được trình bày một cách rõ ràng, thuyết phục, từ đó thúc đẩy Bộ KHCN đưa ra quyết định có lợi cho người khiếu nại</w:t>
      </w:r>
      <w:r w:rsidR="00900D21">
        <w:rPr>
          <w:rFonts w:ascii="Arial" w:hAnsi="Arial" w:cs="Arial"/>
          <w:color w:val="0D0D0D"/>
          <w:sz w:val="20"/>
          <w:szCs w:val="20"/>
          <w:shd w:val="clear" w:color="auto" w:fill="FFFFFF"/>
        </w:rPr>
        <w:t>.</w:t>
      </w:r>
    </w:p>
    <w:sectPr w:rsidR="00ED785B" w:rsidRPr="003D09DC" w:rsidSect="003D09DC">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DC"/>
    <w:rsid w:val="0000695F"/>
    <w:rsid w:val="00107304"/>
    <w:rsid w:val="002D67DD"/>
    <w:rsid w:val="003D09DC"/>
    <w:rsid w:val="00432514"/>
    <w:rsid w:val="00545A97"/>
    <w:rsid w:val="00615EEF"/>
    <w:rsid w:val="006478CF"/>
    <w:rsid w:val="008E586F"/>
    <w:rsid w:val="00900D21"/>
    <w:rsid w:val="00BC23D6"/>
    <w:rsid w:val="00EB1CD2"/>
    <w:rsid w:val="00ED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E76C"/>
  <w15:chartTrackingRefBased/>
  <w15:docId w15:val="{CF9CEBC6-8E79-4CCD-9716-83A1C657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D09DC"/>
    <w:pPr>
      <w:widowControl w:val="0"/>
      <w:autoSpaceDE w:val="0"/>
      <w:autoSpaceDN w:val="0"/>
      <w:spacing w:after="0" w:line="240" w:lineRule="auto"/>
      <w:ind w:left="332"/>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9DC"/>
    <w:rPr>
      <w:rFonts w:ascii="Arial" w:eastAsia="Arial" w:hAnsi="Arial" w:cs="Arial"/>
      <w:b/>
      <w:bCs/>
      <w:sz w:val="20"/>
      <w:szCs w:val="20"/>
    </w:rPr>
  </w:style>
  <w:style w:type="paragraph" w:styleId="BodyText">
    <w:name w:val="Body Text"/>
    <w:basedOn w:val="Normal"/>
    <w:link w:val="BodyTextChar"/>
    <w:uiPriority w:val="1"/>
    <w:qFormat/>
    <w:rsid w:val="003D09DC"/>
    <w:pPr>
      <w:widowControl w:val="0"/>
      <w:autoSpaceDE w:val="0"/>
      <w:autoSpaceDN w:val="0"/>
      <w:spacing w:after="0" w:line="240" w:lineRule="auto"/>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3D09DC"/>
    <w:rPr>
      <w:rFonts w:ascii="Arial MT" w:eastAsia="Arial MT" w:hAnsi="Arial MT" w:cs="Arial MT"/>
      <w:sz w:val="20"/>
      <w:szCs w:val="20"/>
    </w:rPr>
  </w:style>
  <w:style w:type="paragraph" w:styleId="ListParagraph">
    <w:name w:val="List Paragraph"/>
    <w:basedOn w:val="Normal"/>
    <w:uiPriority w:val="1"/>
    <w:qFormat/>
    <w:rsid w:val="003D09DC"/>
    <w:pPr>
      <w:widowControl w:val="0"/>
      <w:autoSpaceDE w:val="0"/>
      <w:autoSpaceDN w:val="0"/>
      <w:spacing w:after="0" w:line="240" w:lineRule="auto"/>
      <w:ind w:left="873" w:right="111" w:hanging="541"/>
      <w:jc w:val="both"/>
    </w:pPr>
    <w:rPr>
      <w:rFonts w:ascii="Arial MT" w:eastAsia="Arial MT" w:hAnsi="Arial MT" w:cs="Arial MT"/>
    </w:rPr>
  </w:style>
  <w:style w:type="paragraph" w:customStyle="1" w:styleId="TableParagraph">
    <w:name w:val="Table Paragraph"/>
    <w:basedOn w:val="Normal"/>
    <w:uiPriority w:val="1"/>
    <w:qFormat/>
    <w:rsid w:val="003D09DC"/>
    <w:pPr>
      <w:widowControl w:val="0"/>
      <w:autoSpaceDE w:val="0"/>
      <w:autoSpaceDN w:val="0"/>
      <w:spacing w:after="0" w:line="240" w:lineRule="auto"/>
    </w:pPr>
    <w:rPr>
      <w:rFonts w:ascii="Arial MT" w:eastAsia="Arial MT" w:hAnsi="Arial MT" w:cs="Arial MT"/>
    </w:rPr>
  </w:style>
  <w:style w:type="character" w:styleId="Hyperlink">
    <w:name w:val="Hyperlink"/>
    <w:basedOn w:val="DefaultParagraphFont"/>
    <w:uiPriority w:val="99"/>
    <w:unhideWhenUsed/>
    <w:rsid w:val="00107304"/>
    <w:rPr>
      <w:color w:val="0563C1" w:themeColor="hyperlink"/>
      <w:u w:val="single"/>
    </w:rPr>
  </w:style>
  <w:style w:type="character" w:styleId="UnresolvedMention">
    <w:name w:val="Unresolved Mention"/>
    <w:basedOn w:val="DefaultParagraphFont"/>
    <w:uiPriority w:val="99"/>
    <w:semiHidden/>
    <w:unhideWhenUsed/>
    <w:rsid w:val="0010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kenfox-da-bao-ve-thanh-cong-nhan-hieu-duoc-pham-trong-vu-kien-moi-day-nhu-the-nao"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danzi.cn/" TargetMode="External"/><Relationship Id="rId10" Type="http://schemas.openxmlformats.org/officeDocument/2006/relationships/theme" Target="theme/theme1.xml"/><Relationship Id="rId4" Type="http://schemas.openxmlformats.org/officeDocument/2006/relationships/hyperlink" Target="https://kenfoxlaw.com/vi/philipp-plein-da-khieu-nai-quyet-dinh-tu-choi-bao-ho-nhan-hieu-tai-viet-nam-nhu-the-na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3</cp:revision>
  <dcterms:created xsi:type="dcterms:W3CDTF">2024-04-01T12:30:00Z</dcterms:created>
  <dcterms:modified xsi:type="dcterms:W3CDTF">2024-04-02T07:06:00Z</dcterms:modified>
</cp:coreProperties>
</file>