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B33D" w14:textId="0645D9FB" w:rsidR="003E509C" w:rsidRPr="00BF60AC" w:rsidRDefault="00986E67" w:rsidP="00BF60AC">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604C21BD" w:rsidR="00E93403" w:rsidRPr="00BA68B8" w:rsidRDefault="006A06D4" w:rsidP="00E93403">
                            <w:pPr>
                              <w:spacing w:after="0" w:line="240" w:lineRule="auto"/>
                              <w:rPr>
                                <w:rFonts w:ascii="Arial" w:hAnsi="Arial" w:cs="Arial"/>
                                <w:b/>
                                <w:color w:val="FFFFFF" w:themeColor="background1"/>
                                <w:sz w:val="20"/>
                                <w:szCs w:val="20"/>
                              </w:rPr>
                            </w:pPr>
                            <w:r w:rsidRPr="006A06D4">
                              <w:rPr>
                                <w:rFonts w:ascii="Arial" w:hAnsi="Arial" w:cs="Arial"/>
                                <w:b/>
                                <w:bCs/>
                                <w:color w:val="FFFFFF" w:themeColor="background1"/>
                                <w:sz w:val="20"/>
                                <w:szCs w:val="20"/>
                              </w:rPr>
                              <w:t>Overcoming refusal of trademark protection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604C21BD" w:rsidR="00E93403" w:rsidRPr="00BA68B8" w:rsidRDefault="006A06D4" w:rsidP="00E93403">
                      <w:pPr>
                        <w:spacing w:after="0" w:line="240" w:lineRule="auto"/>
                        <w:rPr>
                          <w:rFonts w:ascii="Arial" w:hAnsi="Arial" w:cs="Arial"/>
                          <w:b/>
                          <w:color w:val="FFFFFF" w:themeColor="background1"/>
                          <w:sz w:val="20"/>
                          <w:szCs w:val="20"/>
                        </w:rPr>
                      </w:pPr>
                      <w:r w:rsidRPr="006A06D4">
                        <w:rPr>
                          <w:rFonts w:ascii="Arial" w:hAnsi="Arial" w:cs="Arial"/>
                          <w:b/>
                          <w:bCs/>
                          <w:color w:val="FFFFFF" w:themeColor="background1"/>
                          <w:sz w:val="20"/>
                          <w:szCs w:val="20"/>
                        </w:rPr>
                        <w:t>Overcoming refusal of trademark protection in Vietnam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4E90DA2E" w:rsidR="00216422" w:rsidRPr="00CC7576" w:rsidRDefault="006A06D4" w:rsidP="00216422">
                            <w:pPr>
                              <w:spacing w:after="0"/>
                              <w:jc w:val="center"/>
                              <w:rPr>
                                <w:rFonts w:ascii="Arial" w:hAnsi="Arial" w:cs="Arial"/>
                                <w:b/>
                                <w:color w:val="FFFFFF" w:themeColor="background1"/>
                                <w:sz w:val="20"/>
                                <w:szCs w:val="20"/>
                              </w:rPr>
                            </w:pPr>
                            <w:r w:rsidRPr="006A06D4">
                              <w:rPr>
                                <w:rFonts w:ascii="Arial" w:hAnsi="Arial" w:cs="Arial"/>
                                <w:b/>
                                <w:bCs/>
                                <w:color w:val="FFFFFF" w:themeColor="background1"/>
                                <w:sz w:val="20"/>
                                <w:szCs w:val="20"/>
                              </w:rPr>
                              <w:t>Overcoming refusal of trademark protection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4E90DA2E" w:rsidR="00216422" w:rsidRPr="00CC7576" w:rsidRDefault="006A06D4" w:rsidP="00216422">
                      <w:pPr>
                        <w:spacing w:after="0"/>
                        <w:jc w:val="center"/>
                        <w:rPr>
                          <w:rFonts w:ascii="Arial" w:hAnsi="Arial" w:cs="Arial"/>
                          <w:b/>
                          <w:color w:val="FFFFFF" w:themeColor="background1"/>
                          <w:sz w:val="20"/>
                          <w:szCs w:val="20"/>
                        </w:rPr>
                      </w:pPr>
                      <w:r w:rsidRPr="006A06D4">
                        <w:rPr>
                          <w:rFonts w:ascii="Arial" w:hAnsi="Arial" w:cs="Arial"/>
                          <w:b/>
                          <w:bCs/>
                          <w:color w:val="FFFFFF" w:themeColor="background1"/>
                          <w:sz w:val="20"/>
                          <w:szCs w:val="20"/>
                        </w:rPr>
                        <w:t>Overcoming refusal of trademark protection in Vietnam</w:t>
                      </w:r>
                    </w:p>
                  </w:txbxContent>
                </v:textbox>
                <w10:wrap anchorx="page"/>
              </v:rect>
            </w:pict>
          </mc:Fallback>
        </mc:AlternateContent>
      </w:r>
      <w:bookmarkStart w:id="0" w:name="_Hlk110501394"/>
      <w:bookmarkStart w:id="1" w:name="_Hlk110501351"/>
    </w:p>
    <w:p w14:paraId="424D290B" w14:textId="77777777" w:rsidR="00BF60AC" w:rsidRDefault="00BF60AC" w:rsidP="00BF60AC">
      <w:pPr>
        <w:shd w:val="clear" w:color="auto" w:fill="FFFFFF"/>
        <w:spacing w:after="0" w:line="240" w:lineRule="auto"/>
        <w:jc w:val="both"/>
        <w:rPr>
          <w:rFonts w:ascii="Arial" w:eastAsia="Times New Roman" w:hAnsi="Arial" w:cs="Arial"/>
          <w:sz w:val="20"/>
          <w:szCs w:val="20"/>
        </w:rPr>
      </w:pPr>
    </w:p>
    <w:p w14:paraId="31A63C83" w14:textId="77777777" w:rsidR="00D21B14" w:rsidRPr="00AB4D06" w:rsidRDefault="00D21B14" w:rsidP="00D21B14">
      <w:pPr>
        <w:pStyle w:val="NormalWeb"/>
        <w:shd w:val="clear" w:color="auto" w:fill="FFFFFF"/>
        <w:spacing w:before="0" w:beforeAutospacing="0" w:after="0" w:afterAutospacing="0"/>
        <w:jc w:val="center"/>
        <w:textAlignment w:val="baseline"/>
        <w:rPr>
          <w:rFonts w:ascii="Arial" w:hAnsi="Arial" w:cs="Arial"/>
          <w:b/>
          <w:bCs/>
          <w:color w:val="C00000"/>
          <w:bdr w:val="none" w:sz="0" w:space="0" w:color="auto" w:frame="1"/>
        </w:rPr>
      </w:pPr>
      <w:bookmarkStart w:id="2" w:name="_GoBack"/>
      <w:r w:rsidRPr="00AB4D06">
        <w:rPr>
          <w:rFonts w:ascii="Arial" w:hAnsi="Arial" w:cs="Arial"/>
          <w:b/>
          <w:bCs/>
          <w:color w:val="C00000"/>
          <w:bdr w:val="none" w:sz="0" w:space="0" w:color="auto" w:frame="1"/>
        </w:rPr>
        <w:t>How Philipp Plein Triumphed Over Trademark Rejection in Vietnam</w:t>
      </w:r>
      <w:bookmarkEnd w:id="2"/>
      <w:r>
        <w:rPr>
          <w:rFonts w:ascii="Arial" w:hAnsi="Arial" w:cs="Arial"/>
          <w:b/>
          <w:bCs/>
          <w:color w:val="C00000"/>
          <w:bdr w:val="none" w:sz="0" w:space="0" w:color="auto" w:frame="1"/>
        </w:rPr>
        <w:t>?</w:t>
      </w:r>
    </w:p>
    <w:p w14:paraId="516C3CA3" w14:textId="77777777" w:rsidR="00D21B14" w:rsidRDefault="00D21B14" w:rsidP="00D21B14">
      <w:pPr>
        <w:pStyle w:val="NormalWeb"/>
        <w:shd w:val="clear" w:color="auto" w:fill="FFFFFF"/>
        <w:spacing w:before="0" w:beforeAutospacing="0" w:after="0" w:afterAutospacing="0"/>
        <w:jc w:val="both"/>
        <w:textAlignment w:val="baseline"/>
        <w:rPr>
          <w:rFonts w:ascii="Arial" w:hAnsi="Arial" w:cs="Arial"/>
          <w:color w:val="000000"/>
          <w:sz w:val="20"/>
          <w:szCs w:val="20"/>
          <w:shd w:val="clear" w:color="auto" w:fill="FFFFFF"/>
        </w:rPr>
      </w:pPr>
    </w:p>
    <w:p w14:paraId="405F2B42" w14:textId="77777777" w:rsidR="00D21B14" w:rsidRPr="00E45090" w:rsidRDefault="00D21B14" w:rsidP="00D21B14">
      <w:pPr>
        <w:pStyle w:val="NormalWeb"/>
        <w:shd w:val="clear" w:color="auto" w:fill="FFFFFF"/>
        <w:spacing w:before="0" w:beforeAutospacing="0" w:after="0" w:afterAutospacing="0"/>
        <w:jc w:val="both"/>
        <w:textAlignment w:val="baseline"/>
        <w:rPr>
          <w:rFonts w:ascii="Arial" w:hAnsi="Arial" w:cs="Arial"/>
          <w:color w:val="000000"/>
          <w:sz w:val="20"/>
          <w:szCs w:val="20"/>
          <w:shd w:val="clear" w:color="auto" w:fill="FFFFFF"/>
        </w:rPr>
      </w:pPr>
      <w:r w:rsidRPr="00E45090">
        <w:rPr>
          <w:rFonts w:ascii="Arial" w:hAnsi="Arial" w:cs="Arial"/>
          <w:color w:val="000000"/>
          <w:sz w:val="20"/>
          <w:szCs w:val="20"/>
          <w:shd w:val="clear" w:color="auto" w:fill="FFFFFF"/>
        </w:rPr>
        <w:t>Article 74.2 (e) of Law on IP stipulates that: “</w:t>
      </w:r>
      <w:r w:rsidRPr="00E45090">
        <w:rPr>
          <w:rStyle w:val="Emphasis"/>
          <w:rFonts w:ascii="Arial" w:hAnsi="Arial" w:cs="Arial"/>
          <w:color w:val="000000"/>
          <w:sz w:val="20"/>
          <w:szCs w:val="20"/>
          <w:bdr w:val="none" w:sz="0" w:space="0" w:color="auto" w:frame="1"/>
          <w:shd w:val="clear" w:color="auto" w:fill="FFFFFF"/>
        </w:rPr>
        <w:t>2. </w:t>
      </w:r>
      <w:r w:rsidRPr="00E45090">
        <w:rPr>
          <w:rFonts w:ascii="Arial" w:hAnsi="Arial" w:cs="Arial"/>
          <w:color w:val="000000"/>
          <w:sz w:val="20"/>
          <w:szCs w:val="20"/>
          <w:shd w:val="clear" w:color="auto" w:fill="FFFFFF"/>
        </w:rPr>
        <w:t>A mark shall be deemed to be indistinctive if it is a sign falling into one of the following categories: (e) </w:t>
      </w:r>
      <w:r w:rsidRPr="00E45090">
        <w:rPr>
          <w:rStyle w:val="Emphasis"/>
          <w:rFonts w:ascii="Arial" w:hAnsi="Arial" w:cs="Arial"/>
          <w:color w:val="000000"/>
          <w:sz w:val="20"/>
          <w:szCs w:val="20"/>
          <w:bdr w:val="none" w:sz="0" w:space="0" w:color="auto" w:frame="1"/>
          <w:shd w:val="clear" w:color="auto" w:fill="FFFFFF"/>
        </w:rPr>
        <w:t>Signs other than integrated marks which are identical with or confusingly similar to registered marks of identical or similar goods or services on the basis of applications for registration with earlier filing dates or priority dates, as applicable, including applications for registration of marks filed pursuant to a treaty of which the Socialist Republic of Vietnam is a member</w:t>
      </w:r>
      <w:r w:rsidRPr="00E45090">
        <w:rPr>
          <w:rFonts w:ascii="Arial" w:hAnsi="Arial" w:cs="Arial"/>
          <w:color w:val="000000"/>
          <w:sz w:val="20"/>
          <w:szCs w:val="20"/>
          <w:shd w:val="clear" w:color="auto" w:fill="FFFFFF"/>
        </w:rPr>
        <w:t xml:space="preserve">“. In order to assess the similarity of marks at issue, it is required </w:t>
      </w:r>
      <w:r w:rsidRPr="00E45090">
        <w:rPr>
          <w:rFonts w:ascii="Arial" w:hAnsi="Arial" w:cs="Arial"/>
          <w:b/>
          <w:bCs/>
          <w:color w:val="000000"/>
          <w:sz w:val="20"/>
          <w:szCs w:val="20"/>
          <w:shd w:val="clear" w:color="auto" w:fill="FFFFFF"/>
        </w:rPr>
        <w:t>(i)</w:t>
      </w:r>
      <w:r w:rsidRPr="00E45090">
        <w:rPr>
          <w:rFonts w:ascii="Arial" w:hAnsi="Arial" w:cs="Arial"/>
          <w:color w:val="000000"/>
          <w:sz w:val="20"/>
          <w:szCs w:val="20"/>
          <w:shd w:val="clear" w:color="auto" w:fill="FFFFFF"/>
        </w:rPr>
        <w:t> to compare an applied-for trademark to the cited mark(s) and concurrently, </w:t>
      </w:r>
      <w:r w:rsidRPr="00E45090">
        <w:rPr>
          <w:rFonts w:ascii="Arial" w:hAnsi="Arial" w:cs="Arial"/>
          <w:b/>
          <w:bCs/>
          <w:color w:val="000000"/>
          <w:sz w:val="20"/>
          <w:szCs w:val="20"/>
          <w:shd w:val="clear" w:color="auto" w:fill="FFFFFF"/>
        </w:rPr>
        <w:t>(ii)</w:t>
      </w:r>
      <w:r w:rsidRPr="00E45090">
        <w:rPr>
          <w:rFonts w:ascii="Arial" w:hAnsi="Arial" w:cs="Arial"/>
          <w:color w:val="000000"/>
          <w:sz w:val="20"/>
          <w:szCs w:val="20"/>
          <w:shd w:val="clear" w:color="auto" w:fill="FFFFFF"/>
        </w:rPr>
        <w:t> to compare goods or services bearing the marks in question. A likelihood of confusion of marks is established in case both above requirements are satisfied.</w:t>
      </w:r>
    </w:p>
    <w:p w14:paraId="1E0B47FD" w14:textId="77777777" w:rsidR="00D21B14" w:rsidRPr="00E45090" w:rsidRDefault="00D21B14" w:rsidP="00D21B14">
      <w:pPr>
        <w:pStyle w:val="NormalWeb"/>
        <w:shd w:val="clear" w:color="auto" w:fill="FFFFFF"/>
        <w:spacing w:before="0" w:beforeAutospacing="0" w:after="0" w:afterAutospacing="0"/>
        <w:jc w:val="both"/>
        <w:textAlignment w:val="baseline"/>
        <w:rPr>
          <w:rFonts w:ascii="Arial" w:hAnsi="Arial" w:cs="Arial"/>
          <w:color w:val="000000"/>
          <w:sz w:val="20"/>
          <w:szCs w:val="20"/>
          <w:shd w:val="clear" w:color="auto" w:fill="FFFFFF"/>
        </w:rPr>
      </w:pPr>
    </w:p>
    <w:p w14:paraId="31D5738D" w14:textId="77777777" w:rsidR="00D21B14" w:rsidRDefault="00D21B14" w:rsidP="00D21B14">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r w:rsidRPr="00E45090">
        <w:rPr>
          <w:rFonts w:ascii="Arial" w:hAnsi="Arial" w:cs="Arial"/>
          <w:color w:val="000000"/>
          <w:sz w:val="20"/>
          <w:szCs w:val="20"/>
          <w:bdr w:val="none" w:sz="0" w:space="0" w:color="auto" w:frame="1"/>
        </w:rPr>
        <w:t>Philipp Plein applied to register its mark “</w:t>
      </w:r>
      <w:r w:rsidRPr="00E45090">
        <w:rPr>
          <w:rFonts w:ascii="Arial" w:hAnsi="Arial" w:cs="Arial"/>
          <w:noProof/>
          <w:color w:val="000000"/>
          <w:sz w:val="20"/>
          <w:szCs w:val="20"/>
          <w:bdr w:val="none" w:sz="0" w:space="0" w:color="auto" w:frame="1"/>
        </w:rPr>
        <w:drawing>
          <wp:inline distT="0" distB="0" distL="0" distR="0" wp14:anchorId="066BEE3C" wp14:editId="759F3AAD">
            <wp:extent cx="790575" cy="685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685800"/>
                    </a:xfrm>
                    <a:prstGeom prst="rect">
                      <a:avLst/>
                    </a:prstGeom>
                    <a:noFill/>
                    <a:ln>
                      <a:noFill/>
                    </a:ln>
                  </pic:spPr>
                </pic:pic>
              </a:graphicData>
            </a:graphic>
          </wp:inline>
        </w:drawing>
      </w:r>
      <w:r w:rsidRPr="00E45090">
        <w:rPr>
          <w:rFonts w:ascii="Arial" w:hAnsi="Arial" w:cs="Arial"/>
          <w:color w:val="000000"/>
          <w:sz w:val="20"/>
          <w:szCs w:val="20"/>
          <w:bdr w:val="none" w:sz="0" w:space="0" w:color="auto" w:frame="1"/>
        </w:rPr>
        <w:t>” (“PP, device”) through the Madrid system under International Registration No. 1098038 for the goods in Classes 03, 14, 18, 20, 21, 24, 25 &amp; 28, covering “</w:t>
      </w:r>
      <w:r w:rsidRPr="00E45090">
        <w:rPr>
          <w:rStyle w:val="Emphasis"/>
          <w:rFonts w:ascii="Arial" w:hAnsi="Arial" w:cs="Arial"/>
          <w:color w:val="000000"/>
          <w:sz w:val="20"/>
          <w:szCs w:val="20"/>
          <w:bdr w:val="none" w:sz="0" w:space="0" w:color="auto" w:frame="1"/>
        </w:rPr>
        <w:t>Precious metals and their alloys and goods in precious metals or coated therewith, not included in other classes; jewelry; precious stones; horological and chronometric instruments</w:t>
      </w:r>
      <w:r w:rsidRPr="00E45090">
        <w:rPr>
          <w:rFonts w:ascii="Arial" w:hAnsi="Arial" w:cs="Arial"/>
          <w:color w:val="000000"/>
          <w:sz w:val="20"/>
          <w:szCs w:val="20"/>
          <w:bdr w:val="none" w:sz="0" w:space="0" w:color="auto" w:frame="1"/>
        </w:rPr>
        <w:t>” in Class 14 and “</w:t>
      </w:r>
      <w:r w:rsidRPr="00E45090">
        <w:rPr>
          <w:rStyle w:val="Emphasis"/>
          <w:rFonts w:ascii="Arial" w:hAnsi="Arial" w:cs="Arial"/>
          <w:color w:val="000000"/>
          <w:sz w:val="20"/>
          <w:szCs w:val="20"/>
          <w:bdr w:val="none" w:sz="0" w:space="0" w:color="auto" w:frame="1"/>
        </w:rPr>
        <w:t>Clothing, footwear, headgear” </w:t>
      </w:r>
      <w:r w:rsidRPr="00E45090">
        <w:rPr>
          <w:rFonts w:ascii="Arial" w:hAnsi="Arial" w:cs="Arial"/>
          <w:color w:val="000000"/>
          <w:sz w:val="20"/>
          <w:szCs w:val="20"/>
          <w:bdr w:val="none" w:sz="0" w:space="0" w:color="auto" w:frame="1"/>
        </w:rPr>
        <w:t>in Class 25 designating various countries, including Vietnam.</w:t>
      </w:r>
    </w:p>
    <w:p w14:paraId="64BEBC5D" w14:textId="77777777" w:rsidR="00D21B14" w:rsidRPr="00E45090" w:rsidRDefault="00D21B14" w:rsidP="00D21B14">
      <w:pPr>
        <w:pStyle w:val="NormalWeb"/>
        <w:shd w:val="clear" w:color="auto" w:fill="FFFFFF"/>
        <w:spacing w:before="0" w:beforeAutospacing="0" w:after="0" w:afterAutospacing="0"/>
        <w:jc w:val="both"/>
        <w:textAlignment w:val="baseline"/>
        <w:rPr>
          <w:rFonts w:ascii="Arial" w:hAnsi="Arial" w:cs="Arial"/>
          <w:color w:val="6A6A6A"/>
          <w:sz w:val="20"/>
          <w:szCs w:val="20"/>
        </w:rPr>
      </w:pPr>
    </w:p>
    <w:p w14:paraId="044D3B51" w14:textId="6EFD2062" w:rsidR="00D21B14" w:rsidRPr="00E45090" w:rsidRDefault="00D21B14" w:rsidP="00D21B14">
      <w:pPr>
        <w:pStyle w:val="NormalWeb"/>
        <w:shd w:val="clear" w:color="auto" w:fill="FFFFFF"/>
        <w:spacing w:before="0" w:beforeAutospacing="0" w:after="0" w:afterAutospacing="0"/>
        <w:jc w:val="both"/>
        <w:textAlignment w:val="baseline"/>
        <w:rPr>
          <w:rFonts w:ascii="Arial" w:hAnsi="Arial" w:cs="Arial"/>
          <w:color w:val="6A6A6A"/>
          <w:sz w:val="20"/>
          <w:szCs w:val="20"/>
        </w:rPr>
      </w:pPr>
      <w:r w:rsidRPr="00E45090">
        <w:rPr>
          <w:rFonts w:ascii="Arial" w:hAnsi="Arial" w:cs="Arial"/>
          <w:color w:val="000000"/>
          <w:sz w:val="20"/>
          <w:szCs w:val="20"/>
          <w:bdr w:val="none" w:sz="0" w:space="0" w:color="auto" w:frame="1"/>
        </w:rPr>
        <w:t xml:space="preserve">The </w:t>
      </w:r>
      <w:r w:rsidR="006A06D4">
        <w:rPr>
          <w:rFonts w:ascii="Arial" w:hAnsi="Arial" w:cs="Arial"/>
          <w:color w:val="000000"/>
          <w:sz w:val="20"/>
          <w:szCs w:val="20"/>
          <w:bdr w:val="none" w:sz="0" w:space="0" w:color="auto" w:frame="1"/>
        </w:rPr>
        <w:t>I</w:t>
      </w:r>
      <w:r w:rsidR="006A06D4" w:rsidRPr="006A06D4">
        <w:rPr>
          <w:rFonts w:ascii="Arial" w:hAnsi="Arial" w:cs="Arial"/>
          <w:color w:val="000000"/>
          <w:sz w:val="20"/>
          <w:szCs w:val="20"/>
          <w:bdr w:val="none" w:sz="0" w:space="0" w:color="auto" w:frame="1"/>
        </w:rPr>
        <w:t xml:space="preserve">ntellectual </w:t>
      </w:r>
      <w:r w:rsidR="006A06D4">
        <w:rPr>
          <w:rFonts w:ascii="Arial" w:hAnsi="Arial" w:cs="Arial"/>
          <w:color w:val="000000"/>
          <w:sz w:val="20"/>
          <w:szCs w:val="20"/>
          <w:bdr w:val="none" w:sz="0" w:space="0" w:color="auto" w:frame="1"/>
        </w:rPr>
        <w:t>P</w:t>
      </w:r>
      <w:r w:rsidR="006A06D4" w:rsidRPr="006A06D4">
        <w:rPr>
          <w:rFonts w:ascii="Arial" w:hAnsi="Arial" w:cs="Arial"/>
          <w:color w:val="000000"/>
          <w:sz w:val="20"/>
          <w:szCs w:val="20"/>
          <w:bdr w:val="none" w:sz="0" w:space="0" w:color="auto" w:frame="1"/>
        </w:rPr>
        <w:t>roperty</w:t>
      </w:r>
      <w:r w:rsidR="006A06D4">
        <w:rPr>
          <w:rFonts w:ascii="Arial" w:hAnsi="Arial" w:cs="Arial"/>
          <w:color w:val="000000"/>
          <w:sz w:val="20"/>
          <w:szCs w:val="20"/>
          <w:bdr w:val="none" w:sz="0" w:space="0" w:color="auto" w:frame="1"/>
        </w:rPr>
        <w:t xml:space="preserve"> </w:t>
      </w:r>
      <w:r w:rsidRPr="00E45090">
        <w:rPr>
          <w:rFonts w:ascii="Arial" w:hAnsi="Arial" w:cs="Arial"/>
          <w:color w:val="000000"/>
          <w:sz w:val="20"/>
          <w:szCs w:val="20"/>
          <w:bdr w:val="none" w:sz="0" w:space="0" w:color="auto" w:frame="1"/>
        </w:rPr>
        <w:t>Office of Vietnam (“</w:t>
      </w:r>
      <w:hyperlink r:id="rId8" w:tgtFrame="_blank" w:history="1">
        <w:r w:rsidRPr="00E45090">
          <w:rPr>
            <w:rStyle w:val="Strong"/>
            <w:rFonts w:ascii="Arial" w:hAnsi="Arial" w:cs="Arial"/>
            <w:color w:val="800000"/>
            <w:sz w:val="20"/>
            <w:szCs w:val="20"/>
            <w:bdr w:val="none" w:sz="0" w:space="0" w:color="auto" w:frame="1"/>
          </w:rPr>
          <w:t>IP Vietnam</w:t>
        </w:r>
      </w:hyperlink>
      <w:r w:rsidRPr="00E45090">
        <w:rPr>
          <w:rFonts w:ascii="Arial" w:hAnsi="Arial" w:cs="Arial"/>
          <w:color w:val="000000"/>
          <w:sz w:val="20"/>
          <w:szCs w:val="20"/>
          <w:bdr w:val="none" w:sz="0" w:space="0" w:color="auto" w:frame="1"/>
        </w:rPr>
        <w:t>“) refused registration of Philipp Plein’s “PP, device” mark on the ground is considered confusingly similar to two prior trademarks under Article 74.2 (e) Vietnam’s IP Law, specifically, the mark “</w:t>
      </w:r>
      <w:r w:rsidRPr="00E45090">
        <w:rPr>
          <w:rFonts w:ascii="Arial" w:hAnsi="Arial" w:cs="Arial"/>
          <w:noProof/>
          <w:color w:val="000000"/>
          <w:sz w:val="20"/>
          <w:szCs w:val="20"/>
          <w:bdr w:val="none" w:sz="0" w:space="0" w:color="auto" w:frame="1"/>
        </w:rPr>
        <w:drawing>
          <wp:inline distT="0" distB="0" distL="0" distR="0" wp14:anchorId="789AF89A" wp14:editId="6C403297">
            <wp:extent cx="1504950"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200150"/>
                    </a:xfrm>
                    <a:prstGeom prst="rect">
                      <a:avLst/>
                    </a:prstGeom>
                    <a:noFill/>
                    <a:ln>
                      <a:noFill/>
                    </a:ln>
                  </pic:spPr>
                </pic:pic>
              </a:graphicData>
            </a:graphic>
          </wp:inline>
        </w:drawing>
      </w:r>
      <w:r w:rsidRPr="00E45090">
        <w:rPr>
          <w:rFonts w:ascii="Arial" w:hAnsi="Arial" w:cs="Arial"/>
          <w:color w:val="000000"/>
          <w:sz w:val="20"/>
          <w:szCs w:val="20"/>
          <w:bdr w:val="none" w:sz="0" w:space="0" w:color="auto" w:frame="1"/>
        </w:rPr>
        <w:t>” (“QP, QUÝ PHÁT, device”) for the services in Class 35 (Trading in gold and silver) and 40 (Processing and processing of gold and silver) in the name of Quy Phat Jewelry Company Limited and the mark”</w:t>
      </w:r>
      <w:r w:rsidRPr="00E45090">
        <w:rPr>
          <w:rFonts w:ascii="Arial" w:hAnsi="Arial" w:cs="Arial"/>
          <w:noProof/>
          <w:color w:val="000000"/>
          <w:sz w:val="20"/>
          <w:szCs w:val="20"/>
          <w:bdr w:val="none" w:sz="0" w:space="0" w:color="auto" w:frame="1"/>
        </w:rPr>
        <w:drawing>
          <wp:inline distT="0" distB="0" distL="0" distR="0" wp14:anchorId="75E1B46D" wp14:editId="6ED3B740">
            <wp:extent cx="13335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895350"/>
                    </a:xfrm>
                    <a:prstGeom prst="rect">
                      <a:avLst/>
                    </a:prstGeom>
                    <a:noFill/>
                    <a:ln>
                      <a:noFill/>
                    </a:ln>
                  </pic:spPr>
                </pic:pic>
              </a:graphicData>
            </a:graphic>
          </wp:inline>
        </w:drawing>
      </w:r>
      <w:r w:rsidRPr="00E45090">
        <w:rPr>
          <w:rFonts w:ascii="Arial" w:hAnsi="Arial" w:cs="Arial"/>
          <w:color w:val="000000"/>
          <w:sz w:val="20"/>
          <w:szCs w:val="20"/>
          <w:bdr w:val="none" w:sz="0" w:space="0" w:color="auto" w:frame="1"/>
        </w:rPr>
        <w:t>” (“QP, QP FASHION”)  for the goods in Class 25 (Clothing…) in the name Do Van Hai.</w:t>
      </w:r>
    </w:p>
    <w:p w14:paraId="21E94BC0" w14:textId="77777777" w:rsidR="00D21B14" w:rsidRPr="00E45090" w:rsidRDefault="00D21B14" w:rsidP="00D21B14">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14:paraId="0E0BB681" w14:textId="77777777" w:rsidR="00D21B14" w:rsidRPr="00E45090" w:rsidRDefault="00D21B14" w:rsidP="00D21B14">
      <w:pPr>
        <w:pStyle w:val="NormalWeb"/>
        <w:shd w:val="clear" w:color="auto" w:fill="FFFFFF"/>
        <w:spacing w:before="0" w:beforeAutospacing="0" w:after="0" w:afterAutospacing="0"/>
        <w:jc w:val="both"/>
        <w:textAlignment w:val="baseline"/>
        <w:rPr>
          <w:rFonts w:ascii="Arial" w:hAnsi="Arial" w:cs="Arial"/>
          <w:color w:val="6A6A6A"/>
          <w:sz w:val="20"/>
          <w:szCs w:val="20"/>
        </w:rPr>
      </w:pPr>
    </w:p>
    <w:p w14:paraId="72653DB7" w14:textId="77777777" w:rsidR="00D21B14" w:rsidRPr="00E45090" w:rsidRDefault="00D21B14" w:rsidP="00D21B14">
      <w:pPr>
        <w:pStyle w:val="NormalWeb"/>
        <w:spacing w:before="0" w:beforeAutospacing="0" w:after="0" w:afterAutospacing="0"/>
        <w:jc w:val="both"/>
        <w:rPr>
          <w:rStyle w:val="Strong"/>
          <w:rFonts w:ascii="Arial" w:hAnsi="Arial" w:cs="Arial"/>
          <w:b w:val="0"/>
          <w:bCs w:val="0"/>
          <w:color w:val="000000"/>
          <w:sz w:val="20"/>
          <w:szCs w:val="20"/>
          <w:bdr w:val="none" w:sz="0" w:space="0" w:color="auto" w:frame="1"/>
          <w:shd w:val="clear" w:color="auto" w:fill="FFFFFF"/>
        </w:rPr>
      </w:pPr>
      <w:r w:rsidRPr="00E45090">
        <w:rPr>
          <w:rFonts w:ascii="Arial" w:hAnsi="Arial" w:cs="Arial"/>
          <w:color w:val="000000"/>
          <w:sz w:val="20"/>
          <w:szCs w:val="20"/>
          <w:shd w:val="clear" w:color="auto" w:fill="FFFFFF"/>
        </w:rPr>
        <w:t>Dissatisfied with IP Vietnam’s decision to resolve the appeal, Philipp Plein filed a second appeal with the Ministry of Science and Technology (</w:t>
      </w:r>
      <w:hyperlink r:id="rId11" w:tgtFrame="_blank" w:history="1">
        <w:r w:rsidRPr="00E45090">
          <w:rPr>
            <w:rStyle w:val="Strong"/>
            <w:rFonts w:ascii="Arial" w:hAnsi="Arial" w:cs="Arial"/>
            <w:color w:val="800000"/>
            <w:sz w:val="20"/>
            <w:szCs w:val="20"/>
            <w:bdr w:val="none" w:sz="0" w:space="0" w:color="auto" w:frame="1"/>
            <w:shd w:val="clear" w:color="auto" w:fill="FFFFFF"/>
          </w:rPr>
          <w:t>MOST</w:t>
        </w:r>
      </w:hyperlink>
      <w:r w:rsidRPr="00E45090">
        <w:rPr>
          <w:rFonts w:ascii="Arial" w:hAnsi="Arial" w:cs="Arial"/>
          <w:color w:val="000000"/>
          <w:sz w:val="20"/>
          <w:szCs w:val="20"/>
          <w:shd w:val="clear" w:color="auto" w:fill="FFFFFF"/>
        </w:rPr>
        <w:t xml:space="preserve">) –IP Vietnam’s superior agency. In the appeal, KENFOX provided and focused on the following analysis: </w:t>
      </w:r>
      <w:r w:rsidRPr="00E45090">
        <w:rPr>
          <w:rFonts w:ascii="Arial" w:hAnsi="Arial" w:cs="Arial"/>
          <w:b/>
          <w:bCs/>
          <w:color w:val="000000"/>
          <w:sz w:val="20"/>
          <w:szCs w:val="20"/>
          <w:shd w:val="clear" w:color="auto" w:fill="FFFFFF"/>
        </w:rPr>
        <w:t>(i)</w:t>
      </w:r>
      <w:r w:rsidRPr="00E45090">
        <w:rPr>
          <w:rFonts w:ascii="Arial" w:hAnsi="Arial" w:cs="Arial"/>
          <w:color w:val="000000"/>
          <w:sz w:val="20"/>
          <w:szCs w:val="20"/>
          <w:shd w:val="clear" w:color="auto" w:fill="FFFFFF"/>
        </w:rPr>
        <w:t xml:space="preserve"> Similarities and dissimilarities between the marks at issues; (ii) The portion is playing a key/fundamental role in performing the distinguishing function (origin-indicating function) for the marks in question; </w:t>
      </w:r>
      <w:r w:rsidRPr="00E45090">
        <w:rPr>
          <w:rFonts w:ascii="Arial" w:hAnsi="Arial" w:cs="Arial"/>
          <w:b/>
          <w:bCs/>
          <w:color w:val="000000"/>
          <w:sz w:val="20"/>
          <w:szCs w:val="20"/>
          <w:shd w:val="clear" w:color="auto" w:fill="FFFFFF"/>
        </w:rPr>
        <w:t>(iii)</w:t>
      </w:r>
      <w:r w:rsidRPr="00E45090">
        <w:rPr>
          <w:rFonts w:ascii="Arial" w:hAnsi="Arial" w:cs="Arial"/>
          <w:color w:val="000000"/>
          <w:sz w:val="20"/>
          <w:szCs w:val="20"/>
          <w:shd w:val="clear" w:color="auto" w:fill="FFFFFF"/>
        </w:rPr>
        <w:t xml:space="preserve"> Scope of protection of a trademark in Vietnam under Article 16 of Decree 103/2006/ND-CP with emphasis that separating a composite mark into two portions to assess the confusing similarities between it and an applied-for mark will distort and falsify the scope of protection of marks; and </w:t>
      </w:r>
      <w:r w:rsidRPr="00E45090">
        <w:rPr>
          <w:rFonts w:ascii="Arial" w:hAnsi="Arial" w:cs="Arial"/>
          <w:b/>
          <w:bCs/>
          <w:color w:val="000000"/>
          <w:sz w:val="20"/>
          <w:szCs w:val="20"/>
          <w:shd w:val="clear" w:color="auto" w:fill="FFFFFF"/>
        </w:rPr>
        <w:t>(iv)</w:t>
      </w:r>
      <w:r w:rsidRPr="00E45090">
        <w:rPr>
          <w:rFonts w:ascii="Arial" w:hAnsi="Arial" w:cs="Arial"/>
          <w:color w:val="000000"/>
          <w:sz w:val="20"/>
          <w:szCs w:val="20"/>
          <w:shd w:val="clear" w:color="auto" w:fill="FFFFFF"/>
        </w:rPr>
        <w:t xml:space="preserve"> </w:t>
      </w:r>
      <w:r w:rsidRPr="006A06D4">
        <w:rPr>
          <w:rFonts w:ascii="Arial" w:hAnsi="Arial" w:cs="Arial"/>
          <w:b/>
          <w:color w:val="000000"/>
          <w:sz w:val="20"/>
          <w:szCs w:val="20"/>
          <w:shd w:val="clear" w:color="auto" w:fill="FFFFFF"/>
        </w:rPr>
        <w:t xml:space="preserve">Some </w:t>
      </w:r>
      <w:r w:rsidRPr="00E45090">
        <w:rPr>
          <w:rFonts w:ascii="Arial" w:hAnsi="Arial" w:cs="Arial"/>
          <w:b/>
          <w:bCs/>
          <w:color w:val="000000"/>
          <w:sz w:val="20"/>
          <w:szCs w:val="20"/>
          <w:shd w:val="clear" w:color="auto" w:fill="FFFFFF"/>
        </w:rPr>
        <w:t>s</w:t>
      </w:r>
      <w:r w:rsidRPr="00E45090">
        <w:rPr>
          <w:rStyle w:val="Strong"/>
          <w:rFonts w:ascii="Arial" w:hAnsi="Arial" w:cs="Arial"/>
          <w:color w:val="000000"/>
          <w:sz w:val="20"/>
          <w:szCs w:val="20"/>
          <w:bdr w:val="none" w:sz="0" w:space="0" w:color="auto" w:frame="1"/>
          <w:shd w:val="clear" w:color="auto" w:fill="FFFFFF"/>
        </w:rPr>
        <w:t>imilar precedents to the case in question.</w:t>
      </w:r>
    </w:p>
    <w:p w14:paraId="30FD80EE" w14:textId="77777777" w:rsidR="00D21B14" w:rsidRPr="00E45090" w:rsidRDefault="00D21B14" w:rsidP="00D21B14">
      <w:pPr>
        <w:pStyle w:val="NormalWeb"/>
        <w:spacing w:before="0" w:beforeAutospacing="0" w:after="0" w:afterAutospacing="0"/>
        <w:jc w:val="both"/>
        <w:rPr>
          <w:rStyle w:val="Strong"/>
          <w:rFonts w:ascii="Arial" w:hAnsi="Arial" w:cs="Arial"/>
          <w:b w:val="0"/>
          <w:bCs w:val="0"/>
          <w:color w:val="000000"/>
          <w:sz w:val="20"/>
          <w:szCs w:val="20"/>
          <w:bdr w:val="none" w:sz="0" w:space="0" w:color="auto" w:frame="1"/>
          <w:shd w:val="clear" w:color="auto" w:fill="FFFFFF"/>
        </w:rPr>
      </w:pPr>
    </w:p>
    <w:p w14:paraId="0847F039" w14:textId="77777777" w:rsidR="00D21B14" w:rsidRPr="00E45090" w:rsidRDefault="00D21B14" w:rsidP="00D21B14">
      <w:pPr>
        <w:pStyle w:val="NormalWeb"/>
        <w:spacing w:before="0" w:beforeAutospacing="0" w:after="0" w:afterAutospacing="0"/>
        <w:jc w:val="both"/>
        <w:rPr>
          <w:rFonts w:ascii="Arial" w:hAnsi="Arial" w:cs="Arial"/>
          <w:color w:val="000000"/>
          <w:sz w:val="20"/>
          <w:szCs w:val="20"/>
          <w:shd w:val="clear" w:color="auto" w:fill="FFFFFF"/>
        </w:rPr>
      </w:pPr>
      <w:r w:rsidRPr="00E45090">
        <w:rPr>
          <w:rFonts w:ascii="Arial" w:hAnsi="Arial" w:cs="Arial"/>
          <w:color w:val="000000"/>
          <w:sz w:val="20"/>
          <w:szCs w:val="20"/>
          <w:shd w:val="clear" w:color="auto" w:fill="FFFFFF"/>
        </w:rPr>
        <w:t>To resolve the second appeal, an Oral Hearing was held with the participation of three parties, including: representatives of the MOST as the appeal settlement agency, representatives of the IP Vietnam as the responding party and the representatives of the Philipp Plein as the appellant.</w:t>
      </w:r>
    </w:p>
    <w:p w14:paraId="4AD7724E" w14:textId="77777777" w:rsidR="00D21B14" w:rsidRPr="00E45090" w:rsidRDefault="00D21B14" w:rsidP="00D21B14">
      <w:pPr>
        <w:pStyle w:val="NormalWeb"/>
        <w:spacing w:before="0" w:beforeAutospacing="0" w:after="0" w:afterAutospacing="0"/>
        <w:jc w:val="both"/>
        <w:rPr>
          <w:rFonts w:ascii="Arial" w:hAnsi="Arial" w:cs="Arial"/>
          <w:color w:val="000000"/>
          <w:sz w:val="20"/>
          <w:szCs w:val="20"/>
          <w:shd w:val="clear" w:color="auto" w:fill="FFFFFF"/>
        </w:rPr>
      </w:pPr>
    </w:p>
    <w:p w14:paraId="4648EBA2" w14:textId="02AC34C2" w:rsidR="00D21B14" w:rsidRPr="00E45090" w:rsidRDefault="00D21B14" w:rsidP="00D21B14">
      <w:pPr>
        <w:pStyle w:val="NormalWeb"/>
        <w:spacing w:before="0" w:beforeAutospacing="0" w:after="0" w:afterAutospacing="0"/>
        <w:jc w:val="both"/>
        <w:rPr>
          <w:rFonts w:ascii="Arial" w:hAnsi="Arial" w:cs="Arial"/>
          <w:color w:val="000000"/>
          <w:sz w:val="20"/>
          <w:szCs w:val="20"/>
          <w:shd w:val="clear" w:color="auto" w:fill="FFFFFF"/>
        </w:rPr>
      </w:pPr>
      <w:r w:rsidRPr="00E45090">
        <w:rPr>
          <w:rFonts w:ascii="Arial" w:hAnsi="Arial" w:cs="Arial"/>
          <w:color w:val="000000"/>
          <w:sz w:val="20"/>
          <w:szCs w:val="20"/>
          <w:shd w:val="clear" w:color="auto" w:fill="FFFFFF"/>
        </w:rPr>
        <w:t xml:space="preserve">After listening to the arguments and opinions of the involved parties, the related documents submitted into consideration, the MOST concluded that while the trademark applied for is composed of two letters, “PP” which in opposite position and the two cited marks also include the word “QP” in an opposite position, the similarity between these brands is insufficient/not to the extent that it can cause confusion </w:t>
      </w:r>
      <w:r w:rsidR="006A06D4" w:rsidRPr="00D03044">
        <w:rPr>
          <w:rFonts w:ascii="Arial" w:hAnsi="Arial" w:cs="Arial"/>
          <w:bCs/>
          <w:noProof/>
          <w:color w:val="C00000"/>
          <w:lang w:eastAsia="ko-KR"/>
        </w:rPr>
        <w:lastRenderedPageBreak/>
        <mc:AlternateContent>
          <mc:Choice Requires="wps">
            <w:drawing>
              <wp:anchor distT="0" distB="0" distL="114300" distR="114300" simplePos="0" relativeHeight="251665408" behindDoc="0" locked="0" layoutInCell="1" allowOverlap="1" wp14:anchorId="221DC570" wp14:editId="62D628F3">
                <wp:simplePos x="0" y="0"/>
                <wp:positionH relativeFrom="page">
                  <wp:posOffset>7143750</wp:posOffset>
                </wp:positionH>
                <wp:positionV relativeFrom="paragraph">
                  <wp:posOffset>-197485</wp:posOffset>
                </wp:positionV>
                <wp:extent cx="3086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3773CC" w14:textId="77777777" w:rsidR="006A06D4" w:rsidRPr="00BA68B8" w:rsidRDefault="006A06D4" w:rsidP="006A06D4">
                            <w:pPr>
                              <w:spacing w:after="0" w:line="240" w:lineRule="auto"/>
                              <w:rPr>
                                <w:rFonts w:ascii="Arial" w:hAnsi="Arial" w:cs="Arial"/>
                                <w:b/>
                                <w:color w:val="FFFFFF" w:themeColor="background1"/>
                                <w:sz w:val="20"/>
                                <w:szCs w:val="20"/>
                              </w:rPr>
                            </w:pPr>
                            <w:r w:rsidRPr="006A06D4">
                              <w:rPr>
                                <w:rFonts w:ascii="Arial" w:hAnsi="Arial" w:cs="Arial"/>
                                <w:b/>
                                <w:bCs/>
                                <w:color w:val="FFFFFF" w:themeColor="background1"/>
                                <w:sz w:val="20"/>
                                <w:szCs w:val="20"/>
                              </w:rPr>
                              <w:t>Overcoming refusal of trademark protection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DC570" id="Rectangle 8" o:spid="_x0000_s1028" style="position:absolute;left:0;text-align:left;margin-left:562.5pt;margin-top:-15.5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" fillcolor="#00b39c" strokecolor="#00b39c" strokeweight="0">
                <v:textbox style="layout-flow:vertical" inset=",1.3mm,1.3mm">
                  <w:txbxContent>
                    <w:p w14:paraId="733773CC" w14:textId="77777777" w:rsidR="006A06D4" w:rsidRPr="00BA68B8" w:rsidRDefault="006A06D4" w:rsidP="006A06D4">
                      <w:pPr>
                        <w:spacing w:after="0" w:line="240" w:lineRule="auto"/>
                        <w:rPr>
                          <w:rFonts w:ascii="Arial" w:hAnsi="Arial" w:cs="Arial"/>
                          <w:b/>
                          <w:color w:val="FFFFFF" w:themeColor="background1"/>
                          <w:sz w:val="20"/>
                          <w:szCs w:val="20"/>
                        </w:rPr>
                      </w:pPr>
                      <w:r w:rsidRPr="006A06D4">
                        <w:rPr>
                          <w:rFonts w:ascii="Arial" w:hAnsi="Arial" w:cs="Arial"/>
                          <w:b/>
                          <w:bCs/>
                          <w:color w:val="FFFFFF" w:themeColor="background1"/>
                          <w:sz w:val="20"/>
                          <w:szCs w:val="20"/>
                        </w:rPr>
                        <w:t>Overcoming refusal of trademark protection in Vietnam</w:t>
                      </w:r>
                    </w:p>
                  </w:txbxContent>
                </v:textbox>
                <w10:wrap anchorx="page"/>
              </v:rect>
            </w:pict>
          </mc:Fallback>
        </mc:AlternateContent>
      </w:r>
      <w:r w:rsidRPr="00E45090">
        <w:rPr>
          <w:rFonts w:ascii="Arial" w:hAnsi="Arial" w:cs="Arial"/>
          <w:color w:val="000000"/>
          <w:sz w:val="20"/>
          <w:szCs w:val="20"/>
          <w:shd w:val="clear" w:color="auto" w:fill="FFFFFF"/>
        </w:rPr>
        <w:t>for consumers and, thus, they are found distinguishable in their totality. The MOST issued a Decision on settlement of the second appeal, annulling the IP Vietnam’s refusal Decision and requesting the IP Vietnam to initiate procedures for protection of the mark “PP, device” under IR No. 1098038 in the name of Philipp Plein.</w:t>
      </w:r>
    </w:p>
    <w:p w14:paraId="768482C2" w14:textId="77777777" w:rsidR="00D21B14" w:rsidRPr="00E45090" w:rsidRDefault="00D21B14" w:rsidP="00D21B14">
      <w:pPr>
        <w:pStyle w:val="NormalWeb"/>
        <w:spacing w:before="0" w:beforeAutospacing="0" w:after="0" w:afterAutospacing="0"/>
        <w:jc w:val="both"/>
        <w:rPr>
          <w:rFonts w:ascii="Arial" w:hAnsi="Arial" w:cs="Arial"/>
          <w:color w:val="000000"/>
          <w:sz w:val="20"/>
          <w:szCs w:val="20"/>
          <w:shd w:val="clear" w:color="auto" w:fill="FFFFFF"/>
        </w:rPr>
      </w:pPr>
    </w:p>
    <w:p w14:paraId="549955AB" w14:textId="77777777" w:rsidR="00D21B14" w:rsidRPr="00E45090" w:rsidRDefault="00D21B14" w:rsidP="00D21B14">
      <w:pPr>
        <w:pStyle w:val="NormalWeb"/>
        <w:spacing w:before="0" w:beforeAutospacing="0" w:after="0" w:afterAutospacing="0"/>
        <w:jc w:val="both"/>
        <w:rPr>
          <w:rFonts w:ascii="Arial" w:hAnsi="Arial" w:cs="Arial"/>
          <w:b/>
          <w:bCs/>
          <w:color w:val="000000"/>
          <w:sz w:val="20"/>
          <w:szCs w:val="20"/>
        </w:rPr>
      </w:pPr>
      <w:r w:rsidRPr="00E45090">
        <w:rPr>
          <w:rFonts w:ascii="Arial" w:hAnsi="Arial" w:cs="Arial"/>
          <w:b/>
          <w:bCs/>
          <w:color w:val="000000"/>
          <w:sz w:val="20"/>
          <w:szCs w:val="20"/>
        </w:rPr>
        <w:t>Final thoughts:</w:t>
      </w:r>
    </w:p>
    <w:p w14:paraId="19787171" w14:textId="77777777" w:rsidR="00D21B14" w:rsidRPr="00E45090" w:rsidRDefault="00D21B14" w:rsidP="00D21B14">
      <w:pPr>
        <w:pStyle w:val="NormalWeb"/>
        <w:spacing w:before="0" w:beforeAutospacing="0" w:after="0" w:afterAutospacing="0"/>
        <w:jc w:val="both"/>
        <w:rPr>
          <w:rFonts w:ascii="Arial" w:hAnsi="Arial" w:cs="Arial"/>
          <w:color w:val="000000"/>
          <w:sz w:val="20"/>
          <w:szCs w:val="20"/>
        </w:rPr>
      </w:pPr>
    </w:p>
    <w:p w14:paraId="3CA4BA3E" w14:textId="77152EAA" w:rsidR="00D21B14" w:rsidRDefault="00D21B14" w:rsidP="00D21B14">
      <w:pPr>
        <w:spacing w:after="0" w:line="240" w:lineRule="auto"/>
        <w:jc w:val="both"/>
        <w:rPr>
          <w:rFonts w:ascii="Arial" w:hAnsi="Arial" w:cs="Arial"/>
          <w:sz w:val="20"/>
          <w:szCs w:val="20"/>
        </w:rPr>
      </w:pPr>
      <w:r w:rsidRPr="00E45090">
        <w:rPr>
          <w:rFonts w:ascii="Arial" w:hAnsi="Arial" w:cs="Arial"/>
          <w:sz w:val="20"/>
          <w:szCs w:val="20"/>
        </w:rPr>
        <w:t xml:space="preserve">Overcoming notices and decisions of refusal for trademark protection by </w:t>
      </w:r>
      <w:r>
        <w:rPr>
          <w:rFonts w:ascii="Arial" w:hAnsi="Arial" w:cs="Arial"/>
          <w:sz w:val="20"/>
          <w:szCs w:val="20"/>
        </w:rPr>
        <w:t>IP Vietnam</w:t>
      </w:r>
      <w:r w:rsidRPr="00E45090">
        <w:rPr>
          <w:rFonts w:ascii="Arial" w:hAnsi="Arial" w:cs="Arial"/>
          <w:sz w:val="20"/>
          <w:szCs w:val="20"/>
        </w:rPr>
        <w:t xml:space="preserve"> is consistently a challenging task, especially when a trademark application has faced rejection twice. Nevertheless, not every opportunity has closed. There will be various preparations and approaches to consider, but, most importantly, a wise and strategic approach is essential to secure ultimate victory for our clients</w:t>
      </w:r>
      <w:r>
        <w:rPr>
          <w:rFonts w:ascii="Arial" w:hAnsi="Arial" w:cs="Arial"/>
          <w:sz w:val="20"/>
          <w:szCs w:val="20"/>
        </w:rPr>
        <w:t xml:space="preserve">. </w:t>
      </w:r>
      <w:r w:rsidRPr="00AB4D06">
        <w:rPr>
          <w:rFonts w:ascii="Arial" w:hAnsi="Arial" w:cs="Arial"/>
          <w:sz w:val="20"/>
          <w:szCs w:val="20"/>
        </w:rPr>
        <w:t>The Oral Hearing for appeal resolution can also be viewed as a Simplified Court Hearing or Shortened Trial or Court Summary Proceedings to adjudicate a case, in which the Appeal Settlement Agency (MOST) serves as the Court, the appellant (IP Representative of the aplicant) acts as the plaintiff and the responding party (IP Vietnam) acts as the defendant.</w:t>
      </w:r>
    </w:p>
    <w:p w14:paraId="1689AD39" w14:textId="77777777" w:rsidR="00D21B14" w:rsidRDefault="00D21B14" w:rsidP="00D21B14">
      <w:pPr>
        <w:spacing w:after="0" w:line="240" w:lineRule="auto"/>
        <w:jc w:val="both"/>
        <w:rPr>
          <w:rFonts w:ascii="Arial" w:hAnsi="Arial" w:cs="Arial"/>
          <w:sz w:val="20"/>
          <w:szCs w:val="20"/>
        </w:rPr>
      </w:pPr>
    </w:p>
    <w:p w14:paraId="32A49438" w14:textId="3AC72F3C" w:rsidR="00596F50" w:rsidRPr="00E45090" w:rsidRDefault="00D21B14" w:rsidP="00D21B14">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r w:rsidRPr="00E45090">
        <w:rPr>
          <w:rFonts w:ascii="Arial" w:hAnsi="Arial" w:cs="Arial"/>
          <w:color w:val="000000"/>
          <w:sz w:val="20"/>
          <w:szCs w:val="20"/>
          <w:shd w:val="clear" w:color="auto" w:fill="FFFFFF"/>
        </w:rPr>
        <w:t>KENFOX attorneys, with extensive experience in multiple appeal proceedings, are prepared to advise in detail on documents required for the appeal procedure in Vietnam, as well as know how to analyze what content, focus on what points, to make effective use of documents to support complaints, respond to situations/developments in a flexible way to get an edge in the debating process for the clients.</w:t>
      </w: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3F586F" w:rsidP="0091740F">
                            <w:pPr>
                              <w:spacing w:before="20" w:afterLines="20" w:after="48" w:line="240" w:lineRule="auto"/>
                              <w:ind w:left="142"/>
                              <w:rPr>
                                <w:rFonts w:ascii="Arial" w:hAnsi="Arial" w:cs="Arial"/>
                                <w:b/>
                                <w:color w:val="000000" w:themeColor="text1"/>
                                <w:sz w:val="20"/>
                                <w:szCs w:val="20"/>
                              </w:rPr>
                            </w:pPr>
                            <w:hyperlink r:id="rId12"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1"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775D8A" w:rsidP="0091740F">
                      <w:pPr>
                        <w:spacing w:before="20" w:afterLines="20" w:after="48" w:line="240" w:lineRule="auto"/>
                        <w:ind w:left="142"/>
                        <w:rPr>
                          <w:rFonts w:ascii="Arial" w:hAnsi="Arial" w:cs="Arial"/>
                          <w:b/>
                          <w:color w:val="000000" w:themeColor="text1"/>
                          <w:sz w:val="20"/>
                          <w:szCs w:val="20"/>
                        </w:rPr>
                      </w:pPr>
                      <w:hyperlink r:id="rId13"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4"/>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36AEB" w14:textId="77777777" w:rsidR="003F586F" w:rsidRDefault="003F586F" w:rsidP="00E57781">
      <w:pPr>
        <w:spacing w:after="0" w:line="240" w:lineRule="auto"/>
      </w:pPr>
      <w:r>
        <w:separator/>
      </w:r>
    </w:p>
  </w:endnote>
  <w:endnote w:type="continuationSeparator" w:id="0">
    <w:p w14:paraId="4F7337B3" w14:textId="77777777" w:rsidR="003F586F" w:rsidRDefault="003F586F"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3F586F"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233E9" w14:textId="77777777" w:rsidR="003F586F" w:rsidRDefault="003F586F" w:rsidP="00E57781">
      <w:pPr>
        <w:spacing w:after="0" w:line="240" w:lineRule="auto"/>
      </w:pPr>
      <w:r>
        <w:separator/>
      </w:r>
    </w:p>
  </w:footnote>
  <w:footnote w:type="continuationSeparator" w:id="0">
    <w:p w14:paraId="50A917C0" w14:textId="77777777" w:rsidR="003F586F" w:rsidRDefault="003F586F"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19"/>
  </w:num>
  <w:num w:numId="11">
    <w:abstractNumId w:val="10"/>
  </w:num>
  <w:num w:numId="12">
    <w:abstractNumId w:val="0"/>
  </w:num>
  <w:num w:numId="13">
    <w:abstractNumId w:val="8"/>
  </w:num>
  <w:num w:numId="14">
    <w:abstractNumId w:val="18"/>
  </w:num>
  <w:num w:numId="15">
    <w:abstractNumId w:val="6"/>
  </w:num>
  <w:num w:numId="16">
    <w:abstractNumId w:val="7"/>
  </w:num>
  <w:num w:numId="17">
    <w:abstractNumId w:val="3"/>
  </w:num>
  <w:num w:numId="18">
    <w:abstractNumId w:val="12"/>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95720"/>
    <w:rsid w:val="002E575F"/>
    <w:rsid w:val="00313195"/>
    <w:rsid w:val="00321A9E"/>
    <w:rsid w:val="0033521E"/>
    <w:rsid w:val="00357E95"/>
    <w:rsid w:val="00396A1B"/>
    <w:rsid w:val="003A5F95"/>
    <w:rsid w:val="003C1D82"/>
    <w:rsid w:val="003C7045"/>
    <w:rsid w:val="003E509C"/>
    <w:rsid w:val="003E5AFB"/>
    <w:rsid w:val="003F586F"/>
    <w:rsid w:val="003F65EB"/>
    <w:rsid w:val="00405F9C"/>
    <w:rsid w:val="004144A5"/>
    <w:rsid w:val="00442FA4"/>
    <w:rsid w:val="004731D4"/>
    <w:rsid w:val="00487067"/>
    <w:rsid w:val="00502998"/>
    <w:rsid w:val="005040D5"/>
    <w:rsid w:val="0051768B"/>
    <w:rsid w:val="0052015C"/>
    <w:rsid w:val="00531F0D"/>
    <w:rsid w:val="005479E4"/>
    <w:rsid w:val="005529BC"/>
    <w:rsid w:val="0057237B"/>
    <w:rsid w:val="00596F50"/>
    <w:rsid w:val="005A0E45"/>
    <w:rsid w:val="006005C9"/>
    <w:rsid w:val="0061522B"/>
    <w:rsid w:val="006558CB"/>
    <w:rsid w:val="00683FB4"/>
    <w:rsid w:val="006A0298"/>
    <w:rsid w:val="006A06D4"/>
    <w:rsid w:val="0072710A"/>
    <w:rsid w:val="0073186B"/>
    <w:rsid w:val="00742A2F"/>
    <w:rsid w:val="00772784"/>
    <w:rsid w:val="00775D8A"/>
    <w:rsid w:val="00776ABB"/>
    <w:rsid w:val="007B682C"/>
    <w:rsid w:val="007F1AA2"/>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7F3D"/>
    <w:rsid w:val="00B25E48"/>
    <w:rsid w:val="00B41A3D"/>
    <w:rsid w:val="00B5732E"/>
    <w:rsid w:val="00B66E4F"/>
    <w:rsid w:val="00B77947"/>
    <w:rsid w:val="00B9182F"/>
    <w:rsid w:val="00BB26A1"/>
    <w:rsid w:val="00BF60AC"/>
    <w:rsid w:val="00C02E1E"/>
    <w:rsid w:val="00C200E1"/>
    <w:rsid w:val="00C218CC"/>
    <w:rsid w:val="00C35C43"/>
    <w:rsid w:val="00C41FBD"/>
    <w:rsid w:val="00C5147E"/>
    <w:rsid w:val="00C9104F"/>
    <w:rsid w:val="00CD712A"/>
    <w:rsid w:val="00D1374F"/>
    <w:rsid w:val="00D16F5D"/>
    <w:rsid w:val="00D21B14"/>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vietnam.gov.vn/en/web/english/home" TargetMode="External"/><Relationship Id="rId13" Type="http://schemas.openxmlformats.org/officeDocument/2006/relationships/hyperlink" Target="https://kenfoxlaw.com/wp-content/uploads/2020/09/Lao-PDR_Law-on-Intellectual-Property-No-38_15-11-2017_Eng.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kenfoxlaw.com/wp-content/uploads/2020/09/Lao-PDR_Law-on-Intellectual-Property-No-38_15-11-2017_Eng.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st.gov.vn/en/Pages/home.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2</cp:revision>
  <cp:lastPrinted>2023-12-07T07:05:00Z</cp:lastPrinted>
  <dcterms:created xsi:type="dcterms:W3CDTF">2023-12-07T07:08:00Z</dcterms:created>
  <dcterms:modified xsi:type="dcterms:W3CDTF">2023-12-07T07:08:00Z</dcterms:modified>
</cp:coreProperties>
</file>