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35CD1B" w14:textId="2286DF44" w:rsidR="00745E08" w:rsidRPr="00745E08" w:rsidRDefault="004D64BC" w:rsidP="00745E08">
      <w:pPr>
        <w:jc w:val="center"/>
        <w:outlineLvl w:val="0"/>
        <w:rPr>
          <w:rFonts w:ascii="Arial" w:hAnsi="Arial" w:cs="Arial"/>
          <w:b/>
          <w:iCs/>
          <w:color w:val="C00000"/>
        </w:rPr>
      </w:pPr>
      <w:r w:rsidRPr="00745E08">
        <w:rPr>
          <w:rFonts w:ascii="Arial" w:hAnsi="Arial" w:cs="Arial"/>
          <w:b/>
          <w:bCs/>
          <w:noProof/>
          <w:color w:val="C00000"/>
          <w:sz w:val="24"/>
          <w:szCs w:val="24"/>
          <w:lang w:eastAsia="ko-KR"/>
        </w:rPr>
        <mc:AlternateContent>
          <mc:Choice Requires="wps">
            <w:drawing>
              <wp:anchor distT="0" distB="0" distL="114300" distR="114300" simplePos="0" relativeHeight="251663360" behindDoc="0" locked="0" layoutInCell="1" allowOverlap="1" wp14:anchorId="2DCC2FA5" wp14:editId="5C48D245">
                <wp:simplePos x="0" y="0"/>
                <wp:positionH relativeFrom="column">
                  <wp:posOffset>6385891</wp:posOffset>
                </wp:positionH>
                <wp:positionV relativeFrom="paragraph">
                  <wp:posOffset>-379095</wp:posOffset>
                </wp:positionV>
                <wp:extent cx="346710" cy="10325735"/>
                <wp:effectExtent l="0" t="0" r="15240" b="18415"/>
                <wp:wrapNone/>
                <wp:docPr id="7" name="Rectangle 7"/>
                <wp:cNvGraphicFramePr/>
                <a:graphic xmlns:a="http://schemas.openxmlformats.org/drawingml/2006/main">
                  <a:graphicData uri="http://schemas.microsoft.com/office/word/2010/wordprocessingShape">
                    <wps:wsp>
                      <wps:cNvSpPr/>
                      <wps:spPr>
                        <a:xfrm>
                          <a:off x="0" y="0"/>
                          <a:ext cx="346710" cy="10325735"/>
                        </a:xfrm>
                        <a:prstGeom prst="rect">
                          <a:avLst/>
                        </a:prstGeom>
                        <a:solidFill>
                          <a:srgbClr val="00B39C"/>
                        </a:solidFill>
                        <a:ln w="0">
                          <a:solidFill>
                            <a:srgbClr val="00B39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E54C250" w14:textId="569DF10E" w:rsidR="00FA2CEE" w:rsidRPr="00BA68B8" w:rsidRDefault="00745E08" w:rsidP="00FA2CEE">
                            <w:pPr>
                              <w:spacing w:after="0" w:line="240" w:lineRule="auto"/>
                              <w:rPr>
                                <w:rFonts w:ascii="Arial" w:hAnsi="Arial" w:cs="Arial"/>
                                <w:b/>
                                <w:color w:val="FFFFFF" w:themeColor="background1"/>
                                <w:sz w:val="20"/>
                                <w:szCs w:val="20"/>
                              </w:rPr>
                            </w:pPr>
                            <w:r w:rsidRPr="00745E08">
                              <w:rPr>
                                <w:rFonts w:ascii="Arial" w:hAnsi="Arial" w:cs="Arial"/>
                                <w:b/>
                                <w:bCs/>
                                <w:color w:val="FFFFFF" w:themeColor="background1"/>
                                <w:sz w:val="20"/>
                                <w:szCs w:val="20"/>
                              </w:rPr>
                              <w:t>Infringement of intellectual property rights</w:t>
                            </w: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CC2FA5" id="Rectangle 7" o:spid="_x0000_s1026" style="position:absolute;left:0;text-align:left;margin-left:502.85pt;margin-top:-29.85pt;width:27.3pt;height:813.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" fillcolor="#00b39c" strokecolor="#00b39c" strokeweight="0">
                <v:textbox style="layout-flow:vertical">
                  <w:txbxContent>
                    <w:p w14:paraId="0E54C250" w14:textId="569DF10E" w:rsidR="00FA2CEE" w:rsidRPr="00BA68B8" w:rsidRDefault="00745E08" w:rsidP="00FA2CEE">
                      <w:pPr>
                        <w:spacing w:after="0" w:line="240" w:lineRule="auto"/>
                        <w:rPr>
                          <w:rFonts w:ascii="Arial" w:hAnsi="Arial" w:cs="Arial"/>
                          <w:b/>
                          <w:color w:val="FFFFFF" w:themeColor="background1"/>
                          <w:sz w:val="20"/>
                          <w:szCs w:val="20"/>
                        </w:rPr>
                      </w:pPr>
                      <w:r w:rsidRPr="00745E08">
                        <w:rPr>
                          <w:rFonts w:ascii="Arial" w:hAnsi="Arial" w:cs="Arial"/>
                          <w:b/>
                          <w:bCs/>
                          <w:color w:val="FFFFFF" w:themeColor="background1"/>
                          <w:sz w:val="20"/>
                          <w:szCs w:val="20"/>
                        </w:rPr>
                        <w:t>Infringement of intellectual property rights</w:t>
                      </w:r>
                    </w:p>
                  </w:txbxContent>
                </v:textbox>
              </v:rect>
            </w:pict>
          </mc:Fallback>
        </mc:AlternateContent>
      </w:r>
      <w:r w:rsidR="00745E08" w:rsidRPr="00745E08">
        <w:rPr>
          <w:rFonts w:ascii="Arial" w:hAnsi="Arial" w:cs="Arial"/>
          <w:b/>
          <w:bCs/>
          <w:noProof/>
          <w:color w:val="C00000"/>
          <w:lang w:eastAsia="ko-KR"/>
        </w:rPr>
        <mc:AlternateContent>
          <mc:Choice Requires="wps">
            <w:drawing>
              <wp:anchor distT="0" distB="0" distL="114300" distR="114300" simplePos="0" relativeHeight="251661312" behindDoc="0" locked="0" layoutInCell="1" allowOverlap="1" wp14:anchorId="08F771EF" wp14:editId="6D42C6A3">
                <wp:simplePos x="0" y="0"/>
                <wp:positionH relativeFrom="page">
                  <wp:posOffset>190555</wp:posOffset>
                </wp:positionH>
                <wp:positionV relativeFrom="paragraph">
                  <wp:posOffset>-542042</wp:posOffset>
                </wp:positionV>
                <wp:extent cx="3975100" cy="266700"/>
                <wp:effectExtent l="0" t="0" r="25400" b="19050"/>
                <wp:wrapNone/>
                <wp:docPr id="14" name="Rectangle 14"/>
                <wp:cNvGraphicFramePr/>
                <a:graphic xmlns:a="http://schemas.openxmlformats.org/drawingml/2006/main">
                  <a:graphicData uri="http://schemas.microsoft.com/office/word/2010/wordprocessingShape">
                    <wps:wsp>
                      <wps:cNvSpPr/>
                      <wps:spPr>
                        <a:xfrm>
                          <a:off x="0" y="0"/>
                          <a:ext cx="3975100" cy="266700"/>
                        </a:xfrm>
                        <a:prstGeom prst="rect">
                          <a:avLst/>
                        </a:prstGeom>
                        <a:solidFill>
                          <a:srgbClr val="F56B2E"/>
                        </a:solidFill>
                        <a:ln>
                          <a:solidFill>
                            <a:srgbClr val="F56B2E"/>
                          </a:solidFill>
                        </a:ln>
                      </wps:spPr>
                      <wps:style>
                        <a:lnRef idx="2">
                          <a:schemeClr val="accent6"/>
                        </a:lnRef>
                        <a:fillRef idx="1">
                          <a:schemeClr val="lt1"/>
                        </a:fillRef>
                        <a:effectRef idx="0">
                          <a:schemeClr val="accent6"/>
                        </a:effectRef>
                        <a:fontRef idx="minor">
                          <a:schemeClr val="dk1"/>
                        </a:fontRef>
                      </wps:style>
                      <wps:txbx>
                        <w:txbxContent>
                          <w:p w14:paraId="662EAEA3" w14:textId="629BEC41" w:rsidR="00FA2CEE" w:rsidRPr="00CC7576" w:rsidRDefault="00745E08" w:rsidP="00FA2CEE">
                            <w:pPr>
                              <w:spacing w:after="0"/>
                              <w:jc w:val="center"/>
                              <w:rPr>
                                <w:rFonts w:ascii="Arial" w:hAnsi="Arial" w:cs="Arial"/>
                                <w:b/>
                                <w:color w:val="FFFFFF" w:themeColor="background1"/>
                                <w:sz w:val="20"/>
                                <w:szCs w:val="20"/>
                              </w:rPr>
                            </w:pPr>
                            <w:r w:rsidRPr="00745E08">
                              <w:rPr>
                                <w:rFonts w:ascii="Arial" w:hAnsi="Arial" w:cs="Arial"/>
                                <w:b/>
                                <w:bCs/>
                                <w:color w:val="FFFFFF" w:themeColor="background1"/>
                                <w:sz w:val="20"/>
                                <w:szCs w:val="20"/>
                              </w:rPr>
                              <w:t>Infringement of intellectual property rights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F771EF" id="Rectangle 14" o:spid="_x0000_s1027" style="position:absolute;left:0;text-align:left;margin-left:15pt;margin-top:-42.7pt;width:313pt;height:21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" fillcolor="#f56b2e" strokecolor="#f56b2e" strokeweight="1pt">
                <v:textbox>
                  <w:txbxContent>
                    <w:p w14:paraId="662EAEA3" w14:textId="629BEC41" w:rsidR="00FA2CEE" w:rsidRPr="00CC7576" w:rsidRDefault="00745E08" w:rsidP="00FA2CEE">
                      <w:pPr>
                        <w:spacing w:after="0"/>
                        <w:jc w:val="center"/>
                        <w:rPr>
                          <w:rFonts w:ascii="Arial" w:hAnsi="Arial" w:cs="Arial"/>
                          <w:b/>
                          <w:color w:val="FFFFFF" w:themeColor="background1"/>
                          <w:sz w:val="20"/>
                          <w:szCs w:val="20"/>
                        </w:rPr>
                      </w:pPr>
                      <w:r w:rsidRPr="00745E08">
                        <w:rPr>
                          <w:rFonts w:ascii="Arial" w:hAnsi="Arial" w:cs="Arial"/>
                          <w:b/>
                          <w:bCs/>
                          <w:color w:val="FFFFFF" w:themeColor="background1"/>
                          <w:sz w:val="20"/>
                          <w:szCs w:val="20"/>
                        </w:rPr>
                        <w:t>Infringement of intellectual property rights</w:t>
                      </w:r>
                    </w:p>
                  </w:txbxContent>
                </v:textbox>
                <w10:wrap anchorx="page"/>
              </v:rect>
            </w:pict>
          </mc:Fallback>
        </mc:AlternateContent>
      </w:r>
      <w:r w:rsidR="00745E08" w:rsidRPr="00745E08">
        <w:rPr>
          <w:rFonts w:ascii="Arial" w:hAnsi="Arial" w:cs="Arial"/>
          <w:b/>
          <w:iCs/>
          <w:color w:val="C00000"/>
        </w:rPr>
        <w:t xml:space="preserve">Cease &amp; Desist Letter in IPR Dispute and Infringement handling in Vietnam – </w:t>
      </w:r>
    </w:p>
    <w:p w14:paraId="14888951" w14:textId="368EE228" w:rsidR="00D03044" w:rsidRPr="00745E08" w:rsidRDefault="00745E08" w:rsidP="00745E08">
      <w:pPr>
        <w:jc w:val="center"/>
        <w:outlineLvl w:val="0"/>
        <w:rPr>
          <w:rFonts w:ascii="Arial" w:hAnsi="Arial" w:cs="Arial"/>
          <w:b/>
          <w:iCs/>
          <w:sz w:val="20"/>
          <w:szCs w:val="20"/>
        </w:rPr>
      </w:pPr>
      <w:r w:rsidRPr="00745E08">
        <w:rPr>
          <w:rFonts w:ascii="Arial" w:hAnsi="Arial" w:cs="Arial"/>
          <w:b/>
          <w:iCs/>
          <w:color w:val="C00000"/>
        </w:rPr>
        <w:t>What should be noted?</w:t>
      </w:r>
    </w:p>
    <w:p w14:paraId="15F05EEB" w14:textId="77777777" w:rsidR="007375E8" w:rsidRPr="007375E8" w:rsidRDefault="007375E8" w:rsidP="007375E8">
      <w:pPr>
        <w:spacing w:after="0" w:line="240" w:lineRule="auto"/>
        <w:jc w:val="both"/>
        <w:rPr>
          <w:rFonts w:ascii="Arial" w:hAnsi="Arial" w:cs="Arial"/>
          <w:iCs/>
          <w:sz w:val="20"/>
          <w:szCs w:val="20"/>
        </w:rPr>
      </w:pPr>
    </w:p>
    <w:p w14:paraId="417618DD" w14:textId="789B8E29" w:rsidR="007375E8" w:rsidRPr="00745E08" w:rsidRDefault="007375E8" w:rsidP="007375E8">
      <w:pPr>
        <w:spacing w:after="0" w:line="240" w:lineRule="auto"/>
        <w:jc w:val="both"/>
        <w:rPr>
          <w:rFonts w:ascii="Arial" w:hAnsi="Arial" w:cs="Arial"/>
          <w:i/>
          <w:iCs/>
          <w:sz w:val="20"/>
          <w:szCs w:val="20"/>
        </w:rPr>
      </w:pPr>
      <w:r w:rsidRPr="00745E08">
        <w:rPr>
          <w:rFonts w:ascii="Arial" w:hAnsi="Arial" w:cs="Arial"/>
          <w:i/>
          <w:iCs/>
          <w:sz w:val="20"/>
          <w:szCs w:val="20"/>
        </w:rPr>
        <w:t>Cease &amp; Desist Letter (</w:t>
      </w:r>
      <w:hyperlink r:id="rId7" w:history="1">
        <w:r w:rsidRPr="007C392A">
          <w:rPr>
            <w:rStyle w:val="Hyperlink"/>
            <w:rFonts w:ascii="Arial" w:hAnsi="Arial" w:cs="Arial"/>
            <w:i/>
            <w:iCs/>
            <w:sz w:val="20"/>
            <w:szCs w:val="20"/>
          </w:rPr>
          <w:t>C&amp;D Letter</w:t>
        </w:r>
      </w:hyperlink>
      <w:r w:rsidRPr="00745E08">
        <w:rPr>
          <w:rFonts w:ascii="Arial" w:hAnsi="Arial" w:cs="Arial"/>
          <w:i/>
          <w:iCs/>
          <w:sz w:val="20"/>
          <w:szCs w:val="20"/>
        </w:rPr>
        <w:t xml:space="preserve">) on infringement of intellectual property rights (IPR) is considered a "soft" measure that is flexibly used by various rights holders to cope with alleged IPR infringements. In some cases, sending a C&amp;D Letter instead of requesting intervention from the Vietnamese enforcement authorities seems to be effective as the infringement is immediately terminated. But all this may still be just the top of the iceberg. Sending a C&amp;D Letter to the alleged infringer can sometimes put the right holder into unforeseen difficulties. From the perspective of the party that is alleged to be infringing on IP rights, failure to understand the provisions and protection mechanisms of IP Law may lead to the acceptance of requests from the IP rights holders set out in the C&amp;D Letter and deprive them of legitimate rights and interests that they should not have given up. </w:t>
      </w:r>
    </w:p>
    <w:p w14:paraId="6AA4B8AA" w14:textId="77777777" w:rsidR="007375E8" w:rsidRPr="007375E8" w:rsidRDefault="007375E8" w:rsidP="007375E8">
      <w:pPr>
        <w:spacing w:after="0" w:line="240" w:lineRule="auto"/>
        <w:jc w:val="both"/>
        <w:rPr>
          <w:rFonts w:ascii="Arial" w:hAnsi="Arial" w:cs="Arial"/>
          <w:iCs/>
          <w:sz w:val="20"/>
          <w:szCs w:val="20"/>
        </w:rPr>
      </w:pPr>
    </w:p>
    <w:p w14:paraId="4C4D3E8E" w14:textId="77777777" w:rsidR="007375E8" w:rsidRPr="00745E08" w:rsidRDefault="007375E8" w:rsidP="007375E8">
      <w:pPr>
        <w:spacing w:after="0" w:line="240" w:lineRule="auto"/>
        <w:jc w:val="both"/>
        <w:rPr>
          <w:rFonts w:ascii="Arial" w:eastAsia="Calibri" w:hAnsi="Arial" w:cs="Arial"/>
          <w:b/>
          <w:bCs/>
          <w:color w:val="0000FF"/>
          <w:sz w:val="20"/>
          <w:szCs w:val="20"/>
        </w:rPr>
      </w:pPr>
      <w:r w:rsidRPr="00745E08">
        <w:rPr>
          <w:rFonts w:ascii="Arial" w:eastAsia="Calibri" w:hAnsi="Arial" w:cs="Arial"/>
          <w:b/>
          <w:bCs/>
          <w:color w:val="0000FF"/>
          <w:sz w:val="20"/>
          <w:szCs w:val="20"/>
        </w:rPr>
        <w:t>What is a C&amp;D Letter?</w:t>
      </w:r>
    </w:p>
    <w:p w14:paraId="4A659D89" w14:textId="77777777" w:rsidR="007375E8" w:rsidRPr="007375E8" w:rsidRDefault="007375E8" w:rsidP="007375E8">
      <w:pPr>
        <w:spacing w:after="0" w:line="240" w:lineRule="auto"/>
        <w:jc w:val="both"/>
        <w:rPr>
          <w:rFonts w:ascii="Arial" w:hAnsi="Arial" w:cs="Arial"/>
          <w:iCs/>
          <w:sz w:val="20"/>
          <w:szCs w:val="20"/>
        </w:rPr>
      </w:pPr>
    </w:p>
    <w:p w14:paraId="37596357" w14:textId="77777777" w:rsidR="007375E8" w:rsidRPr="007375E8" w:rsidRDefault="007375E8" w:rsidP="007375E8">
      <w:pPr>
        <w:spacing w:after="0" w:line="240" w:lineRule="auto"/>
        <w:jc w:val="both"/>
        <w:rPr>
          <w:rFonts w:ascii="Arial" w:hAnsi="Arial" w:cs="Arial"/>
          <w:iCs/>
          <w:sz w:val="20"/>
          <w:szCs w:val="20"/>
        </w:rPr>
      </w:pPr>
      <w:r w:rsidRPr="007375E8">
        <w:rPr>
          <w:rFonts w:ascii="Arial" w:hAnsi="Arial" w:cs="Arial"/>
          <w:iCs/>
          <w:sz w:val="20"/>
          <w:szCs w:val="20"/>
        </w:rPr>
        <w:t xml:space="preserve">C&amp;D Letter is a document issued by an IPR holder to provide information and data on IP rights, analysis and assessment of IPR infringement, evidence of an alleged infringement or evidence of a infringement, and request the suspected infringing party to, among other things, cease the infringement without recourse to the enforcement agency. </w:t>
      </w:r>
    </w:p>
    <w:p w14:paraId="7B44E0E3" w14:textId="77777777" w:rsidR="007375E8" w:rsidRPr="007375E8" w:rsidRDefault="007375E8" w:rsidP="007375E8">
      <w:pPr>
        <w:spacing w:after="0" w:line="240" w:lineRule="auto"/>
        <w:jc w:val="both"/>
        <w:rPr>
          <w:rFonts w:ascii="Arial" w:hAnsi="Arial" w:cs="Arial"/>
          <w:iCs/>
          <w:sz w:val="20"/>
          <w:szCs w:val="20"/>
        </w:rPr>
      </w:pPr>
    </w:p>
    <w:p w14:paraId="1C744DF7" w14:textId="77777777" w:rsidR="007375E8" w:rsidRPr="00745E08" w:rsidRDefault="007375E8" w:rsidP="007375E8">
      <w:pPr>
        <w:spacing w:after="0" w:line="240" w:lineRule="auto"/>
        <w:jc w:val="both"/>
        <w:rPr>
          <w:rFonts w:ascii="Arial" w:eastAsia="Calibri" w:hAnsi="Arial" w:cs="Arial"/>
          <w:b/>
          <w:bCs/>
          <w:color w:val="0000FF"/>
          <w:sz w:val="20"/>
          <w:szCs w:val="20"/>
        </w:rPr>
      </w:pPr>
      <w:r w:rsidRPr="00745E08">
        <w:rPr>
          <w:rFonts w:ascii="Arial" w:eastAsia="Calibri" w:hAnsi="Arial" w:cs="Arial"/>
          <w:b/>
          <w:bCs/>
          <w:color w:val="0000FF"/>
          <w:sz w:val="20"/>
          <w:szCs w:val="20"/>
        </w:rPr>
        <w:t>Is it mandatory to send a C&amp;D Letter to resolve IPR disputes in Vietnam?</w:t>
      </w:r>
    </w:p>
    <w:p w14:paraId="34DFCCFB" w14:textId="77777777" w:rsidR="007375E8" w:rsidRPr="007375E8" w:rsidRDefault="007375E8" w:rsidP="007375E8">
      <w:pPr>
        <w:spacing w:after="0" w:line="240" w:lineRule="auto"/>
        <w:jc w:val="both"/>
        <w:rPr>
          <w:rFonts w:ascii="Arial" w:hAnsi="Arial" w:cs="Arial"/>
          <w:iCs/>
          <w:sz w:val="20"/>
          <w:szCs w:val="20"/>
        </w:rPr>
      </w:pPr>
    </w:p>
    <w:p w14:paraId="08C78145" w14:textId="77777777" w:rsidR="007375E8" w:rsidRPr="007375E8" w:rsidRDefault="007375E8" w:rsidP="007375E8">
      <w:pPr>
        <w:spacing w:after="0" w:line="240" w:lineRule="auto"/>
        <w:jc w:val="both"/>
        <w:rPr>
          <w:rFonts w:ascii="Arial" w:hAnsi="Arial" w:cs="Arial"/>
          <w:iCs/>
          <w:sz w:val="20"/>
          <w:szCs w:val="20"/>
        </w:rPr>
      </w:pPr>
      <w:r w:rsidRPr="007375E8">
        <w:rPr>
          <w:rFonts w:ascii="Arial" w:hAnsi="Arial" w:cs="Arial"/>
          <w:iCs/>
          <w:sz w:val="20"/>
          <w:szCs w:val="20"/>
        </w:rPr>
        <w:t xml:space="preserve">Previously, according to Vietnam’s IP Law of 2005, serving an alleged infringer with a C&amp;D Letter was a must-take action before petitioning the enforcement agency to handle an IPR infringement. Specifically, in order for a petition for handling acts of IPR infringement to be accepted, the rights holder must prove that he has </w:t>
      </w:r>
      <w:r w:rsidRPr="00576438">
        <w:rPr>
          <w:rFonts w:ascii="Arial" w:hAnsi="Arial" w:cs="Arial"/>
          <w:b/>
          <w:iCs/>
          <w:sz w:val="20"/>
          <w:szCs w:val="20"/>
        </w:rPr>
        <w:t>(i)</w:t>
      </w:r>
      <w:r w:rsidRPr="007375E8">
        <w:rPr>
          <w:rFonts w:ascii="Arial" w:hAnsi="Arial" w:cs="Arial"/>
          <w:iCs/>
          <w:sz w:val="20"/>
          <w:szCs w:val="20"/>
        </w:rPr>
        <w:t xml:space="preserve"> “</w:t>
      </w:r>
      <w:r w:rsidRPr="00576438">
        <w:rPr>
          <w:rFonts w:ascii="Arial" w:hAnsi="Arial" w:cs="Arial"/>
          <w:i/>
          <w:iCs/>
          <w:sz w:val="20"/>
          <w:szCs w:val="20"/>
          <w:u w:val="single"/>
        </w:rPr>
        <w:t>notified in writing that an alleged infringer cease the IPR infringement</w:t>
      </w:r>
      <w:r w:rsidRPr="007375E8">
        <w:rPr>
          <w:rFonts w:ascii="Arial" w:hAnsi="Arial" w:cs="Arial"/>
          <w:iCs/>
          <w:sz w:val="20"/>
          <w:szCs w:val="20"/>
        </w:rPr>
        <w:t xml:space="preserve">” and </w:t>
      </w:r>
      <w:r w:rsidRPr="00576438">
        <w:rPr>
          <w:rFonts w:ascii="Arial" w:hAnsi="Arial" w:cs="Arial"/>
          <w:b/>
          <w:iCs/>
          <w:sz w:val="20"/>
          <w:szCs w:val="20"/>
        </w:rPr>
        <w:t xml:space="preserve">(ii) </w:t>
      </w:r>
      <w:r w:rsidRPr="007375E8">
        <w:rPr>
          <w:rFonts w:ascii="Arial" w:hAnsi="Arial" w:cs="Arial"/>
          <w:iCs/>
          <w:sz w:val="20"/>
          <w:szCs w:val="20"/>
        </w:rPr>
        <w:t>the suspected infringer “</w:t>
      </w:r>
      <w:r w:rsidRPr="00576438">
        <w:rPr>
          <w:rFonts w:ascii="Arial" w:hAnsi="Arial" w:cs="Arial"/>
          <w:i/>
          <w:iCs/>
          <w:sz w:val="20"/>
          <w:szCs w:val="20"/>
          <w:u w:val="single"/>
        </w:rPr>
        <w:t>does not stop such infringement</w:t>
      </w:r>
      <w:r w:rsidRPr="007375E8">
        <w:rPr>
          <w:rFonts w:ascii="Arial" w:hAnsi="Arial" w:cs="Arial"/>
          <w:iCs/>
          <w:sz w:val="20"/>
          <w:szCs w:val="20"/>
        </w:rPr>
        <w:t>”. In the petition for handling IPR infringement, under Article 23 of Decree 105/2006/ND-CP, in addition to other documents, the rights holder must provide “</w:t>
      </w:r>
      <w:r w:rsidRPr="00576438">
        <w:rPr>
          <w:rFonts w:ascii="Arial" w:hAnsi="Arial" w:cs="Arial"/>
          <w:i/>
          <w:iCs/>
          <w:sz w:val="20"/>
          <w:szCs w:val="20"/>
        </w:rPr>
        <w:t>a copy of the notice issued by the IPR holder to the infringer, which has set a reasonable time limit for the infringer to stop the infringing act and evidence that the infringer did not stop the infringement</w:t>
      </w:r>
      <w:r w:rsidRPr="007375E8">
        <w:rPr>
          <w:rFonts w:ascii="Arial" w:hAnsi="Arial" w:cs="Arial"/>
          <w:iCs/>
          <w:sz w:val="20"/>
          <w:szCs w:val="20"/>
        </w:rPr>
        <w:t>.”</w:t>
      </w:r>
    </w:p>
    <w:p w14:paraId="68B6DD80" w14:textId="77777777" w:rsidR="007375E8" w:rsidRPr="007375E8" w:rsidRDefault="007375E8" w:rsidP="007375E8">
      <w:pPr>
        <w:spacing w:after="0" w:line="240" w:lineRule="auto"/>
        <w:jc w:val="both"/>
        <w:rPr>
          <w:rFonts w:ascii="Arial" w:hAnsi="Arial" w:cs="Arial"/>
          <w:iCs/>
          <w:sz w:val="20"/>
          <w:szCs w:val="20"/>
        </w:rPr>
      </w:pPr>
    </w:p>
    <w:p w14:paraId="4A5C627F" w14:textId="77777777" w:rsidR="007375E8" w:rsidRPr="007375E8" w:rsidRDefault="007375E8" w:rsidP="007375E8">
      <w:pPr>
        <w:spacing w:after="0" w:line="240" w:lineRule="auto"/>
        <w:jc w:val="both"/>
        <w:rPr>
          <w:rFonts w:ascii="Arial" w:hAnsi="Arial" w:cs="Arial"/>
          <w:iCs/>
          <w:sz w:val="20"/>
          <w:szCs w:val="20"/>
        </w:rPr>
      </w:pPr>
      <w:r w:rsidRPr="007375E8">
        <w:rPr>
          <w:rFonts w:ascii="Arial" w:hAnsi="Arial" w:cs="Arial"/>
          <w:iCs/>
          <w:sz w:val="20"/>
          <w:szCs w:val="20"/>
        </w:rPr>
        <w:t>The requirement to send a C&amp;D Letter to an alleged infringer  was strongly criticized by the IPR holder who assumed that this provision was not included in the Ordinance on Handling Administrative Violations of Vietnam 2002, revised 2008.</w:t>
      </w:r>
    </w:p>
    <w:p w14:paraId="553B8AA9" w14:textId="77777777" w:rsidR="007375E8" w:rsidRPr="007375E8" w:rsidRDefault="007375E8" w:rsidP="007375E8">
      <w:pPr>
        <w:spacing w:after="0" w:line="240" w:lineRule="auto"/>
        <w:jc w:val="both"/>
        <w:rPr>
          <w:rFonts w:ascii="Arial" w:hAnsi="Arial" w:cs="Arial"/>
          <w:iCs/>
          <w:sz w:val="20"/>
          <w:szCs w:val="20"/>
        </w:rPr>
      </w:pPr>
    </w:p>
    <w:p w14:paraId="68435E24" w14:textId="77777777" w:rsidR="007375E8" w:rsidRPr="007375E8" w:rsidRDefault="007375E8" w:rsidP="007375E8">
      <w:pPr>
        <w:spacing w:after="0" w:line="240" w:lineRule="auto"/>
        <w:jc w:val="both"/>
        <w:rPr>
          <w:rFonts w:ascii="Arial" w:hAnsi="Arial" w:cs="Arial"/>
          <w:iCs/>
          <w:sz w:val="20"/>
          <w:szCs w:val="20"/>
        </w:rPr>
      </w:pPr>
      <w:r w:rsidRPr="007375E8">
        <w:rPr>
          <w:rFonts w:ascii="Arial" w:hAnsi="Arial" w:cs="Arial"/>
          <w:iCs/>
          <w:sz w:val="20"/>
          <w:szCs w:val="20"/>
        </w:rPr>
        <w:t>Accordingly, the Intellectual Property Law revised in 2009, which took effect on 01 January 2010, eliminated the requirement that the rights holder issue a "</w:t>
      </w:r>
      <w:r w:rsidRPr="00576438">
        <w:rPr>
          <w:rFonts w:ascii="Arial" w:hAnsi="Arial" w:cs="Arial"/>
          <w:i/>
          <w:iCs/>
          <w:sz w:val="20"/>
          <w:szCs w:val="20"/>
        </w:rPr>
        <w:t>notice</w:t>
      </w:r>
      <w:r w:rsidRPr="007375E8">
        <w:rPr>
          <w:rFonts w:ascii="Arial" w:hAnsi="Arial" w:cs="Arial"/>
          <w:iCs/>
          <w:sz w:val="20"/>
          <w:szCs w:val="20"/>
        </w:rPr>
        <w:t>" or "</w:t>
      </w:r>
      <w:r w:rsidRPr="00576438">
        <w:rPr>
          <w:rFonts w:ascii="Arial" w:hAnsi="Arial" w:cs="Arial"/>
          <w:i/>
          <w:iCs/>
          <w:sz w:val="20"/>
          <w:szCs w:val="20"/>
        </w:rPr>
        <w:t>C&amp;D Letter</w:t>
      </w:r>
      <w:r w:rsidRPr="007375E8">
        <w:rPr>
          <w:rFonts w:ascii="Arial" w:hAnsi="Arial" w:cs="Arial"/>
          <w:iCs/>
          <w:sz w:val="20"/>
          <w:szCs w:val="20"/>
        </w:rPr>
        <w:t>" to the suspected infringer. This means that "</w:t>
      </w:r>
      <w:r w:rsidRPr="00576438">
        <w:rPr>
          <w:rFonts w:ascii="Arial" w:hAnsi="Arial" w:cs="Arial"/>
          <w:i/>
          <w:iCs/>
          <w:sz w:val="20"/>
          <w:szCs w:val="20"/>
        </w:rPr>
        <w:t>sending a notice</w:t>
      </w:r>
      <w:r w:rsidRPr="007375E8">
        <w:rPr>
          <w:rFonts w:ascii="Arial" w:hAnsi="Arial" w:cs="Arial"/>
          <w:iCs/>
          <w:sz w:val="20"/>
          <w:szCs w:val="20"/>
        </w:rPr>
        <w:t>" or "</w:t>
      </w:r>
      <w:r w:rsidRPr="00576438">
        <w:rPr>
          <w:rFonts w:ascii="Arial" w:hAnsi="Arial" w:cs="Arial"/>
          <w:i/>
          <w:iCs/>
          <w:sz w:val="20"/>
          <w:szCs w:val="20"/>
        </w:rPr>
        <w:t>sending a C&amp;D Letter</w:t>
      </w:r>
      <w:r w:rsidRPr="007375E8">
        <w:rPr>
          <w:rFonts w:ascii="Arial" w:hAnsi="Arial" w:cs="Arial"/>
          <w:iCs/>
          <w:sz w:val="20"/>
          <w:szCs w:val="20"/>
        </w:rPr>
        <w:t>" to a suspected infringer is no longer required prior to filing an IPR infringement petition with the Vietnamese enforcement body as of January 1, 2010.</w:t>
      </w:r>
    </w:p>
    <w:p w14:paraId="7B7F88BB" w14:textId="77777777" w:rsidR="007375E8" w:rsidRPr="007375E8" w:rsidRDefault="007375E8" w:rsidP="007375E8">
      <w:pPr>
        <w:spacing w:after="0" w:line="240" w:lineRule="auto"/>
        <w:jc w:val="both"/>
        <w:rPr>
          <w:rFonts w:ascii="Arial" w:hAnsi="Arial" w:cs="Arial"/>
          <w:iCs/>
          <w:sz w:val="20"/>
          <w:szCs w:val="20"/>
        </w:rPr>
      </w:pPr>
    </w:p>
    <w:p w14:paraId="66AD5F39" w14:textId="77777777" w:rsidR="007375E8" w:rsidRPr="00576438" w:rsidRDefault="007375E8" w:rsidP="007375E8">
      <w:pPr>
        <w:spacing w:after="0" w:line="240" w:lineRule="auto"/>
        <w:jc w:val="both"/>
        <w:rPr>
          <w:rFonts w:ascii="Arial" w:eastAsia="Calibri" w:hAnsi="Arial" w:cs="Arial"/>
          <w:b/>
          <w:bCs/>
          <w:color w:val="0000FF"/>
          <w:sz w:val="20"/>
          <w:szCs w:val="20"/>
        </w:rPr>
      </w:pPr>
      <w:r w:rsidRPr="00576438">
        <w:rPr>
          <w:rFonts w:ascii="Arial" w:eastAsia="Calibri" w:hAnsi="Arial" w:cs="Arial"/>
          <w:b/>
          <w:bCs/>
          <w:color w:val="0000FF"/>
          <w:sz w:val="20"/>
          <w:szCs w:val="20"/>
        </w:rPr>
        <w:t>What should be noted when sending a C&amp;D Letter from the perspective of the IPR holder?</w:t>
      </w:r>
    </w:p>
    <w:p w14:paraId="242B0020" w14:textId="77777777" w:rsidR="007375E8" w:rsidRPr="007375E8" w:rsidRDefault="007375E8" w:rsidP="007375E8">
      <w:pPr>
        <w:spacing w:after="0" w:line="240" w:lineRule="auto"/>
        <w:jc w:val="both"/>
        <w:rPr>
          <w:rFonts w:ascii="Arial" w:hAnsi="Arial" w:cs="Arial"/>
          <w:iCs/>
          <w:sz w:val="20"/>
          <w:szCs w:val="20"/>
        </w:rPr>
      </w:pPr>
    </w:p>
    <w:p w14:paraId="20B08D1D" w14:textId="77777777" w:rsidR="007375E8" w:rsidRPr="007375E8" w:rsidRDefault="007375E8" w:rsidP="007375E8">
      <w:pPr>
        <w:spacing w:after="0" w:line="240" w:lineRule="auto"/>
        <w:jc w:val="both"/>
        <w:rPr>
          <w:rFonts w:ascii="Arial" w:hAnsi="Arial" w:cs="Arial"/>
          <w:iCs/>
          <w:sz w:val="20"/>
          <w:szCs w:val="20"/>
        </w:rPr>
      </w:pPr>
      <w:r w:rsidRPr="007375E8">
        <w:rPr>
          <w:rFonts w:ascii="Arial" w:hAnsi="Arial" w:cs="Arial"/>
          <w:iCs/>
          <w:sz w:val="20"/>
          <w:szCs w:val="20"/>
        </w:rPr>
        <w:t>In Vietnam, despite sending a "C&amp;D Letter" is no longer required, it is nevertheless routinely used to resolve disputes and infringements of intellectual property rights. This measure aids in understanding and evaluate the response of a suspected infringer to an IPR holder's allegation of infringement. If a dispute or infringement is addressed through the submission of a C&amp;D Letter, it is evident that this process saves significantly more time and money than administrative and/or civil IP infringement proceedings.</w:t>
      </w:r>
    </w:p>
    <w:p w14:paraId="302261EF" w14:textId="77777777" w:rsidR="007375E8" w:rsidRPr="007375E8" w:rsidRDefault="007375E8" w:rsidP="007375E8">
      <w:pPr>
        <w:spacing w:after="0" w:line="240" w:lineRule="auto"/>
        <w:jc w:val="both"/>
        <w:rPr>
          <w:rFonts w:ascii="Arial" w:hAnsi="Arial" w:cs="Arial"/>
          <w:iCs/>
          <w:sz w:val="20"/>
          <w:szCs w:val="20"/>
        </w:rPr>
      </w:pPr>
    </w:p>
    <w:p w14:paraId="3213E3D8" w14:textId="77777777" w:rsidR="007375E8" w:rsidRPr="007375E8" w:rsidRDefault="007375E8" w:rsidP="007375E8">
      <w:pPr>
        <w:spacing w:after="0" w:line="240" w:lineRule="auto"/>
        <w:jc w:val="both"/>
        <w:rPr>
          <w:rFonts w:ascii="Arial" w:hAnsi="Arial" w:cs="Arial"/>
          <w:iCs/>
          <w:sz w:val="20"/>
          <w:szCs w:val="20"/>
        </w:rPr>
      </w:pPr>
      <w:r w:rsidRPr="00576438">
        <w:rPr>
          <w:rFonts w:ascii="Arial" w:hAnsi="Arial" w:cs="Arial"/>
          <w:b/>
          <w:iCs/>
          <w:sz w:val="20"/>
          <w:szCs w:val="20"/>
        </w:rPr>
        <w:t xml:space="preserve">Alarming to infringing party: </w:t>
      </w:r>
      <w:r w:rsidRPr="007375E8">
        <w:rPr>
          <w:rFonts w:ascii="Arial" w:hAnsi="Arial" w:cs="Arial"/>
          <w:iCs/>
          <w:sz w:val="20"/>
          <w:szCs w:val="20"/>
        </w:rPr>
        <w:t>However, C&amp;D Letters can be a two-edged swords. In many cases, sending a C&amp;D Letter by the rights holder serves as a prior warning.  The alleged infringer understands that its infringing acts are being monitored and is therefore proactively seeking preventive measures which will make IPR infringement monitoring and handling more difficult and complicated if the rights holder decides to submit the case to an administrative enforcement agency or court to handle IPR infringement.</w:t>
      </w:r>
    </w:p>
    <w:p w14:paraId="0B4CDAEE" w14:textId="77777777" w:rsidR="007375E8" w:rsidRPr="007375E8" w:rsidRDefault="007375E8" w:rsidP="007375E8">
      <w:pPr>
        <w:spacing w:after="0" w:line="240" w:lineRule="auto"/>
        <w:jc w:val="both"/>
        <w:rPr>
          <w:rFonts w:ascii="Arial" w:hAnsi="Arial" w:cs="Arial"/>
          <w:iCs/>
          <w:sz w:val="20"/>
          <w:szCs w:val="20"/>
        </w:rPr>
      </w:pPr>
    </w:p>
    <w:p w14:paraId="1E779795" w14:textId="77777777" w:rsidR="007375E8" w:rsidRPr="007375E8" w:rsidRDefault="007375E8" w:rsidP="007375E8">
      <w:pPr>
        <w:spacing w:after="0" w:line="240" w:lineRule="auto"/>
        <w:jc w:val="both"/>
        <w:rPr>
          <w:rFonts w:ascii="Arial" w:hAnsi="Arial" w:cs="Arial"/>
          <w:iCs/>
          <w:sz w:val="20"/>
          <w:szCs w:val="20"/>
        </w:rPr>
      </w:pPr>
      <w:r w:rsidRPr="00576438">
        <w:rPr>
          <w:rFonts w:ascii="Arial" w:hAnsi="Arial" w:cs="Arial"/>
          <w:b/>
          <w:iCs/>
          <w:sz w:val="20"/>
          <w:szCs w:val="20"/>
        </w:rPr>
        <w:t>The risk of being considered an abuse of IP rights:</w:t>
      </w:r>
      <w:r w:rsidRPr="007375E8">
        <w:rPr>
          <w:rFonts w:ascii="Arial" w:hAnsi="Arial" w:cs="Arial"/>
          <w:iCs/>
          <w:sz w:val="20"/>
          <w:szCs w:val="20"/>
        </w:rPr>
        <w:t xml:space="preserve">  Many rights holders believe that if the arguments in the C&amp;D Letter are not strong enough, such C&amp;D Letter will not be effective in that the alleged infringer will ignore the C&amp;D Letter and continue the infringement because he/she believe that the rights holder sent the C&amp;D Letter in an attempt to intimidate and not to take any legal action. In this C&amp;D Letter, this way of thinking has prompted many IPR holders to opt to charge a fee to the suspected infringer in exchange for halting legal proceedings against the infringer. Many IPR holders regard this as a strategy to inhance pressure to force the infringer to comply with the requirements set out in the C&amp;D Letter. </w:t>
      </w:r>
    </w:p>
    <w:p w14:paraId="6CFEEEAA" w14:textId="77777777" w:rsidR="007375E8" w:rsidRPr="007375E8" w:rsidRDefault="007375E8" w:rsidP="007375E8">
      <w:pPr>
        <w:spacing w:after="0" w:line="240" w:lineRule="auto"/>
        <w:jc w:val="both"/>
        <w:rPr>
          <w:rFonts w:ascii="Arial" w:hAnsi="Arial" w:cs="Arial"/>
          <w:iCs/>
          <w:sz w:val="20"/>
          <w:szCs w:val="20"/>
        </w:rPr>
      </w:pPr>
    </w:p>
    <w:p w14:paraId="0B16F12A" w14:textId="27397417" w:rsidR="007375E8" w:rsidRPr="007375E8" w:rsidRDefault="004D64BC" w:rsidP="007375E8">
      <w:pPr>
        <w:spacing w:after="0" w:line="240" w:lineRule="auto"/>
        <w:jc w:val="both"/>
        <w:rPr>
          <w:rFonts w:ascii="Arial" w:hAnsi="Arial" w:cs="Arial"/>
          <w:iCs/>
          <w:sz w:val="20"/>
          <w:szCs w:val="20"/>
        </w:rPr>
      </w:pPr>
      <w:r w:rsidRPr="00745E08">
        <w:rPr>
          <w:rFonts w:ascii="Arial" w:hAnsi="Arial" w:cs="Arial"/>
          <w:b/>
          <w:bCs/>
          <w:noProof/>
          <w:color w:val="C00000"/>
          <w:sz w:val="24"/>
          <w:szCs w:val="24"/>
          <w:lang w:eastAsia="ko-KR"/>
        </w:rPr>
        <w:lastRenderedPageBreak/>
        <mc:AlternateContent>
          <mc:Choice Requires="wps">
            <w:drawing>
              <wp:anchor distT="0" distB="0" distL="114300" distR="114300" simplePos="0" relativeHeight="251667456" behindDoc="0" locked="0" layoutInCell="1" allowOverlap="1" wp14:anchorId="2123C8EB" wp14:editId="7720BEDA">
                <wp:simplePos x="0" y="0"/>
                <wp:positionH relativeFrom="column">
                  <wp:posOffset>6392241</wp:posOffset>
                </wp:positionH>
                <wp:positionV relativeFrom="paragraph">
                  <wp:posOffset>-386715</wp:posOffset>
                </wp:positionV>
                <wp:extent cx="346710" cy="10325735"/>
                <wp:effectExtent l="0" t="0" r="15240" b="18415"/>
                <wp:wrapNone/>
                <wp:docPr id="1" name="Rectangle 1"/>
                <wp:cNvGraphicFramePr/>
                <a:graphic xmlns:a="http://schemas.openxmlformats.org/drawingml/2006/main">
                  <a:graphicData uri="http://schemas.microsoft.com/office/word/2010/wordprocessingShape">
                    <wps:wsp>
                      <wps:cNvSpPr/>
                      <wps:spPr>
                        <a:xfrm>
                          <a:off x="0" y="0"/>
                          <a:ext cx="346710" cy="10325735"/>
                        </a:xfrm>
                        <a:prstGeom prst="rect">
                          <a:avLst/>
                        </a:prstGeom>
                        <a:solidFill>
                          <a:srgbClr val="00B39C"/>
                        </a:solidFill>
                        <a:ln w="0">
                          <a:solidFill>
                            <a:srgbClr val="00B39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4F55638" w14:textId="77777777" w:rsidR="004D64BC" w:rsidRPr="00BA68B8" w:rsidRDefault="004D64BC" w:rsidP="004D64BC">
                            <w:pPr>
                              <w:spacing w:after="0" w:line="240" w:lineRule="auto"/>
                              <w:rPr>
                                <w:rFonts w:ascii="Arial" w:hAnsi="Arial" w:cs="Arial"/>
                                <w:b/>
                                <w:color w:val="FFFFFF" w:themeColor="background1"/>
                                <w:sz w:val="20"/>
                                <w:szCs w:val="20"/>
                              </w:rPr>
                            </w:pPr>
                            <w:r w:rsidRPr="00745E08">
                              <w:rPr>
                                <w:rFonts w:ascii="Arial" w:hAnsi="Arial" w:cs="Arial"/>
                                <w:b/>
                                <w:bCs/>
                                <w:color w:val="FFFFFF" w:themeColor="background1"/>
                                <w:sz w:val="20"/>
                                <w:szCs w:val="20"/>
                              </w:rPr>
                              <w:t>Infringement of intellectual property rights</w:t>
                            </w: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23C8EB" id="Rectangle 1" o:spid="_x0000_s1028" style="position:absolute;left:0;text-align:left;margin-left:503.35pt;margin-top:-30.45pt;width:27.3pt;height:813.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" fillcolor="#00b39c" strokecolor="#00b39c" strokeweight="0">
                <v:textbox style="layout-flow:vertical">
                  <w:txbxContent>
                    <w:p w14:paraId="54F55638" w14:textId="77777777" w:rsidR="004D64BC" w:rsidRPr="00BA68B8" w:rsidRDefault="004D64BC" w:rsidP="004D64BC">
                      <w:pPr>
                        <w:spacing w:after="0" w:line="240" w:lineRule="auto"/>
                        <w:rPr>
                          <w:rFonts w:ascii="Arial" w:hAnsi="Arial" w:cs="Arial"/>
                          <w:b/>
                          <w:color w:val="FFFFFF" w:themeColor="background1"/>
                          <w:sz w:val="20"/>
                          <w:szCs w:val="20"/>
                        </w:rPr>
                      </w:pPr>
                      <w:r w:rsidRPr="00745E08">
                        <w:rPr>
                          <w:rFonts w:ascii="Arial" w:hAnsi="Arial" w:cs="Arial"/>
                          <w:b/>
                          <w:bCs/>
                          <w:color w:val="FFFFFF" w:themeColor="background1"/>
                          <w:sz w:val="20"/>
                          <w:szCs w:val="20"/>
                        </w:rPr>
                        <w:t>Infringement of intellectual property rights</w:t>
                      </w:r>
                    </w:p>
                  </w:txbxContent>
                </v:textbox>
              </v:rect>
            </w:pict>
          </mc:Fallback>
        </mc:AlternateContent>
      </w:r>
    </w:p>
    <w:p w14:paraId="0A2E800C" w14:textId="3804B250" w:rsidR="007375E8" w:rsidRDefault="007375E8" w:rsidP="007375E8">
      <w:pPr>
        <w:spacing w:after="0" w:line="240" w:lineRule="auto"/>
        <w:jc w:val="both"/>
        <w:rPr>
          <w:rFonts w:ascii="Arial" w:hAnsi="Arial" w:cs="Arial"/>
          <w:iCs/>
          <w:sz w:val="20"/>
          <w:szCs w:val="20"/>
        </w:rPr>
      </w:pPr>
      <w:r w:rsidRPr="007375E8">
        <w:rPr>
          <w:rFonts w:ascii="Arial" w:hAnsi="Arial" w:cs="Arial"/>
          <w:iCs/>
          <w:sz w:val="20"/>
          <w:szCs w:val="20"/>
        </w:rPr>
        <w:t>Requesting an alleged infringer to pay a fee in the C&amp;D Letter may expose the rights holder to potential legal risks. If the suspected infringer proves that the elements constituting the act of infringing IP rights are not satisfied and claims compensation in the C&amp;D Letter is “</w:t>
      </w:r>
      <w:r w:rsidRPr="00576438">
        <w:rPr>
          <w:rFonts w:ascii="Arial" w:hAnsi="Arial" w:cs="Arial"/>
          <w:b/>
          <w:i/>
          <w:iCs/>
          <w:sz w:val="20"/>
          <w:szCs w:val="20"/>
        </w:rPr>
        <w:t>intentionally exceeding the scope or objective</w:t>
      </w:r>
      <w:r w:rsidRPr="007375E8">
        <w:rPr>
          <w:rFonts w:ascii="Arial" w:hAnsi="Arial" w:cs="Arial"/>
          <w:iCs/>
          <w:sz w:val="20"/>
          <w:szCs w:val="20"/>
        </w:rPr>
        <w:t>” of the right of self-protection in Article 198 of Vietnam’s IP Law, such conduct may be considered “</w:t>
      </w:r>
      <w:r w:rsidRPr="00576438">
        <w:rPr>
          <w:rFonts w:ascii="Arial" w:hAnsi="Arial" w:cs="Arial"/>
          <w:b/>
          <w:i/>
          <w:iCs/>
          <w:sz w:val="20"/>
          <w:szCs w:val="20"/>
        </w:rPr>
        <w:t>abuse of IPR protection procedures</w:t>
      </w:r>
      <w:r w:rsidRPr="007375E8">
        <w:rPr>
          <w:rFonts w:ascii="Arial" w:hAnsi="Arial" w:cs="Arial"/>
          <w:iCs/>
          <w:sz w:val="20"/>
          <w:szCs w:val="20"/>
        </w:rPr>
        <w:t>” and if such abuse “</w:t>
      </w:r>
      <w:r w:rsidRPr="00576438">
        <w:rPr>
          <w:rFonts w:ascii="Arial" w:hAnsi="Arial" w:cs="Arial"/>
          <w:b/>
          <w:i/>
          <w:iCs/>
          <w:sz w:val="20"/>
          <w:szCs w:val="20"/>
        </w:rPr>
        <w:t>causes damage to other organizations or individuals”, then “the aggrieved organization or individual has the right to request the Court to force the abuser to pay damages, including reasonable cost of hiring a lawyer</w:t>
      </w:r>
      <w:r w:rsidRPr="007375E8">
        <w:rPr>
          <w:rFonts w:ascii="Arial" w:hAnsi="Arial" w:cs="Arial"/>
          <w:iCs/>
          <w:sz w:val="20"/>
          <w:szCs w:val="20"/>
        </w:rPr>
        <w:t>”.</w:t>
      </w:r>
    </w:p>
    <w:p w14:paraId="51BDA75C" w14:textId="77777777" w:rsidR="00576438" w:rsidRDefault="00576438" w:rsidP="007375E8">
      <w:pPr>
        <w:spacing w:after="0" w:line="240" w:lineRule="auto"/>
        <w:jc w:val="both"/>
        <w:rPr>
          <w:rFonts w:ascii="Arial" w:hAnsi="Arial" w:cs="Arial"/>
          <w:iCs/>
          <w:sz w:val="20"/>
          <w:szCs w:val="20"/>
        </w:rPr>
      </w:pPr>
    </w:p>
    <w:tbl>
      <w:tblPr>
        <w:tblStyle w:val="TableGrid"/>
        <w:tblW w:w="9666" w:type="dxa"/>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shd w:val="clear" w:color="auto" w:fill="E2F0EE"/>
        <w:tblLayout w:type="fixed"/>
        <w:tblLook w:val="04A0" w:firstRow="1" w:lastRow="0" w:firstColumn="1" w:lastColumn="0" w:noHBand="0" w:noVBand="1"/>
      </w:tblPr>
      <w:tblGrid>
        <w:gridCol w:w="9666"/>
      </w:tblGrid>
      <w:tr w:rsidR="00745E08" w:rsidRPr="00BD06AA" w14:paraId="133583BB" w14:textId="77777777" w:rsidTr="00576438">
        <w:trPr>
          <w:trHeight w:val="2314"/>
        </w:trPr>
        <w:tc>
          <w:tcPr>
            <w:tcW w:w="9666" w:type="dxa"/>
            <w:shd w:val="clear" w:color="auto" w:fill="E2F0EE"/>
          </w:tcPr>
          <w:p w14:paraId="265837D0" w14:textId="77777777" w:rsidR="00745E08" w:rsidRPr="00BD06AA" w:rsidRDefault="00745E08" w:rsidP="00EC73FC">
            <w:pPr>
              <w:ind w:right="113"/>
              <w:jc w:val="both"/>
              <w:rPr>
                <w:rFonts w:ascii="Arial" w:hAnsi="Arial" w:cs="Arial"/>
                <w:b/>
                <w:bCs/>
                <w:sz w:val="20"/>
                <w:szCs w:val="20"/>
              </w:rPr>
            </w:pPr>
            <w:r w:rsidRPr="00BD06AA">
              <w:rPr>
                <w:rFonts w:ascii="Arial" w:hAnsi="Arial" w:cs="Arial"/>
                <w:b/>
                <w:bCs/>
                <w:i/>
                <w:iCs/>
                <w:color w:val="B35639"/>
                <w:sz w:val="20"/>
                <w:szCs w:val="20"/>
              </w:rPr>
              <w:t>Article 198 of the IP Law 2019:</w:t>
            </w:r>
          </w:p>
          <w:p w14:paraId="2161DD43" w14:textId="77777777" w:rsidR="00745E08" w:rsidRPr="00BD06AA" w:rsidRDefault="00745E08" w:rsidP="00EC73FC">
            <w:pPr>
              <w:ind w:right="113"/>
              <w:jc w:val="both"/>
              <w:rPr>
                <w:rFonts w:ascii="Arial" w:hAnsi="Arial" w:cs="Arial"/>
                <w:b/>
                <w:bCs/>
                <w:sz w:val="20"/>
                <w:szCs w:val="20"/>
              </w:rPr>
            </w:pPr>
          </w:p>
          <w:p w14:paraId="42721DBE" w14:textId="77777777" w:rsidR="00745E08" w:rsidRPr="00EC73FC" w:rsidRDefault="00745E08" w:rsidP="00EC73FC">
            <w:pPr>
              <w:ind w:right="113"/>
              <w:jc w:val="both"/>
              <w:rPr>
                <w:rFonts w:ascii="Arial" w:hAnsi="Arial" w:cs="Arial"/>
                <w:b/>
                <w:bCs/>
                <w:i/>
                <w:iCs/>
                <w:sz w:val="20"/>
                <w:szCs w:val="20"/>
              </w:rPr>
            </w:pPr>
            <w:r w:rsidRPr="00EC73FC">
              <w:rPr>
                <w:rFonts w:ascii="Arial" w:hAnsi="Arial" w:cs="Arial"/>
                <w:b/>
                <w:bCs/>
                <w:i/>
                <w:iCs/>
                <w:sz w:val="20"/>
                <w:szCs w:val="20"/>
              </w:rPr>
              <w:t>Article 198. Right to self-defense</w:t>
            </w:r>
          </w:p>
          <w:p w14:paraId="2EEBEA06" w14:textId="77777777" w:rsidR="00745E08" w:rsidRPr="00EC73FC" w:rsidRDefault="00745E08" w:rsidP="00EC73FC">
            <w:pPr>
              <w:ind w:right="113"/>
              <w:jc w:val="both"/>
              <w:rPr>
                <w:rFonts w:ascii="Arial" w:hAnsi="Arial" w:cs="Arial"/>
                <w:i/>
                <w:iCs/>
                <w:sz w:val="20"/>
                <w:szCs w:val="20"/>
                <w:lang w:val="vi-VN"/>
              </w:rPr>
            </w:pPr>
          </w:p>
          <w:p w14:paraId="2B7DC684" w14:textId="77777777" w:rsidR="00745E08" w:rsidRPr="00BD06AA" w:rsidRDefault="00745E08" w:rsidP="00EC73FC">
            <w:pPr>
              <w:ind w:right="113"/>
              <w:jc w:val="both"/>
              <w:rPr>
                <w:rFonts w:ascii="Arial" w:hAnsi="Arial" w:cs="Arial"/>
                <w:sz w:val="20"/>
                <w:szCs w:val="20"/>
              </w:rPr>
            </w:pPr>
            <w:r w:rsidRPr="00BD06AA">
              <w:rPr>
                <w:rFonts w:ascii="Arial" w:hAnsi="Arial" w:cs="Arial"/>
                <w:i/>
                <w:iCs/>
                <w:sz w:val="20"/>
                <w:szCs w:val="20"/>
                <w:lang w:val="vi-VN"/>
              </w:rPr>
              <w:t xml:space="preserve">5. </w:t>
            </w:r>
            <w:r w:rsidRPr="00EC73FC">
              <w:rPr>
                <w:rFonts w:ascii="Arial" w:hAnsi="Arial" w:cs="Arial"/>
                <w:i/>
                <w:iCs/>
                <w:color w:val="000000"/>
                <w:sz w:val="20"/>
                <w:szCs w:val="20"/>
              </w:rPr>
              <w:t>In case an organization or individual</w:t>
            </w:r>
            <w:r w:rsidRPr="00126CC7">
              <w:rPr>
                <w:rFonts w:ascii="Arial" w:hAnsi="Arial" w:cs="Arial"/>
                <w:b/>
                <w:i/>
                <w:iCs/>
                <w:color w:val="000000"/>
                <w:sz w:val="20"/>
                <w:szCs w:val="20"/>
              </w:rPr>
              <w:t xml:space="preserve"> </w:t>
            </w:r>
            <w:r w:rsidRPr="00126CC7">
              <w:rPr>
                <w:rFonts w:ascii="Arial" w:hAnsi="Arial" w:cs="Arial"/>
                <w:b/>
                <w:i/>
                <w:iCs/>
                <w:color w:val="000000"/>
                <w:sz w:val="20"/>
                <w:szCs w:val="20"/>
                <w:highlight w:val="yellow"/>
              </w:rPr>
              <w:t>abuses</w:t>
            </w:r>
            <w:r w:rsidRPr="00EC73FC">
              <w:rPr>
                <w:rFonts w:ascii="Arial" w:hAnsi="Arial" w:cs="Arial"/>
                <w:i/>
                <w:iCs/>
                <w:color w:val="000000"/>
                <w:sz w:val="20"/>
                <w:szCs w:val="20"/>
              </w:rPr>
              <w:t xml:space="preserve"> the procedures for intellectual property protection and thus </w:t>
            </w:r>
            <w:r w:rsidRPr="00126CC7">
              <w:rPr>
                <w:rFonts w:ascii="Arial" w:hAnsi="Arial" w:cs="Arial"/>
                <w:b/>
                <w:i/>
                <w:iCs/>
                <w:color w:val="000000"/>
                <w:sz w:val="20"/>
                <w:szCs w:val="20"/>
              </w:rPr>
              <w:t>causes damage</w:t>
            </w:r>
            <w:r w:rsidRPr="00EC73FC">
              <w:rPr>
                <w:rFonts w:ascii="Arial" w:hAnsi="Arial" w:cs="Arial"/>
                <w:i/>
                <w:iCs/>
                <w:color w:val="000000"/>
                <w:sz w:val="20"/>
                <w:szCs w:val="20"/>
              </w:rPr>
              <w:t xml:space="preserve"> to another organization or individual, </w:t>
            </w:r>
            <w:r w:rsidRPr="00126CC7">
              <w:rPr>
                <w:rFonts w:ascii="Arial" w:hAnsi="Arial" w:cs="Arial"/>
                <w:b/>
                <w:i/>
                <w:iCs/>
                <w:color w:val="000000"/>
                <w:sz w:val="20"/>
                <w:szCs w:val="20"/>
              </w:rPr>
              <w:t>the organization and individual suffering damage</w:t>
            </w:r>
            <w:r w:rsidRPr="00EC73FC">
              <w:rPr>
                <w:rFonts w:ascii="Arial" w:hAnsi="Arial" w:cs="Arial"/>
                <w:i/>
                <w:iCs/>
                <w:color w:val="000000"/>
                <w:sz w:val="20"/>
                <w:szCs w:val="20"/>
              </w:rPr>
              <w:t xml:space="preserve"> is entitled to request the Court to force the abuser to </w:t>
            </w:r>
            <w:r w:rsidRPr="00126CC7">
              <w:rPr>
                <w:rFonts w:ascii="Arial" w:hAnsi="Arial" w:cs="Arial"/>
                <w:b/>
                <w:i/>
                <w:iCs/>
                <w:color w:val="000000"/>
                <w:sz w:val="20"/>
                <w:szCs w:val="20"/>
              </w:rPr>
              <w:t>pay damages</w:t>
            </w:r>
            <w:r w:rsidRPr="00EC73FC">
              <w:rPr>
                <w:rFonts w:ascii="Arial" w:hAnsi="Arial" w:cs="Arial"/>
                <w:i/>
                <w:iCs/>
                <w:color w:val="000000"/>
                <w:sz w:val="20"/>
                <w:szCs w:val="20"/>
              </w:rPr>
              <w:t xml:space="preserve">, including </w:t>
            </w:r>
            <w:r w:rsidRPr="00126CC7">
              <w:rPr>
                <w:rFonts w:ascii="Arial" w:hAnsi="Arial" w:cs="Arial"/>
                <w:b/>
                <w:i/>
                <w:iCs/>
                <w:color w:val="000000"/>
                <w:sz w:val="20"/>
                <w:szCs w:val="20"/>
              </w:rPr>
              <w:t>reasonable costs of hiring a lawyer</w:t>
            </w:r>
            <w:r w:rsidRPr="00EC73FC">
              <w:rPr>
                <w:rFonts w:ascii="Arial" w:hAnsi="Arial" w:cs="Arial"/>
                <w:i/>
                <w:iCs/>
                <w:color w:val="000000"/>
                <w:sz w:val="20"/>
                <w:szCs w:val="20"/>
              </w:rPr>
              <w:t xml:space="preserve">. Acts of abusing intellectual property rights protection procedures include </w:t>
            </w:r>
            <w:r w:rsidRPr="00126CC7">
              <w:rPr>
                <w:rFonts w:ascii="Arial" w:hAnsi="Arial" w:cs="Arial"/>
                <w:b/>
                <w:i/>
                <w:iCs/>
                <w:color w:val="000000"/>
                <w:sz w:val="20"/>
                <w:szCs w:val="20"/>
              </w:rPr>
              <w:t>acts of intentionally exceeding the scope</w:t>
            </w:r>
            <w:r w:rsidRPr="00EC73FC">
              <w:rPr>
                <w:rFonts w:ascii="Arial" w:hAnsi="Arial" w:cs="Arial"/>
                <w:i/>
                <w:iCs/>
                <w:color w:val="000000"/>
                <w:sz w:val="20"/>
                <w:szCs w:val="20"/>
              </w:rPr>
              <w:t xml:space="preserve"> or </w:t>
            </w:r>
            <w:r w:rsidRPr="00126CC7">
              <w:rPr>
                <w:rFonts w:ascii="Arial" w:hAnsi="Arial" w:cs="Arial"/>
                <w:b/>
                <w:i/>
                <w:iCs/>
                <w:color w:val="000000"/>
                <w:sz w:val="20"/>
                <w:szCs w:val="20"/>
              </w:rPr>
              <w:t>objective</w:t>
            </w:r>
            <w:r w:rsidRPr="00EC73FC">
              <w:rPr>
                <w:rFonts w:ascii="Arial" w:hAnsi="Arial" w:cs="Arial"/>
                <w:i/>
                <w:iCs/>
                <w:color w:val="000000"/>
                <w:sz w:val="20"/>
                <w:szCs w:val="20"/>
              </w:rPr>
              <w:t xml:space="preserve"> of this procedure</w:t>
            </w:r>
            <w:r w:rsidRPr="00BD06AA">
              <w:rPr>
                <w:rFonts w:ascii="Arial" w:hAnsi="Arial" w:cs="Arial"/>
                <w:i/>
                <w:iCs/>
                <w:sz w:val="20"/>
                <w:szCs w:val="20"/>
                <w:lang w:val="vi-VN"/>
              </w:rPr>
              <w:t>.</w:t>
            </w:r>
          </w:p>
        </w:tc>
      </w:tr>
    </w:tbl>
    <w:p w14:paraId="495347D3" w14:textId="77777777" w:rsidR="007375E8" w:rsidRPr="007375E8" w:rsidRDefault="007375E8" w:rsidP="007375E8">
      <w:pPr>
        <w:spacing w:after="0" w:line="240" w:lineRule="auto"/>
        <w:jc w:val="both"/>
        <w:rPr>
          <w:rFonts w:ascii="Arial" w:hAnsi="Arial" w:cs="Arial"/>
          <w:iCs/>
          <w:sz w:val="20"/>
          <w:szCs w:val="20"/>
        </w:rPr>
      </w:pPr>
    </w:p>
    <w:p w14:paraId="30B3D1FD" w14:textId="5DA71D7B" w:rsidR="007375E8" w:rsidRDefault="007375E8" w:rsidP="007375E8">
      <w:pPr>
        <w:spacing w:after="0" w:line="240" w:lineRule="auto"/>
        <w:jc w:val="both"/>
        <w:rPr>
          <w:rFonts w:ascii="Arial" w:hAnsi="Arial" w:cs="Arial"/>
          <w:iCs/>
          <w:sz w:val="20"/>
          <w:szCs w:val="20"/>
        </w:rPr>
      </w:pPr>
      <w:r w:rsidRPr="007375E8">
        <w:rPr>
          <w:rFonts w:ascii="Arial" w:hAnsi="Arial" w:cs="Arial"/>
          <w:iCs/>
          <w:sz w:val="20"/>
          <w:szCs w:val="20"/>
        </w:rPr>
        <w:t>No specific and detailed provisions on the act of "</w:t>
      </w:r>
      <w:r w:rsidRPr="00631122">
        <w:rPr>
          <w:rFonts w:ascii="Arial" w:hAnsi="Arial" w:cs="Arial"/>
          <w:i/>
          <w:iCs/>
          <w:sz w:val="20"/>
          <w:szCs w:val="20"/>
        </w:rPr>
        <w:t>abusing IPR rights</w:t>
      </w:r>
      <w:r w:rsidRPr="007375E8">
        <w:rPr>
          <w:rFonts w:ascii="Arial" w:hAnsi="Arial" w:cs="Arial"/>
          <w:iCs/>
          <w:sz w:val="20"/>
          <w:szCs w:val="20"/>
        </w:rPr>
        <w:t>" have been provided in the IP Law of Vietnam and its sub-law documents. However, preventing the abuse of IPR rights by right holders is also one of the principles in developing and amending laws that CPTPP members must comply with, including Vietnam. Clause 15, Article 18.74 on “</w:t>
      </w:r>
      <w:r w:rsidRPr="00631122">
        <w:rPr>
          <w:rFonts w:ascii="Arial" w:hAnsi="Arial" w:cs="Arial"/>
          <w:b/>
          <w:iCs/>
          <w:sz w:val="20"/>
          <w:szCs w:val="20"/>
        </w:rPr>
        <w:t>Civil and Administrative Procedures and Remedies</w:t>
      </w:r>
      <w:r w:rsidRPr="007375E8">
        <w:rPr>
          <w:rFonts w:ascii="Arial" w:hAnsi="Arial" w:cs="Arial"/>
          <w:iCs/>
          <w:sz w:val="20"/>
          <w:szCs w:val="20"/>
        </w:rPr>
        <w:t xml:space="preserve">”, the CPTPP Agreement provides that: </w:t>
      </w:r>
    </w:p>
    <w:p w14:paraId="6F22DC76" w14:textId="77777777" w:rsidR="00126CC7" w:rsidRPr="007375E8" w:rsidRDefault="00126CC7" w:rsidP="007375E8">
      <w:pPr>
        <w:spacing w:after="0" w:line="240" w:lineRule="auto"/>
        <w:jc w:val="both"/>
        <w:rPr>
          <w:rFonts w:ascii="Arial" w:hAnsi="Arial" w:cs="Arial"/>
          <w:iCs/>
          <w:sz w:val="20"/>
          <w:szCs w:val="20"/>
        </w:rPr>
      </w:pPr>
    </w:p>
    <w:tbl>
      <w:tblPr>
        <w:tblStyle w:val="TableGrid"/>
        <w:tblW w:w="9634" w:type="dxa"/>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shd w:val="clear" w:color="auto" w:fill="E2F0EE"/>
        <w:tblLayout w:type="fixed"/>
        <w:tblLook w:val="04A0" w:firstRow="1" w:lastRow="0" w:firstColumn="1" w:lastColumn="0" w:noHBand="0" w:noVBand="1"/>
      </w:tblPr>
      <w:tblGrid>
        <w:gridCol w:w="9634"/>
      </w:tblGrid>
      <w:tr w:rsidR="00576438" w:rsidRPr="00CC78DB" w14:paraId="40D88567" w14:textId="77777777" w:rsidTr="00126CC7">
        <w:trPr>
          <w:trHeight w:val="2058"/>
        </w:trPr>
        <w:tc>
          <w:tcPr>
            <w:tcW w:w="9634" w:type="dxa"/>
            <w:shd w:val="clear" w:color="auto" w:fill="E2F0EE"/>
          </w:tcPr>
          <w:p w14:paraId="74B90DB7" w14:textId="77777777" w:rsidR="00576438" w:rsidRPr="00832947" w:rsidRDefault="00576438" w:rsidP="00EC73FC">
            <w:pPr>
              <w:ind w:right="113"/>
              <w:jc w:val="both"/>
              <w:rPr>
                <w:rFonts w:ascii="Arial" w:hAnsi="Arial" w:cs="Arial"/>
                <w:b/>
                <w:bCs/>
                <w:color w:val="000000"/>
                <w:sz w:val="20"/>
                <w:szCs w:val="20"/>
              </w:rPr>
            </w:pPr>
            <w:r w:rsidRPr="00832947">
              <w:rPr>
                <w:rFonts w:ascii="Arial" w:hAnsi="Arial" w:cs="Arial"/>
                <w:b/>
                <w:bCs/>
                <w:color w:val="000000"/>
                <w:sz w:val="20"/>
                <w:szCs w:val="20"/>
              </w:rPr>
              <w:t xml:space="preserve">Article 18.74: Civil and Administrative Procedures and Remedies </w:t>
            </w:r>
          </w:p>
          <w:p w14:paraId="7A5015CB" w14:textId="77777777" w:rsidR="00576438" w:rsidRPr="00CC78DB" w:rsidRDefault="00576438" w:rsidP="00EC73FC">
            <w:pPr>
              <w:ind w:right="113"/>
              <w:jc w:val="both"/>
              <w:rPr>
                <w:rFonts w:ascii="Arial" w:hAnsi="Arial" w:cs="Arial"/>
                <w:sz w:val="20"/>
                <w:szCs w:val="20"/>
                <w:lang w:val="vi-VN"/>
              </w:rPr>
            </w:pPr>
          </w:p>
          <w:p w14:paraId="6D6117BC" w14:textId="77777777" w:rsidR="00576438" w:rsidRPr="00CC78DB" w:rsidRDefault="00576438" w:rsidP="00EC73FC">
            <w:pPr>
              <w:ind w:right="113"/>
              <w:jc w:val="both"/>
              <w:rPr>
                <w:rFonts w:ascii="Arial" w:hAnsi="Arial" w:cs="Arial"/>
                <w:sz w:val="20"/>
                <w:szCs w:val="20"/>
              </w:rPr>
            </w:pPr>
            <w:r w:rsidRPr="00832947">
              <w:rPr>
                <w:rFonts w:ascii="Arial" w:hAnsi="Arial" w:cs="Arial"/>
                <w:i/>
                <w:iCs/>
                <w:sz w:val="20"/>
                <w:szCs w:val="20"/>
              </w:rPr>
              <w:t xml:space="preserve">15. Each Party shall ensure that its </w:t>
            </w:r>
            <w:r w:rsidRPr="00832947">
              <w:rPr>
                <w:rFonts w:ascii="Arial" w:hAnsi="Arial" w:cs="Arial"/>
                <w:b/>
                <w:i/>
                <w:iCs/>
                <w:sz w:val="20"/>
                <w:szCs w:val="20"/>
              </w:rPr>
              <w:t>judicial authorities</w:t>
            </w:r>
            <w:r w:rsidRPr="00832947">
              <w:rPr>
                <w:rFonts w:ascii="Arial" w:hAnsi="Arial" w:cs="Arial"/>
                <w:i/>
                <w:iCs/>
                <w:sz w:val="20"/>
                <w:szCs w:val="20"/>
              </w:rPr>
              <w:t xml:space="preserve"> have the authority to order a party at whose request measures were taken and that has </w:t>
            </w:r>
            <w:r w:rsidRPr="00832947">
              <w:rPr>
                <w:rFonts w:ascii="Arial" w:hAnsi="Arial" w:cs="Arial"/>
                <w:b/>
                <w:i/>
                <w:iCs/>
                <w:sz w:val="20"/>
                <w:szCs w:val="20"/>
                <w:highlight w:val="yellow"/>
              </w:rPr>
              <w:t>abused enforcement procedures</w:t>
            </w:r>
            <w:r w:rsidRPr="00832947">
              <w:rPr>
                <w:rFonts w:ascii="Arial" w:hAnsi="Arial" w:cs="Arial"/>
                <w:b/>
                <w:i/>
                <w:iCs/>
                <w:sz w:val="20"/>
                <w:szCs w:val="20"/>
              </w:rPr>
              <w:t xml:space="preserve"> with regard to intellectual property rights</w:t>
            </w:r>
            <w:r w:rsidRPr="00832947">
              <w:rPr>
                <w:rFonts w:ascii="Arial" w:hAnsi="Arial" w:cs="Arial"/>
                <w:i/>
                <w:iCs/>
                <w:sz w:val="20"/>
                <w:szCs w:val="20"/>
              </w:rPr>
              <w:t xml:space="preserve">, including trademarks, geographical indications, patents, copyright and related rights and industrial designs, to provide to a party wrongfully enjoined or restrained </w:t>
            </w:r>
            <w:r w:rsidRPr="00B63A49">
              <w:rPr>
                <w:rFonts w:ascii="Arial" w:hAnsi="Arial" w:cs="Arial"/>
                <w:b/>
                <w:i/>
                <w:iCs/>
                <w:sz w:val="20"/>
                <w:szCs w:val="20"/>
                <w:highlight w:val="yellow"/>
              </w:rPr>
              <w:t>adequate compensation</w:t>
            </w:r>
            <w:r w:rsidRPr="00832947">
              <w:rPr>
                <w:rFonts w:ascii="Arial" w:hAnsi="Arial" w:cs="Arial"/>
                <w:i/>
                <w:iCs/>
                <w:sz w:val="20"/>
                <w:szCs w:val="20"/>
              </w:rPr>
              <w:t xml:space="preserve"> for the injury suffered </w:t>
            </w:r>
            <w:r w:rsidRPr="00B63A49">
              <w:rPr>
                <w:rFonts w:ascii="Arial" w:hAnsi="Arial" w:cs="Arial"/>
                <w:b/>
                <w:i/>
                <w:iCs/>
                <w:sz w:val="20"/>
                <w:szCs w:val="20"/>
              </w:rPr>
              <w:t>because of that abuse</w:t>
            </w:r>
            <w:r w:rsidRPr="00832947">
              <w:rPr>
                <w:rFonts w:ascii="Arial" w:hAnsi="Arial" w:cs="Arial"/>
                <w:i/>
                <w:iCs/>
                <w:sz w:val="20"/>
                <w:szCs w:val="20"/>
              </w:rPr>
              <w:t>. The judicial authorities shall also have the authority to order the applicant to pay the defendant expenses, which may include appropriate attorney’s fees.</w:t>
            </w:r>
          </w:p>
        </w:tc>
      </w:tr>
    </w:tbl>
    <w:p w14:paraId="7D8BAC06" w14:textId="77777777" w:rsidR="007375E8" w:rsidRPr="007375E8" w:rsidRDefault="007375E8" w:rsidP="007375E8">
      <w:pPr>
        <w:spacing w:after="0" w:line="240" w:lineRule="auto"/>
        <w:jc w:val="both"/>
        <w:rPr>
          <w:rFonts w:ascii="Arial" w:hAnsi="Arial" w:cs="Arial"/>
          <w:iCs/>
          <w:sz w:val="20"/>
          <w:szCs w:val="20"/>
        </w:rPr>
      </w:pPr>
    </w:p>
    <w:p w14:paraId="01A528D7" w14:textId="77777777" w:rsidR="007375E8" w:rsidRPr="007375E8" w:rsidRDefault="007375E8" w:rsidP="007375E8">
      <w:pPr>
        <w:spacing w:after="0" w:line="240" w:lineRule="auto"/>
        <w:jc w:val="both"/>
        <w:rPr>
          <w:rFonts w:ascii="Arial" w:hAnsi="Arial" w:cs="Arial"/>
          <w:iCs/>
          <w:sz w:val="20"/>
          <w:szCs w:val="20"/>
        </w:rPr>
      </w:pPr>
      <w:r w:rsidRPr="00631122">
        <w:rPr>
          <w:rFonts w:ascii="Arial" w:hAnsi="Arial" w:cs="Arial"/>
          <w:b/>
          <w:i/>
          <w:iCs/>
          <w:sz w:val="20"/>
          <w:szCs w:val="20"/>
        </w:rPr>
        <w:t>Ignoring or disrespecting IP rights by the suspected infringer:</w:t>
      </w:r>
      <w:r w:rsidRPr="007375E8">
        <w:rPr>
          <w:rFonts w:ascii="Arial" w:hAnsi="Arial" w:cs="Arial"/>
          <w:iCs/>
          <w:sz w:val="20"/>
          <w:szCs w:val="20"/>
        </w:rPr>
        <w:t xml:space="preserve"> An initial act of infringement can might escalate to a bigger degree if it is not stopped swiftly and decisively. Using "soft" actions (just sending the C&amp;D Letter) can give the impression to the infringer that the right holder only threatened but did not actually pursue legal action.</w:t>
      </w:r>
    </w:p>
    <w:p w14:paraId="381C7947" w14:textId="77777777" w:rsidR="007375E8" w:rsidRPr="007375E8" w:rsidRDefault="007375E8" w:rsidP="007375E8">
      <w:pPr>
        <w:spacing w:after="0" w:line="240" w:lineRule="auto"/>
        <w:jc w:val="both"/>
        <w:rPr>
          <w:rFonts w:ascii="Arial" w:hAnsi="Arial" w:cs="Arial"/>
          <w:iCs/>
          <w:sz w:val="20"/>
          <w:szCs w:val="20"/>
        </w:rPr>
      </w:pPr>
    </w:p>
    <w:p w14:paraId="376562F9" w14:textId="5D90CF87" w:rsidR="007375E8" w:rsidRPr="007375E8" w:rsidRDefault="007375E8" w:rsidP="007375E8">
      <w:pPr>
        <w:spacing w:after="0" w:line="240" w:lineRule="auto"/>
        <w:jc w:val="both"/>
        <w:rPr>
          <w:rFonts w:ascii="Arial" w:hAnsi="Arial" w:cs="Arial"/>
          <w:iCs/>
          <w:sz w:val="20"/>
          <w:szCs w:val="20"/>
        </w:rPr>
      </w:pPr>
      <w:r w:rsidRPr="00631122">
        <w:rPr>
          <w:rFonts w:ascii="Arial" w:hAnsi="Arial" w:cs="Arial"/>
          <w:b/>
          <w:i/>
          <w:iCs/>
          <w:sz w:val="20"/>
          <w:szCs w:val="20"/>
        </w:rPr>
        <w:t>It is necessary to investigate, collate information, evaluate the infringement scale before deciding whether to send a C&amp;D Letter</w:t>
      </w:r>
      <w:r w:rsidR="00631122" w:rsidRPr="00631122">
        <w:rPr>
          <w:rFonts w:ascii="Arial" w:hAnsi="Arial" w:cs="Arial"/>
          <w:b/>
          <w:i/>
          <w:iCs/>
          <w:sz w:val="20"/>
          <w:szCs w:val="20"/>
        </w:rPr>
        <w:t>:</w:t>
      </w:r>
      <w:r w:rsidRPr="007375E8">
        <w:rPr>
          <w:rFonts w:ascii="Arial" w:hAnsi="Arial" w:cs="Arial"/>
          <w:iCs/>
          <w:sz w:val="20"/>
          <w:szCs w:val="20"/>
        </w:rPr>
        <w:t xml:space="preserve"> Experts in dispute resolution and IP infringement believe that a C&amp;D Letter should only be sent out after a comprehensive investigation into the scale and extent of the infringement and should not apply to all cases or acts of IPR infringement.</w:t>
      </w:r>
    </w:p>
    <w:p w14:paraId="4792C904" w14:textId="77777777" w:rsidR="007375E8" w:rsidRPr="007375E8" w:rsidRDefault="007375E8" w:rsidP="007375E8">
      <w:pPr>
        <w:spacing w:after="0" w:line="240" w:lineRule="auto"/>
        <w:jc w:val="both"/>
        <w:rPr>
          <w:rFonts w:ascii="Arial" w:hAnsi="Arial" w:cs="Arial"/>
          <w:iCs/>
          <w:sz w:val="20"/>
          <w:szCs w:val="20"/>
        </w:rPr>
      </w:pPr>
    </w:p>
    <w:p w14:paraId="65368122" w14:textId="77777777" w:rsidR="007375E8" w:rsidRPr="00631122" w:rsidRDefault="007375E8" w:rsidP="007375E8">
      <w:pPr>
        <w:spacing w:after="0" w:line="240" w:lineRule="auto"/>
        <w:jc w:val="both"/>
        <w:rPr>
          <w:rFonts w:ascii="Arial" w:eastAsia="Calibri" w:hAnsi="Arial" w:cs="Arial"/>
          <w:b/>
          <w:bCs/>
          <w:i/>
          <w:color w:val="0000FF"/>
          <w:sz w:val="20"/>
          <w:szCs w:val="20"/>
        </w:rPr>
      </w:pPr>
      <w:r w:rsidRPr="00631122">
        <w:rPr>
          <w:rFonts w:ascii="Arial" w:eastAsia="Calibri" w:hAnsi="Arial" w:cs="Arial"/>
          <w:b/>
          <w:bCs/>
          <w:i/>
          <w:color w:val="0000FF"/>
          <w:sz w:val="20"/>
          <w:szCs w:val="20"/>
        </w:rPr>
        <w:t>What should be noted when receiving a C&amp;D Letter from the perspective of the party accused of IPR</w:t>
      </w:r>
      <w:r w:rsidRPr="00631122">
        <w:rPr>
          <w:rFonts w:ascii="Arial" w:hAnsi="Arial" w:cs="Arial"/>
          <w:i/>
          <w:iCs/>
          <w:sz w:val="20"/>
          <w:szCs w:val="20"/>
        </w:rPr>
        <w:t xml:space="preserve"> </w:t>
      </w:r>
      <w:r w:rsidRPr="00631122">
        <w:rPr>
          <w:rFonts w:ascii="Arial" w:eastAsia="Calibri" w:hAnsi="Arial" w:cs="Arial"/>
          <w:b/>
          <w:bCs/>
          <w:i/>
          <w:color w:val="0000FF"/>
          <w:sz w:val="20"/>
          <w:szCs w:val="20"/>
        </w:rPr>
        <w:t>infringement?</w:t>
      </w:r>
    </w:p>
    <w:p w14:paraId="7704D7A8" w14:textId="77777777" w:rsidR="007375E8" w:rsidRPr="007375E8" w:rsidRDefault="007375E8" w:rsidP="007375E8">
      <w:pPr>
        <w:spacing w:after="0" w:line="240" w:lineRule="auto"/>
        <w:jc w:val="both"/>
        <w:rPr>
          <w:rFonts w:ascii="Arial" w:hAnsi="Arial" w:cs="Arial"/>
          <w:iCs/>
          <w:sz w:val="20"/>
          <w:szCs w:val="20"/>
        </w:rPr>
      </w:pPr>
    </w:p>
    <w:p w14:paraId="0FD22DDD" w14:textId="77777777" w:rsidR="007375E8" w:rsidRPr="007375E8" w:rsidRDefault="007375E8" w:rsidP="007375E8">
      <w:pPr>
        <w:spacing w:after="0" w:line="240" w:lineRule="auto"/>
        <w:jc w:val="both"/>
        <w:rPr>
          <w:rFonts w:ascii="Arial" w:hAnsi="Arial" w:cs="Arial"/>
          <w:iCs/>
          <w:sz w:val="20"/>
          <w:szCs w:val="20"/>
        </w:rPr>
      </w:pPr>
      <w:r w:rsidRPr="007375E8">
        <w:rPr>
          <w:rFonts w:ascii="Arial" w:hAnsi="Arial" w:cs="Arial"/>
          <w:iCs/>
          <w:sz w:val="20"/>
          <w:szCs w:val="20"/>
        </w:rPr>
        <w:t>C&amp;D Letters are not sent randomly or accidentally when you are conducting production and business activities. The primary objective of the IPR holder in issuing a C&amp;D Letter is to convince you that your conduct infringes on their IP rights and, consequently, to request that you cease the alleged infringement of IP rights.</w:t>
      </w:r>
    </w:p>
    <w:p w14:paraId="0D362512" w14:textId="77777777" w:rsidR="007375E8" w:rsidRPr="007375E8" w:rsidRDefault="007375E8" w:rsidP="007375E8">
      <w:pPr>
        <w:spacing w:after="0" w:line="240" w:lineRule="auto"/>
        <w:jc w:val="both"/>
        <w:rPr>
          <w:rFonts w:ascii="Arial" w:hAnsi="Arial" w:cs="Arial"/>
          <w:iCs/>
          <w:sz w:val="20"/>
          <w:szCs w:val="20"/>
        </w:rPr>
      </w:pPr>
    </w:p>
    <w:p w14:paraId="7138D656" w14:textId="77777777" w:rsidR="007375E8" w:rsidRPr="007375E8" w:rsidRDefault="007375E8" w:rsidP="007375E8">
      <w:pPr>
        <w:spacing w:after="0" w:line="240" w:lineRule="auto"/>
        <w:jc w:val="both"/>
        <w:rPr>
          <w:rFonts w:ascii="Arial" w:hAnsi="Arial" w:cs="Arial"/>
          <w:iCs/>
          <w:sz w:val="20"/>
          <w:szCs w:val="20"/>
        </w:rPr>
      </w:pPr>
      <w:r w:rsidRPr="007375E8">
        <w:rPr>
          <w:rFonts w:ascii="Arial" w:hAnsi="Arial" w:cs="Arial"/>
          <w:iCs/>
          <w:sz w:val="20"/>
          <w:szCs w:val="20"/>
        </w:rPr>
        <w:t xml:space="preserve">The C&amp;D Letter is the initial formal communication from the rights holder to the alleged infringer, although it is not a legally binding document for the parties concerned. In essence, the C&amp;D Letter conveys the rights holder's perspective and a unilateral request regarding a certain IP object. When you receive a C&amp;D Letter, you must carefully evaluate the documents and the rights holder's requests, make multidimensional analyses and judgements, and determine the most appropriate response actions.         </w:t>
      </w:r>
    </w:p>
    <w:p w14:paraId="2C83A74A" w14:textId="77777777" w:rsidR="007375E8" w:rsidRPr="007375E8" w:rsidRDefault="007375E8" w:rsidP="007375E8">
      <w:pPr>
        <w:spacing w:after="0" w:line="240" w:lineRule="auto"/>
        <w:jc w:val="both"/>
        <w:rPr>
          <w:rFonts w:ascii="Arial" w:hAnsi="Arial" w:cs="Arial"/>
          <w:iCs/>
          <w:sz w:val="20"/>
          <w:szCs w:val="20"/>
        </w:rPr>
      </w:pPr>
    </w:p>
    <w:tbl>
      <w:tblPr>
        <w:tblStyle w:val="TableGrid"/>
        <w:tblW w:w="9634" w:type="dxa"/>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shd w:val="clear" w:color="auto" w:fill="E2F0EE"/>
        <w:tblLayout w:type="fixed"/>
        <w:tblLook w:val="04A0" w:firstRow="1" w:lastRow="0" w:firstColumn="1" w:lastColumn="0" w:noHBand="0" w:noVBand="1"/>
      </w:tblPr>
      <w:tblGrid>
        <w:gridCol w:w="9634"/>
      </w:tblGrid>
      <w:tr w:rsidR="00576438" w:rsidRPr="00CC78DB" w14:paraId="7760CBDC" w14:textId="77777777" w:rsidTr="00631122">
        <w:trPr>
          <w:trHeight w:val="3391"/>
        </w:trPr>
        <w:tc>
          <w:tcPr>
            <w:tcW w:w="9634" w:type="dxa"/>
            <w:shd w:val="clear" w:color="auto" w:fill="E2F0EE"/>
          </w:tcPr>
          <w:p w14:paraId="62D0FBA2" w14:textId="77777777" w:rsidR="00631122" w:rsidRDefault="00631122" w:rsidP="00631122">
            <w:pPr>
              <w:pStyle w:val="ListParagraph"/>
              <w:ind w:left="1080" w:right="113"/>
              <w:jc w:val="both"/>
              <w:rPr>
                <w:rFonts w:ascii="Arial" w:eastAsia="Calibri" w:hAnsi="Arial" w:cs="Arial"/>
                <w:b/>
                <w:i/>
                <w:color w:val="C00000"/>
                <w:sz w:val="20"/>
                <w:szCs w:val="20"/>
              </w:rPr>
            </w:pPr>
          </w:p>
          <w:p w14:paraId="0A28A628" w14:textId="3BF93773" w:rsidR="00576438" w:rsidRPr="00631122" w:rsidRDefault="00576438" w:rsidP="00631122">
            <w:pPr>
              <w:pStyle w:val="ListParagraph"/>
              <w:numPr>
                <w:ilvl w:val="0"/>
                <w:numId w:val="17"/>
              </w:numPr>
              <w:ind w:right="113"/>
              <w:jc w:val="both"/>
              <w:rPr>
                <w:rFonts w:ascii="Arial" w:eastAsia="Calibri" w:hAnsi="Arial" w:cs="Arial"/>
                <w:b/>
                <w:i/>
                <w:color w:val="C00000"/>
                <w:sz w:val="20"/>
                <w:szCs w:val="20"/>
              </w:rPr>
            </w:pPr>
            <w:r w:rsidRPr="00631122">
              <w:rPr>
                <w:rFonts w:ascii="Arial" w:eastAsia="Calibri" w:hAnsi="Arial" w:cs="Arial"/>
                <w:b/>
                <w:i/>
                <w:color w:val="C00000"/>
                <w:sz w:val="20"/>
                <w:szCs w:val="20"/>
              </w:rPr>
              <w:t>Legal basis, documents proving the IPR rights of the rights holder, the term of protection of the IPR, noting that the IPR subject matters have different grounds for arising and establishing different rights, forms, conditions must be met to be protected;</w:t>
            </w:r>
          </w:p>
          <w:p w14:paraId="547B0267" w14:textId="74E350AD" w:rsidR="00576438" w:rsidRPr="00631122" w:rsidRDefault="00576438" w:rsidP="00631122">
            <w:pPr>
              <w:pStyle w:val="ListParagraph"/>
              <w:numPr>
                <w:ilvl w:val="0"/>
                <w:numId w:val="17"/>
              </w:numPr>
              <w:ind w:right="113"/>
              <w:jc w:val="both"/>
              <w:rPr>
                <w:rFonts w:ascii="Arial" w:eastAsia="Calibri" w:hAnsi="Arial" w:cs="Arial"/>
                <w:b/>
                <w:i/>
                <w:color w:val="C00000"/>
                <w:sz w:val="20"/>
                <w:szCs w:val="20"/>
              </w:rPr>
            </w:pPr>
            <w:r w:rsidRPr="00631122">
              <w:rPr>
                <w:rFonts w:ascii="Arial" w:eastAsia="Calibri" w:hAnsi="Arial" w:cs="Arial"/>
                <w:b/>
                <w:i/>
                <w:color w:val="C00000"/>
                <w:sz w:val="20"/>
                <w:szCs w:val="20"/>
              </w:rPr>
              <w:t>Analysis and comparisons on the similarity/resemblance between the protected subject matters and the alleged infringing element used on the  products/services and legal bases to make such analysis, assessment and judgment;</w:t>
            </w:r>
          </w:p>
          <w:p w14:paraId="743F6808" w14:textId="77777777" w:rsidR="00631122" w:rsidRDefault="00576438" w:rsidP="00EC73FC">
            <w:pPr>
              <w:pStyle w:val="ListParagraph"/>
              <w:numPr>
                <w:ilvl w:val="0"/>
                <w:numId w:val="17"/>
              </w:numPr>
              <w:ind w:right="113"/>
              <w:jc w:val="both"/>
              <w:rPr>
                <w:rFonts w:ascii="Arial" w:eastAsia="Calibri" w:hAnsi="Arial" w:cs="Arial"/>
                <w:b/>
                <w:i/>
                <w:color w:val="C00000"/>
                <w:sz w:val="20"/>
                <w:szCs w:val="20"/>
              </w:rPr>
            </w:pPr>
            <w:r w:rsidRPr="00631122">
              <w:rPr>
                <w:rFonts w:ascii="Arial" w:eastAsia="Calibri" w:hAnsi="Arial" w:cs="Arial"/>
                <w:b/>
                <w:i/>
                <w:color w:val="C00000"/>
                <w:sz w:val="20"/>
                <w:szCs w:val="20"/>
              </w:rPr>
              <w:t>Legitimacy of requests from IPR holders;</w:t>
            </w:r>
          </w:p>
          <w:p w14:paraId="34BEB4B3" w14:textId="77777777" w:rsidR="00631122" w:rsidRDefault="00576438" w:rsidP="00EC73FC">
            <w:pPr>
              <w:pStyle w:val="ListParagraph"/>
              <w:numPr>
                <w:ilvl w:val="0"/>
                <w:numId w:val="17"/>
              </w:numPr>
              <w:ind w:right="113"/>
              <w:jc w:val="both"/>
              <w:rPr>
                <w:rFonts w:ascii="Arial" w:eastAsia="Calibri" w:hAnsi="Arial" w:cs="Arial"/>
                <w:b/>
                <w:i/>
                <w:color w:val="C00000"/>
                <w:sz w:val="20"/>
                <w:szCs w:val="20"/>
              </w:rPr>
            </w:pPr>
            <w:r w:rsidRPr="00631122">
              <w:rPr>
                <w:rFonts w:ascii="Arial" w:eastAsia="Calibri" w:hAnsi="Arial" w:cs="Arial"/>
                <w:b/>
                <w:i/>
                <w:color w:val="C00000"/>
                <w:sz w:val="20"/>
                <w:szCs w:val="20"/>
              </w:rPr>
              <w:t>Exceptions that do not infringe IP rights;</w:t>
            </w:r>
          </w:p>
          <w:p w14:paraId="48336947" w14:textId="77777777" w:rsidR="00631122" w:rsidRDefault="00576438" w:rsidP="00631122">
            <w:pPr>
              <w:pStyle w:val="ListParagraph"/>
              <w:numPr>
                <w:ilvl w:val="0"/>
                <w:numId w:val="17"/>
              </w:numPr>
              <w:ind w:right="113"/>
              <w:jc w:val="both"/>
              <w:rPr>
                <w:rFonts w:ascii="Arial" w:eastAsia="Calibri" w:hAnsi="Arial" w:cs="Arial"/>
                <w:b/>
                <w:i/>
                <w:color w:val="C00000"/>
                <w:sz w:val="20"/>
                <w:szCs w:val="20"/>
              </w:rPr>
            </w:pPr>
            <w:r w:rsidRPr="00631122">
              <w:rPr>
                <w:rFonts w:ascii="Arial" w:eastAsia="Calibri" w:hAnsi="Arial" w:cs="Arial"/>
                <w:b/>
                <w:i/>
                <w:color w:val="C00000"/>
                <w:sz w:val="20"/>
                <w:szCs w:val="20"/>
              </w:rPr>
              <w:t>Arguments and documents to prove the differences between the protected subject matters and the alleged infringing element to refute the allegation of IPR infringement from the IPR holder;</w:t>
            </w:r>
          </w:p>
          <w:p w14:paraId="1B1B0A24" w14:textId="775A9E48" w:rsidR="00576438" w:rsidRPr="00631122" w:rsidRDefault="00576438" w:rsidP="00631122">
            <w:pPr>
              <w:pStyle w:val="ListParagraph"/>
              <w:numPr>
                <w:ilvl w:val="0"/>
                <w:numId w:val="17"/>
              </w:numPr>
              <w:ind w:right="113"/>
              <w:jc w:val="both"/>
              <w:rPr>
                <w:rFonts w:ascii="Arial" w:eastAsia="Calibri" w:hAnsi="Arial" w:cs="Arial"/>
                <w:b/>
                <w:i/>
                <w:color w:val="C00000"/>
                <w:sz w:val="20"/>
                <w:szCs w:val="20"/>
              </w:rPr>
            </w:pPr>
            <w:r w:rsidRPr="00631122">
              <w:rPr>
                <w:rFonts w:ascii="Arial" w:eastAsia="Calibri" w:hAnsi="Arial" w:cs="Arial"/>
                <w:b/>
                <w:i/>
                <w:color w:val="C00000"/>
                <w:sz w:val="20"/>
                <w:szCs w:val="20"/>
              </w:rPr>
              <w:t>Attacking the validity of a Protection Title according to the termination or invalidation procedure if there is an appropriate legal basis.</w:t>
            </w:r>
          </w:p>
        </w:tc>
      </w:tr>
    </w:tbl>
    <w:bookmarkStart w:id="0" w:name="_GoBack"/>
    <w:bookmarkEnd w:id="0"/>
    <w:p w14:paraId="6F116A51" w14:textId="3AD32DB4" w:rsidR="00576438" w:rsidRPr="007375E8" w:rsidRDefault="004D64BC" w:rsidP="007375E8">
      <w:pPr>
        <w:spacing w:after="0" w:line="240" w:lineRule="auto"/>
        <w:jc w:val="both"/>
        <w:rPr>
          <w:rFonts w:ascii="Arial" w:hAnsi="Arial" w:cs="Arial"/>
          <w:iCs/>
          <w:sz w:val="20"/>
          <w:szCs w:val="20"/>
        </w:rPr>
      </w:pPr>
      <w:r w:rsidRPr="00745E08">
        <w:rPr>
          <w:rFonts w:ascii="Arial" w:hAnsi="Arial" w:cs="Arial"/>
          <w:b/>
          <w:bCs/>
          <w:noProof/>
          <w:color w:val="C00000"/>
          <w:sz w:val="24"/>
          <w:szCs w:val="24"/>
          <w:lang w:eastAsia="ko-KR"/>
        </w:rPr>
        <mc:AlternateContent>
          <mc:Choice Requires="wps">
            <w:drawing>
              <wp:anchor distT="0" distB="0" distL="114300" distR="114300" simplePos="0" relativeHeight="251669504" behindDoc="0" locked="0" layoutInCell="1" allowOverlap="1" wp14:anchorId="359D7C23" wp14:editId="6125B584">
                <wp:simplePos x="0" y="0"/>
                <wp:positionH relativeFrom="column">
                  <wp:posOffset>6392241</wp:posOffset>
                </wp:positionH>
                <wp:positionV relativeFrom="paragraph">
                  <wp:posOffset>-2549525</wp:posOffset>
                </wp:positionV>
                <wp:extent cx="346710" cy="10325735"/>
                <wp:effectExtent l="0" t="0" r="15240" b="18415"/>
                <wp:wrapNone/>
                <wp:docPr id="2" name="Rectangle 2"/>
                <wp:cNvGraphicFramePr/>
                <a:graphic xmlns:a="http://schemas.openxmlformats.org/drawingml/2006/main">
                  <a:graphicData uri="http://schemas.microsoft.com/office/word/2010/wordprocessingShape">
                    <wps:wsp>
                      <wps:cNvSpPr/>
                      <wps:spPr>
                        <a:xfrm>
                          <a:off x="0" y="0"/>
                          <a:ext cx="346710" cy="10325735"/>
                        </a:xfrm>
                        <a:prstGeom prst="rect">
                          <a:avLst/>
                        </a:prstGeom>
                        <a:solidFill>
                          <a:srgbClr val="00B39C"/>
                        </a:solidFill>
                        <a:ln w="0">
                          <a:solidFill>
                            <a:srgbClr val="00B39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F734BC0" w14:textId="77777777" w:rsidR="004D64BC" w:rsidRPr="00BA68B8" w:rsidRDefault="004D64BC" w:rsidP="004D64BC">
                            <w:pPr>
                              <w:spacing w:after="0" w:line="240" w:lineRule="auto"/>
                              <w:rPr>
                                <w:rFonts w:ascii="Arial" w:hAnsi="Arial" w:cs="Arial"/>
                                <w:b/>
                                <w:color w:val="FFFFFF" w:themeColor="background1"/>
                                <w:sz w:val="20"/>
                                <w:szCs w:val="20"/>
                              </w:rPr>
                            </w:pPr>
                            <w:r w:rsidRPr="00745E08">
                              <w:rPr>
                                <w:rFonts w:ascii="Arial" w:hAnsi="Arial" w:cs="Arial"/>
                                <w:b/>
                                <w:bCs/>
                                <w:color w:val="FFFFFF" w:themeColor="background1"/>
                                <w:sz w:val="20"/>
                                <w:szCs w:val="20"/>
                              </w:rPr>
                              <w:t>Infringement of intellectual property rights</w:t>
                            </w: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9D7C23" id="Rectangle 2" o:spid="_x0000_s1029" style="position:absolute;left:0;text-align:left;margin-left:503.35pt;margin-top:-200.75pt;width:27.3pt;height:813.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" fillcolor="#00b39c" strokecolor="#00b39c" strokeweight="0">
                <v:textbox style="layout-flow:vertical">
                  <w:txbxContent>
                    <w:p w14:paraId="5F734BC0" w14:textId="77777777" w:rsidR="004D64BC" w:rsidRPr="00BA68B8" w:rsidRDefault="004D64BC" w:rsidP="004D64BC">
                      <w:pPr>
                        <w:spacing w:after="0" w:line="240" w:lineRule="auto"/>
                        <w:rPr>
                          <w:rFonts w:ascii="Arial" w:hAnsi="Arial" w:cs="Arial"/>
                          <w:b/>
                          <w:color w:val="FFFFFF" w:themeColor="background1"/>
                          <w:sz w:val="20"/>
                          <w:szCs w:val="20"/>
                        </w:rPr>
                      </w:pPr>
                      <w:r w:rsidRPr="00745E08">
                        <w:rPr>
                          <w:rFonts w:ascii="Arial" w:hAnsi="Arial" w:cs="Arial"/>
                          <w:b/>
                          <w:bCs/>
                          <w:color w:val="FFFFFF" w:themeColor="background1"/>
                          <w:sz w:val="20"/>
                          <w:szCs w:val="20"/>
                        </w:rPr>
                        <w:t>Infringement of intellectual property rights</w:t>
                      </w:r>
                    </w:p>
                  </w:txbxContent>
                </v:textbox>
              </v:rect>
            </w:pict>
          </mc:Fallback>
        </mc:AlternateContent>
      </w:r>
    </w:p>
    <w:p w14:paraId="00B89841" w14:textId="31901538" w:rsidR="007375E8" w:rsidRPr="007375E8" w:rsidRDefault="007375E8" w:rsidP="007375E8">
      <w:pPr>
        <w:spacing w:after="0" w:line="240" w:lineRule="auto"/>
        <w:jc w:val="both"/>
        <w:rPr>
          <w:rFonts w:ascii="Arial" w:hAnsi="Arial" w:cs="Arial"/>
          <w:iCs/>
          <w:sz w:val="20"/>
          <w:szCs w:val="20"/>
        </w:rPr>
      </w:pPr>
      <w:r w:rsidRPr="007375E8">
        <w:rPr>
          <w:rFonts w:ascii="Arial" w:hAnsi="Arial" w:cs="Arial"/>
          <w:iCs/>
          <w:sz w:val="20"/>
          <w:szCs w:val="20"/>
        </w:rPr>
        <w:t xml:space="preserve">In addition, note that even in cases where an IPR holder has provided a copy of the assessment conclusion from Vietnamese competent authority (e.g. Vietnam Intellectual Property Research </w:t>
      </w:r>
      <w:r w:rsidRPr="003756D4">
        <w:rPr>
          <w:rFonts w:ascii="Arial" w:hAnsi="Arial" w:cs="Arial"/>
          <w:iCs/>
          <w:sz w:val="20"/>
          <w:szCs w:val="20"/>
        </w:rPr>
        <w:t>Institute (“</w:t>
      </w:r>
      <w:hyperlink r:id="rId8" w:history="1">
        <w:r w:rsidR="003756D4" w:rsidRPr="003756D4">
          <w:rPr>
            <w:rStyle w:val="Hyperlink"/>
            <w:rFonts w:ascii="Arial" w:hAnsi="Arial" w:cs="Arial"/>
            <w:color w:val="0070C0"/>
            <w:sz w:val="20"/>
            <w:szCs w:val="20"/>
          </w:rPr>
          <w:t>VIPRI</w:t>
        </w:r>
      </w:hyperlink>
      <w:r w:rsidRPr="003756D4">
        <w:rPr>
          <w:rFonts w:ascii="Arial" w:hAnsi="Arial" w:cs="Arial"/>
          <w:iCs/>
          <w:sz w:val="20"/>
          <w:szCs w:val="20"/>
        </w:rPr>
        <w:t>”)</w:t>
      </w:r>
      <w:r w:rsidRPr="007375E8">
        <w:rPr>
          <w:rFonts w:ascii="Arial" w:hAnsi="Arial" w:cs="Arial"/>
          <w:iCs/>
          <w:sz w:val="20"/>
          <w:szCs w:val="20"/>
        </w:rPr>
        <w:t xml:space="preserve"> or Examination Center of Copyrights and Related Rights (“</w:t>
      </w:r>
      <w:hyperlink r:id="rId9" w:history="1">
        <w:r w:rsidR="003756D4" w:rsidRPr="003756D4">
          <w:rPr>
            <w:rStyle w:val="Hyperlink"/>
            <w:rFonts w:ascii="Arial" w:hAnsi="Arial" w:cs="Arial"/>
            <w:color w:val="0070C0"/>
            <w:sz w:val="20"/>
            <w:szCs w:val="20"/>
          </w:rPr>
          <w:t>ECCR</w:t>
        </w:r>
      </w:hyperlink>
      <w:r w:rsidRPr="007375E8">
        <w:rPr>
          <w:rFonts w:ascii="Arial" w:hAnsi="Arial" w:cs="Arial"/>
          <w:iCs/>
          <w:sz w:val="20"/>
          <w:szCs w:val="20"/>
        </w:rPr>
        <w:t>”), this does not automatically result in the final conclusion that your conduct has infringed another’s IPR. Notably, the assessment conclusions merely serve as expert opinions from a third party for the enforcement agency (</w:t>
      </w:r>
      <w:r w:rsidRPr="004D64BC">
        <w:rPr>
          <w:rFonts w:ascii="Arial" w:hAnsi="Arial" w:cs="Arial"/>
          <w:i/>
          <w:iCs/>
          <w:sz w:val="20"/>
          <w:szCs w:val="20"/>
        </w:rPr>
        <w:t>Market management, police, customs, courts, etc</w:t>
      </w:r>
      <w:r w:rsidRPr="007375E8">
        <w:rPr>
          <w:rFonts w:ascii="Arial" w:hAnsi="Arial" w:cs="Arial"/>
          <w:iCs/>
          <w:sz w:val="20"/>
          <w:szCs w:val="20"/>
        </w:rPr>
        <w:t>.) to refer to when determining whether the elements constituting the act of infringing upon another’s IPR have been met or not. The written assessment conclusions by VIPRI and ECCR only give views on "</w:t>
      </w:r>
      <w:r w:rsidRPr="004D64BC">
        <w:rPr>
          <w:rFonts w:ascii="Arial" w:hAnsi="Arial" w:cs="Arial"/>
          <w:b/>
          <w:i/>
          <w:iCs/>
          <w:sz w:val="20"/>
          <w:szCs w:val="20"/>
        </w:rPr>
        <w:t>infringing elements</w:t>
      </w:r>
      <w:r w:rsidRPr="007375E8">
        <w:rPr>
          <w:rFonts w:ascii="Arial" w:hAnsi="Arial" w:cs="Arial"/>
          <w:iCs/>
          <w:sz w:val="20"/>
          <w:szCs w:val="20"/>
        </w:rPr>
        <w:t>" and are incapable of concluding "</w:t>
      </w:r>
      <w:r w:rsidRPr="004D64BC">
        <w:rPr>
          <w:rFonts w:ascii="Arial" w:hAnsi="Arial" w:cs="Arial"/>
          <w:b/>
          <w:i/>
          <w:iCs/>
          <w:sz w:val="20"/>
          <w:szCs w:val="20"/>
        </w:rPr>
        <w:t>infringement</w:t>
      </w:r>
      <w:r w:rsidRPr="007375E8">
        <w:rPr>
          <w:rFonts w:ascii="Arial" w:hAnsi="Arial" w:cs="Arial"/>
          <w:iCs/>
          <w:sz w:val="20"/>
          <w:szCs w:val="20"/>
        </w:rPr>
        <w:t>". Thus, a sign/object can be considered an “</w:t>
      </w:r>
      <w:r w:rsidRPr="004D64BC">
        <w:rPr>
          <w:rFonts w:ascii="Arial" w:hAnsi="Arial" w:cs="Arial"/>
          <w:i/>
          <w:iCs/>
          <w:sz w:val="20"/>
          <w:szCs w:val="20"/>
        </w:rPr>
        <w:t>infringing element</w:t>
      </w:r>
      <w:r w:rsidRPr="007375E8">
        <w:rPr>
          <w:rFonts w:ascii="Arial" w:hAnsi="Arial" w:cs="Arial"/>
          <w:iCs/>
          <w:sz w:val="20"/>
          <w:szCs w:val="20"/>
        </w:rPr>
        <w:t>”, but whether its use of that element/object can be regarded an “</w:t>
      </w:r>
      <w:r w:rsidRPr="004D64BC">
        <w:rPr>
          <w:rFonts w:ascii="Arial" w:hAnsi="Arial" w:cs="Arial"/>
          <w:i/>
          <w:iCs/>
          <w:sz w:val="20"/>
          <w:szCs w:val="20"/>
        </w:rPr>
        <w:t>infringement</w:t>
      </w:r>
      <w:r w:rsidRPr="007375E8">
        <w:rPr>
          <w:rFonts w:ascii="Arial" w:hAnsi="Arial" w:cs="Arial"/>
          <w:iCs/>
          <w:sz w:val="20"/>
          <w:szCs w:val="20"/>
        </w:rPr>
        <w:t>” is an entirely separate matter.</w:t>
      </w:r>
    </w:p>
    <w:p w14:paraId="44B5A079" w14:textId="77777777" w:rsidR="007375E8" w:rsidRPr="007375E8" w:rsidRDefault="007375E8" w:rsidP="007375E8">
      <w:pPr>
        <w:spacing w:after="0" w:line="240" w:lineRule="auto"/>
        <w:jc w:val="both"/>
        <w:rPr>
          <w:rFonts w:ascii="Arial" w:hAnsi="Arial" w:cs="Arial"/>
          <w:iCs/>
          <w:sz w:val="20"/>
          <w:szCs w:val="20"/>
        </w:rPr>
      </w:pPr>
    </w:p>
    <w:p w14:paraId="06DA17E8" w14:textId="77777777" w:rsidR="007375E8" w:rsidRPr="00631122" w:rsidRDefault="007375E8" w:rsidP="007375E8">
      <w:pPr>
        <w:spacing w:after="0" w:line="240" w:lineRule="auto"/>
        <w:jc w:val="both"/>
        <w:rPr>
          <w:rFonts w:ascii="Arial" w:eastAsia="Calibri" w:hAnsi="Arial" w:cs="Arial"/>
          <w:b/>
          <w:bCs/>
          <w:i/>
          <w:color w:val="0000FF"/>
          <w:sz w:val="20"/>
          <w:szCs w:val="20"/>
        </w:rPr>
      </w:pPr>
      <w:r w:rsidRPr="00631122">
        <w:rPr>
          <w:rFonts w:ascii="Arial" w:eastAsia="Calibri" w:hAnsi="Arial" w:cs="Arial"/>
          <w:b/>
          <w:bCs/>
          <w:i/>
          <w:color w:val="0000FF"/>
          <w:sz w:val="20"/>
          <w:szCs w:val="20"/>
        </w:rPr>
        <w:t>Conclusion</w:t>
      </w:r>
    </w:p>
    <w:p w14:paraId="77D3C4F8" w14:textId="77777777" w:rsidR="007375E8" w:rsidRPr="007375E8" w:rsidRDefault="007375E8" w:rsidP="007375E8">
      <w:pPr>
        <w:spacing w:after="0" w:line="240" w:lineRule="auto"/>
        <w:jc w:val="both"/>
        <w:rPr>
          <w:rFonts w:ascii="Arial" w:hAnsi="Arial" w:cs="Arial"/>
          <w:iCs/>
          <w:sz w:val="20"/>
          <w:szCs w:val="20"/>
        </w:rPr>
      </w:pPr>
    </w:p>
    <w:p w14:paraId="123845F3" w14:textId="77777777" w:rsidR="007375E8" w:rsidRPr="007375E8" w:rsidRDefault="007375E8" w:rsidP="007375E8">
      <w:pPr>
        <w:spacing w:after="0" w:line="240" w:lineRule="auto"/>
        <w:jc w:val="both"/>
        <w:rPr>
          <w:rFonts w:ascii="Arial" w:hAnsi="Arial" w:cs="Arial"/>
          <w:iCs/>
          <w:sz w:val="20"/>
          <w:szCs w:val="20"/>
        </w:rPr>
      </w:pPr>
      <w:r w:rsidRPr="007375E8">
        <w:rPr>
          <w:rFonts w:ascii="Arial" w:hAnsi="Arial" w:cs="Arial"/>
          <w:iCs/>
          <w:sz w:val="20"/>
          <w:szCs w:val="20"/>
        </w:rPr>
        <w:t>In any case, it is critical to immediately contact IP experts or IP service providers with extensive practical experience in this industry. KENFOX IP &amp; Law Office with substantial industry experience. KENFOX IP &amp; Law Office, with experience in handling complex IP rights infringement cases, has been handling various IPR disputes and infringement under administrative, civil, and criminal proceedings and guarantees to deliver optimal solutions, regardless of whether you are the owner of IP rights or the party accused of infringing IP rights.</w:t>
      </w:r>
    </w:p>
    <w:p w14:paraId="69B5CD14" w14:textId="77777777" w:rsidR="007375E8" w:rsidRPr="00D03044" w:rsidRDefault="007375E8" w:rsidP="00D03044">
      <w:pPr>
        <w:spacing w:after="0" w:line="240" w:lineRule="auto"/>
        <w:jc w:val="both"/>
        <w:rPr>
          <w:rFonts w:ascii="Arial" w:hAnsi="Arial" w:cs="Arial"/>
          <w:iCs/>
          <w:sz w:val="20"/>
          <w:szCs w:val="20"/>
        </w:rPr>
      </w:pPr>
    </w:p>
    <w:p w14:paraId="68D8DE35" w14:textId="77777777" w:rsidR="0002156E" w:rsidRPr="00D03044" w:rsidRDefault="0002156E" w:rsidP="0002156E">
      <w:pPr>
        <w:spacing w:after="0" w:line="240" w:lineRule="auto"/>
        <w:jc w:val="right"/>
        <w:rPr>
          <w:rFonts w:ascii="Arial" w:hAnsi="Arial" w:cs="Arial"/>
          <w:b/>
          <w:sz w:val="20"/>
          <w:szCs w:val="20"/>
        </w:rPr>
      </w:pPr>
    </w:p>
    <w:p w14:paraId="62D17C41" w14:textId="77777777" w:rsidR="0002156E" w:rsidRPr="00D03044" w:rsidRDefault="0002156E" w:rsidP="0002156E">
      <w:pPr>
        <w:spacing w:after="0" w:line="240" w:lineRule="auto"/>
        <w:jc w:val="right"/>
        <w:rPr>
          <w:rFonts w:ascii="Arial" w:hAnsi="Arial" w:cs="Arial"/>
          <w:b/>
          <w:sz w:val="20"/>
          <w:szCs w:val="20"/>
        </w:rPr>
      </w:pPr>
      <w:r w:rsidRPr="00D03044">
        <w:rPr>
          <w:rFonts w:ascii="Arial" w:hAnsi="Arial" w:cs="Arial"/>
          <w:b/>
          <w:sz w:val="20"/>
          <w:szCs w:val="20"/>
        </w:rPr>
        <w:t>By Nguyen Vu QUAN</w:t>
      </w:r>
    </w:p>
    <w:p w14:paraId="1998C420" w14:textId="77777777" w:rsidR="0002156E" w:rsidRPr="00D03044" w:rsidRDefault="0002156E" w:rsidP="0002156E">
      <w:pPr>
        <w:spacing w:after="0" w:line="240" w:lineRule="auto"/>
        <w:jc w:val="right"/>
        <w:rPr>
          <w:rFonts w:ascii="Arial" w:hAnsi="Arial" w:cs="Arial"/>
          <w:b/>
          <w:sz w:val="20"/>
          <w:szCs w:val="20"/>
        </w:rPr>
      </w:pPr>
      <w:r w:rsidRPr="00D03044">
        <w:rPr>
          <w:rFonts w:ascii="Arial" w:hAnsi="Arial" w:cs="Arial"/>
          <w:b/>
          <w:sz w:val="20"/>
          <w:szCs w:val="20"/>
        </w:rPr>
        <w:t>Partner &amp; IP Attorney</w:t>
      </w:r>
    </w:p>
    <w:p w14:paraId="14A8B26E" w14:textId="77777777" w:rsidR="0002156E" w:rsidRPr="00D03044" w:rsidRDefault="0002156E" w:rsidP="0002156E">
      <w:pPr>
        <w:spacing w:after="0" w:line="240" w:lineRule="auto"/>
        <w:jc w:val="both"/>
        <w:rPr>
          <w:rFonts w:ascii="Arial" w:eastAsia="Times New Roman" w:hAnsi="Arial" w:cs="Arial"/>
          <w:sz w:val="20"/>
          <w:szCs w:val="20"/>
          <w:lang w:eastAsia="ko-KR"/>
        </w:rPr>
      </w:pPr>
      <w:r w:rsidRPr="00D03044">
        <w:rPr>
          <w:rFonts w:ascii="Arial" w:hAnsi="Arial" w:cs="Arial"/>
          <w:noProof/>
          <w:lang w:eastAsia="ko-KR"/>
        </w:rPr>
        <mc:AlternateContent>
          <mc:Choice Requires="wps">
            <w:drawing>
              <wp:anchor distT="0" distB="0" distL="114300" distR="114300" simplePos="0" relativeHeight="251665408" behindDoc="0" locked="0" layoutInCell="1" allowOverlap="1" wp14:anchorId="2B2481EB" wp14:editId="3298E466">
                <wp:simplePos x="0" y="0"/>
                <wp:positionH relativeFrom="column">
                  <wp:posOffset>3810</wp:posOffset>
                </wp:positionH>
                <wp:positionV relativeFrom="paragraph">
                  <wp:posOffset>163831</wp:posOffset>
                </wp:positionV>
                <wp:extent cx="3352800" cy="1181100"/>
                <wp:effectExtent l="0" t="0" r="19050" b="19050"/>
                <wp:wrapNone/>
                <wp:docPr id="36"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0" cy="1181100"/>
                        </a:xfrm>
                        <a:prstGeom prst="rect">
                          <a:avLst/>
                        </a:prstGeom>
                        <a:solidFill>
                          <a:schemeClr val="bg1">
                            <a:lumMod val="85000"/>
                            <a:lumOff val="0"/>
                          </a:schemeClr>
                        </a:solidFill>
                        <a:ln w="9525">
                          <a:solidFill>
                            <a:schemeClr val="accent2">
                              <a:lumMod val="100000"/>
                              <a:lumOff val="0"/>
                            </a:schemeClr>
                          </a:solidFill>
                          <a:miter lim="800000"/>
                          <a:headEnd/>
                          <a:tailEnd/>
                        </a:ln>
                      </wps:spPr>
                      <wps:txbx>
                        <w:txbxContent>
                          <w:p w14:paraId="3A466083" w14:textId="77777777" w:rsidR="0002156E" w:rsidRPr="008D383A" w:rsidRDefault="0002156E" w:rsidP="0002156E">
                            <w:pPr>
                              <w:spacing w:before="20" w:afterLines="20" w:after="48" w:line="240" w:lineRule="auto"/>
                              <w:ind w:left="142"/>
                              <w:rPr>
                                <w:rFonts w:ascii="Arial" w:hAnsi="Arial" w:cs="Arial"/>
                                <w:b/>
                                <w:color w:val="44546A" w:themeColor="text2"/>
                              </w:rPr>
                            </w:pPr>
                            <w:r w:rsidRPr="008D383A">
                              <w:rPr>
                                <w:rFonts w:ascii="Arial" w:hAnsi="Arial" w:cs="Arial"/>
                                <w:b/>
                                <w:color w:val="44546A" w:themeColor="text2"/>
                              </w:rPr>
                              <w:t>Contact</w:t>
                            </w:r>
                          </w:p>
                          <w:p w14:paraId="38F1427A" w14:textId="77777777" w:rsidR="0002156E" w:rsidRPr="008D383A" w:rsidRDefault="0002156E" w:rsidP="0002156E">
                            <w:pPr>
                              <w:spacing w:before="20" w:afterLines="20" w:after="48" w:line="240" w:lineRule="auto"/>
                              <w:ind w:left="142"/>
                              <w:rPr>
                                <w:rFonts w:ascii="Arial" w:hAnsi="Arial" w:cs="Arial"/>
                                <w:b/>
                                <w:sz w:val="20"/>
                                <w:szCs w:val="20"/>
                              </w:rPr>
                            </w:pPr>
                            <w:r w:rsidRPr="008D383A">
                              <w:rPr>
                                <w:rFonts w:ascii="Arial" w:hAnsi="Arial" w:cs="Arial"/>
                                <w:b/>
                                <w:sz w:val="20"/>
                                <w:szCs w:val="20"/>
                              </w:rPr>
                              <w:t>KENFOX IP &amp; Law Office</w:t>
                            </w:r>
                          </w:p>
                          <w:p w14:paraId="1A9027B3" w14:textId="77777777" w:rsidR="0002156E" w:rsidRPr="00B31724" w:rsidRDefault="0002156E" w:rsidP="0002156E">
                            <w:pPr>
                              <w:spacing w:before="20" w:afterLines="20" w:after="48" w:line="240" w:lineRule="auto"/>
                              <w:ind w:left="142"/>
                              <w:rPr>
                                <w:rFonts w:ascii="Arial" w:hAnsi="Arial" w:cs="Arial"/>
                                <w:b/>
                                <w:sz w:val="20"/>
                                <w:szCs w:val="20"/>
                              </w:rPr>
                            </w:pPr>
                            <w:r w:rsidRPr="00B31724">
                              <w:rPr>
                                <w:rFonts w:ascii="Arial" w:hAnsi="Arial" w:cs="Arial"/>
                                <w:sz w:val="20"/>
                                <w:szCs w:val="20"/>
                              </w:rPr>
                              <w:t>Building No. 6, Lane 12/93, Chinh Kinh Street, Nhan Chinh Ward, Thanh Xuan District, Hanoi, Vietnam</w:t>
                            </w:r>
                          </w:p>
                          <w:p w14:paraId="274FCEA7" w14:textId="77777777" w:rsidR="0002156E" w:rsidRPr="00FF333E" w:rsidRDefault="0002156E" w:rsidP="0002156E">
                            <w:pPr>
                              <w:spacing w:before="20" w:afterLines="20" w:after="48" w:line="240" w:lineRule="auto"/>
                              <w:ind w:left="142"/>
                              <w:rPr>
                                <w:rFonts w:ascii="Arial" w:hAnsi="Arial" w:cs="Arial"/>
                                <w:sz w:val="20"/>
                                <w:szCs w:val="20"/>
                              </w:rPr>
                            </w:pPr>
                            <w:r w:rsidRPr="00F61D83">
                              <w:rPr>
                                <w:rFonts w:ascii="Arial" w:hAnsi="Arial" w:cs="Arial"/>
                                <w:b/>
                                <w:color w:val="44546A" w:themeColor="text2"/>
                                <w:sz w:val="20"/>
                                <w:szCs w:val="20"/>
                              </w:rPr>
                              <w:t>Tel:</w:t>
                            </w:r>
                            <w:r w:rsidRPr="00FF333E">
                              <w:rPr>
                                <w:rFonts w:ascii="Arial" w:hAnsi="Arial" w:cs="Arial"/>
                                <w:sz w:val="20"/>
                                <w:szCs w:val="20"/>
                              </w:rPr>
                              <w:t xml:space="preserve"> </w:t>
                            </w:r>
                            <w:r w:rsidRPr="00B31724">
                              <w:rPr>
                                <w:rFonts w:ascii="Arial" w:hAnsi="Arial" w:cs="Arial"/>
                                <w:sz w:val="20"/>
                                <w:szCs w:val="20"/>
                              </w:rPr>
                              <w:t>+84 24 3724 5656</w:t>
                            </w:r>
                          </w:p>
                          <w:p w14:paraId="3BB7A13A" w14:textId="77777777" w:rsidR="0002156E" w:rsidRPr="00B31724" w:rsidRDefault="0002156E" w:rsidP="0002156E">
                            <w:pPr>
                              <w:spacing w:before="20" w:afterLines="20" w:after="48"/>
                              <w:ind w:left="142"/>
                              <w:rPr>
                                <w:rFonts w:ascii="Arial" w:hAnsi="Arial" w:cs="Arial"/>
                                <w:b/>
                                <w:sz w:val="20"/>
                                <w:szCs w:val="20"/>
                              </w:rPr>
                            </w:pPr>
                            <w:r w:rsidRPr="00F61D83">
                              <w:rPr>
                                <w:rFonts w:ascii="Arial" w:hAnsi="Arial" w:cs="Arial"/>
                                <w:b/>
                                <w:color w:val="44546A" w:themeColor="text2"/>
                                <w:sz w:val="20"/>
                                <w:szCs w:val="20"/>
                              </w:rPr>
                              <w:t>Email:</w:t>
                            </w:r>
                            <w:r w:rsidRPr="00FF333E">
                              <w:rPr>
                                <w:rFonts w:ascii="Arial" w:hAnsi="Arial" w:cs="Arial"/>
                                <w:sz w:val="20"/>
                                <w:szCs w:val="20"/>
                              </w:rPr>
                              <w:t xml:space="preserve"> </w:t>
                            </w:r>
                            <w:r w:rsidRPr="00933532">
                              <w:rPr>
                                <w:rFonts w:ascii="Arial" w:hAnsi="Arial" w:cs="Arial"/>
                                <w:color w:val="0000FF"/>
                                <w:sz w:val="20"/>
                                <w:szCs w:val="20"/>
                                <w:u w:val="single"/>
                              </w:rPr>
                              <w:t>info@kenfoxlaw.com</w:t>
                            </w:r>
                            <w:r w:rsidRPr="00933532">
                              <w:rPr>
                                <w:rFonts w:ascii="Arial" w:hAnsi="Arial" w:cs="Arial"/>
                                <w:color w:val="0000FF"/>
                                <w:sz w:val="20"/>
                                <w:szCs w:val="20"/>
                              </w:rPr>
                              <w:t xml:space="preserve"> </w:t>
                            </w:r>
                            <w:r w:rsidRPr="00933532">
                              <w:rPr>
                                <w:rFonts w:ascii="Arial" w:hAnsi="Arial" w:cs="Arial"/>
                                <w:color w:val="0000FF"/>
                                <w:sz w:val="20"/>
                                <w:szCs w:val="20"/>
                                <w:u w:val="single"/>
                              </w:rPr>
                              <w:t>/ kenfox@kenfoxlaw.com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2481EB" id="Rectangle 48" o:spid="_x0000_s1030" style="position:absolute;left:0;text-align:left;margin-left:.3pt;margin-top:12.9pt;width:264pt;height:9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" fillcolor="#d8d8d8 [2732]" strokecolor="#ed7d31 [3205]">
                <v:textbox>
                  <w:txbxContent>
                    <w:p w14:paraId="3A466083" w14:textId="77777777" w:rsidR="0002156E" w:rsidRPr="008D383A" w:rsidRDefault="0002156E" w:rsidP="0002156E">
                      <w:pPr>
                        <w:spacing w:before="20" w:afterLines="20" w:after="48" w:line="240" w:lineRule="auto"/>
                        <w:ind w:left="142"/>
                        <w:rPr>
                          <w:rFonts w:ascii="Arial" w:hAnsi="Arial" w:cs="Arial"/>
                          <w:b/>
                          <w:color w:val="44546A" w:themeColor="text2"/>
                        </w:rPr>
                      </w:pPr>
                      <w:r w:rsidRPr="008D383A">
                        <w:rPr>
                          <w:rFonts w:ascii="Arial" w:hAnsi="Arial" w:cs="Arial"/>
                          <w:b/>
                          <w:color w:val="44546A" w:themeColor="text2"/>
                        </w:rPr>
                        <w:t>Contact</w:t>
                      </w:r>
                    </w:p>
                    <w:p w14:paraId="38F1427A" w14:textId="77777777" w:rsidR="0002156E" w:rsidRPr="008D383A" w:rsidRDefault="0002156E" w:rsidP="0002156E">
                      <w:pPr>
                        <w:spacing w:before="20" w:afterLines="20" w:after="48" w:line="240" w:lineRule="auto"/>
                        <w:ind w:left="142"/>
                        <w:rPr>
                          <w:rFonts w:ascii="Arial" w:hAnsi="Arial" w:cs="Arial"/>
                          <w:b/>
                          <w:sz w:val="20"/>
                          <w:szCs w:val="20"/>
                        </w:rPr>
                      </w:pPr>
                      <w:r w:rsidRPr="008D383A">
                        <w:rPr>
                          <w:rFonts w:ascii="Arial" w:hAnsi="Arial" w:cs="Arial"/>
                          <w:b/>
                          <w:sz w:val="20"/>
                          <w:szCs w:val="20"/>
                        </w:rPr>
                        <w:t>KENFOX IP &amp; Law Office</w:t>
                      </w:r>
                    </w:p>
                    <w:p w14:paraId="1A9027B3" w14:textId="77777777" w:rsidR="0002156E" w:rsidRPr="00B31724" w:rsidRDefault="0002156E" w:rsidP="0002156E">
                      <w:pPr>
                        <w:spacing w:before="20" w:afterLines="20" w:after="48" w:line="240" w:lineRule="auto"/>
                        <w:ind w:left="142"/>
                        <w:rPr>
                          <w:rFonts w:ascii="Arial" w:hAnsi="Arial" w:cs="Arial"/>
                          <w:b/>
                          <w:sz w:val="20"/>
                          <w:szCs w:val="20"/>
                        </w:rPr>
                      </w:pPr>
                      <w:r w:rsidRPr="00B31724">
                        <w:rPr>
                          <w:rFonts w:ascii="Arial" w:hAnsi="Arial" w:cs="Arial"/>
                          <w:sz w:val="20"/>
                          <w:szCs w:val="20"/>
                        </w:rPr>
                        <w:t>Building No. 6, Lane 12/93, Chinh Kinh Street, Nhan Chinh Ward, Thanh Xuan District, Hanoi, Vietnam</w:t>
                      </w:r>
                    </w:p>
                    <w:p w14:paraId="274FCEA7" w14:textId="77777777" w:rsidR="0002156E" w:rsidRPr="00FF333E" w:rsidRDefault="0002156E" w:rsidP="0002156E">
                      <w:pPr>
                        <w:spacing w:before="20" w:afterLines="20" w:after="48" w:line="240" w:lineRule="auto"/>
                        <w:ind w:left="142"/>
                        <w:rPr>
                          <w:rFonts w:ascii="Arial" w:hAnsi="Arial" w:cs="Arial"/>
                          <w:sz w:val="20"/>
                          <w:szCs w:val="20"/>
                        </w:rPr>
                      </w:pPr>
                      <w:r w:rsidRPr="00F61D83">
                        <w:rPr>
                          <w:rFonts w:ascii="Arial" w:hAnsi="Arial" w:cs="Arial"/>
                          <w:b/>
                          <w:color w:val="44546A" w:themeColor="text2"/>
                          <w:sz w:val="20"/>
                          <w:szCs w:val="20"/>
                        </w:rPr>
                        <w:t>Tel:</w:t>
                      </w:r>
                      <w:r w:rsidRPr="00FF333E">
                        <w:rPr>
                          <w:rFonts w:ascii="Arial" w:hAnsi="Arial" w:cs="Arial"/>
                          <w:sz w:val="20"/>
                          <w:szCs w:val="20"/>
                        </w:rPr>
                        <w:t xml:space="preserve"> </w:t>
                      </w:r>
                      <w:r w:rsidRPr="00B31724">
                        <w:rPr>
                          <w:rFonts w:ascii="Arial" w:hAnsi="Arial" w:cs="Arial"/>
                          <w:sz w:val="20"/>
                          <w:szCs w:val="20"/>
                        </w:rPr>
                        <w:t>+84 24 3724 5656</w:t>
                      </w:r>
                    </w:p>
                    <w:p w14:paraId="3BB7A13A" w14:textId="77777777" w:rsidR="0002156E" w:rsidRPr="00B31724" w:rsidRDefault="0002156E" w:rsidP="0002156E">
                      <w:pPr>
                        <w:spacing w:before="20" w:afterLines="20" w:after="48"/>
                        <w:ind w:left="142"/>
                        <w:rPr>
                          <w:rFonts w:ascii="Arial" w:hAnsi="Arial" w:cs="Arial"/>
                          <w:b/>
                          <w:sz w:val="20"/>
                          <w:szCs w:val="20"/>
                        </w:rPr>
                      </w:pPr>
                      <w:r w:rsidRPr="00F61D83">
                        <w:rPr>
                          <w:rFonts w:ascii="Arial" w:hAnsi="Arial" w:cs="Arial"/>
                          <w:b/>
                          <w:color w:val="44546A" w:themeColor="text2"/>
                          <w:sz w:val="20"/>
                          <w:szCs w:val="20"/>
                        </w:rPr>
                        <w:t>Email:</w:t>
                      </w:r>
                      <w:r w:rsidRPr="00FF333E">
                        <w:rPr>
                          <w:rFonts w:ascii="Arial" w:hAnsi="Arial" w:cs="Arial"/>
                          <w:sz w:val="20"/>
                          <w:szCs w:val="20"/>
                        </w:rPr>
                        <w:t xml:space="preserve"> </w:t>
                      </w:r>
                      <w:r w:rsidRPr="00933532">
                        <w:rPr>
                          <w:rFonts w:ascii="Arial" w:hAnsi="Arial" w:cs="Arial"/>
                          <w:color w:val="0000FF"/>
                          <w:sz w:val="20"/>
                          <w:szCs w:val="20"/>
                          <w:u w:val="single"/>
                        </w:rPr>
                        <w:t>info@kenfoxlaw.com</w:t>
                      </w:r>
                      <w:r w:rsidRPr="00933532">
                        <w:rPr>
                          <w:rFonts w:ascii="Arial" w:hAnsi="Arial" w:cs="Arial"/>
                          <w:color w:val="0000FF"/>
                          <w:sz w:val="20"/>
                          <w:szCs w:val="20"/>
                        </w:rPr>
                        <w:t xml:space="preserve"> </w:t>
                      </w:r>
                      <w:r w:rsidRPr="00933532">
                        <w:rPr>
                          <w:rFonts w:ascii="Arial" w:hAnsi="Arial" w:cs="Arial"/>
                          <w:color w:val="0000FF"/>
                          <w:sz w:val="20"/>
                          <w:szCs w:val="20"/>
                          <w:u w:val="single"/>
                        </w:rPr>
                        <w:t>/ kenfox@kenfoxlaw.com</w:t>
                      </w:r>
                    </w:p>
                  </w:txbxContent>
                </v:textbox>
              </v:rect>
            </w:pict>
          </mc:Fallback>
        </mc:AlternateContent>
      </w:r>
    </w:p>
    <w:p w14:paraId="26D1DF48" w14:textId="77777777" w:rsidR="0002156E" w:rsidRPr="00D03044" w:rsidRDefault="0002156E" w:rsidP="0002156E">
      <w:pPr>
        <w:spacing w:after="0" w:line="240" w:lineRule="auto"/>
        <w:rPr>
          <w:rFonts w:ascii="Arial" w:hAnsi="Arial" w:cs="Arial"/>
        </w:rPr>
      </w:pPr>
    </w:p>
    <w:p w14:paraId="5C6FA545" w14:textId="77777777" w:rsidR="0002156E" w:rsidRPr="00D03044" w:rsidRDefault="0002156E" w:rsidP="0002156E">
      <w:pPr>
        <w:rPr>
          <w:rFonts w:ascii="Arial" w:hAnsi="Arial" w:cs="Arial"/>
          <w:sz w:val="20"/>
          <w:szCs w:val="20"/>
        </w:rPr>
      </w:pPr>
    </w:p>
    <w:p w14:paraId="69777E0C" w14:textId="15483ABA" w:rsidR="00D75958" w:rsidRPr="00D03044" w:rsidRDefault="00D75958" w:rsidP="00D75958">
      <w:pPr>
        <w:spacing w:after="0" w:line="240" w:lineRule="auto"/>
        <w:jc w:val="both"/>
        <w:rPr>
          <w:rFonts w:ascii="Arial" w:eastAsia="Times New Roman" w:hAnsi="Arial" w:cs="Arial"/>
          <w:sz w:val="20"/>
          <w:szCs w:val="20"/>
          <w:lang w:eastAsia="ko-KR"/>
        </w:rPr>
      </w:pPr>
    </w:p>
    <w:p w14:paraId="282B93C3" w14:textId="77777777" w:rsidR="00D75958" w:rsidRPr="00D03044" w:rsidRDefault="00D75958" w:rsidP="00D75958">
      <w:pPr>
        <w:spacing w:after="0" w:line="240" w:lineRule="auto"/>
        <w:rPr>
          <w:rFonts w:ascii="Arial" w:hAnsi="Arial" w:cs="Arial"/>
        </w:rPr>
      </w:pPr>
    </w:p>
    <w:p w14:paraId="2AD06DEB" w14:textId="77777777" w:rsidR="00D75958" w:rsidRPr="00D03044" w:rsidRDefault="00D75958" w:rsidP="00D75958">
      <w:pPr>
        <w:rPr>
          <w:rFonts w:ascii="Arial" w:hAnsi="Arial" w:cs="Arial"/>
          <w:sz w:val="20"/>
          <w:szCs w:val="20"/>
        </w:rPr>
      </w:pPr>
    </w:p>
    <w:p w14:paraId="47D62832" w14:textId="0F01BBC1" w:rsidR="001E0868" w:rsidRPr="00D03044" w:rsidRDefault="001E0868" w:rsidP="00EC5B6B">
      <w:pPr>
        <w:jc w:val="both"/>
        <w:rPr>
          <w:rFonts w:ascii="Arial" w:hAnsi="Arial" w:cs="Arial"/>
        </w:rPr>
      </w:pPr>
    </w:p>
    <w:sectPr w:rsidR="001E0868" w:rsidRPr="00D03044" w:rsidSect="0059620B">
      <w:footerReference w:type="default" r:id="rId10"/>
      <w:pgSz w:w="11907" w:h="16839" w:code="9"/>
      <w:pgMar w:top="1134" w:right="1134" w:bottom="1134" w:left="1134"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43FEAD" w14:textId="77777777" w:rsidR="002C3297" w:rsidRDefault="002C3297">
      <w:pPr>
        <w:spacing w:after="0" w:line="240" w:lineRule="auto"/>
      </w:pPr>
      <w:r>
        <w:separator/>
      </w:r>
    </w:p>
  </w:endnote>
  <w:endnote w:type="continuationSeparator" w:id="0">
    <w:p w14:paraId="1915625D" w14:textId="77777777" w:rsidR="002C3297" w:rsidRDefault="002C32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nv_Gotham Book">
    <w:altName w:val="Cambria"/>
    <w:panose1 w:val="00000000000000000000"/>
    <w:charset w:val="00"/>
    <w:family w:val="roman"/>
    <w:notTrueType/>
    <w:pitch w:val="default"/>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2656923"/>
      <w:docPartObj>
        <w:docPartGallery w:val="Page Numbers (Bottom of Page)"/>
        <w:docPartUnique/>
      </w:docPartObj>
    </w:sdtPr>
    <w:sdtEndPr>
      <w:rPr>
        <w:sz w:val="18"/>
        <w:szCs w:val="18"/>
      </w:rPr>
    </w:sdtEndPr>
    <w:sdtContent>
      <w:sdt>
        <w:sdtPr>
          <w:id w:val="98381352"/>
          <w:docPartObj>
            <w:docPartGallery w:val="Page Numbers (Top of Page)"/>
            <w:docPartUnique/>
          </w:docPartObj>
        </w:sdtPr>
        <w:sdtEndPr>
          <w:rPr>
            <w:sz w:val="18"/>
            <w:szCs w:val="18"/>
          </w:rPr>
        </w:sdtEndPr>
        <w:sdtContent>
          <w:p w14:paraId="59519E40" w14:textId="2500B70D" w:rsidR="00C62253" w:rsidRPr="00FF7ED4" w:rsidRDefault="002C3297">
            <w:pPr>
              <w:pStyle w:val="Footer"/>
              <w:rPr>
                <w:sz w:val="18"/>
                <w:szCs w:val="18"/>
              </w:rPr>
            </w:pPr>
            <w:hyperlink r:id="rId1" w:history="1">
              <w:r w:rsidR="00D04B4E" w:rsidRPr="00FF7ED4">
                <w:rPr>
                  <w:rFonts w:ascii="Arial" w:hAnsi="Arial" w:cs="Arial"/>
                  <w:b/>
                  <w:noProof/>
                  <w:color w:val="2F5496" w:themeColor="accent1" w:themeShade="BF"/>
                  <w:sz w:val="18"/>
                  <w:szCs w:val="18"/>
                </w:rPr>
                <w:t>www.kenfoxlaw.com</w:t>
              </w:r>
            </w:hyperlink>
            <w:r w:rsidR="00D04B4E" w:rsidRPr="00FF7ED4">
              <w:rPr>
                <w:rFonts w:ascii="Arial" w:hAnsi="Arial" w:cs="Arial"/>
                <w:b/>
                <w:noProof/>
                <w:color w:val="2F5496" w:themeColor="accent1" w:themeShade="BF"/>
                <w:sz w:val="18"/>
                <w:szCs w:val="18"/>
              </w:rPr>
              <w:t xml:space="preserve">  </w:t>
            </w:r>
            <w:r w:rsidR="00D04B4E" w:rsidRPr="00FF7ED4">
              <w:rPr>
                <w:sz w:val="18"/>
                <w:szCs w:val="18"/>
              </w:rPr>
              <w:t xml:space="preserve">                                                                                                                                            </w:t>
            </w:r>
            <w:r w:rsidR="00D04B4E">
              <w:rPr>
                <w:sz w:val="18"/>
                <w:szCs w:val="18"/>
              </w:rPr>
              <w:t xml:space="preserve">                          </w:t>
            </w:r>
            <w:r w:rsidR="00D04B4E" w:rsidRPr="00FF7ED4">
              <w:rPr>
                <w:sz w:val="18"/>
                <w:szCs w:val="18"/>
              </w:rPr>
              <w:t xml:space="preserve"> </w:t>
            </w:r>
            <w:r w:rsidR="00D04B4E">
              <w:rPr>
                <w:sz w:val="18"/>
                <w:szCs w:val="18"/>
              </w:rPr>
              <w:t xml:space="preserve">  </w:t>
            </w:r>
            <w:r w:rsidR="00EC5B6B">
              <w:rPr>
                <w:rFonts w:ascii="Arial" w:hAnsi="Arial" w:cs="Arial"/>
                <w:b/>
                <w:sz w:val="18"/>
                <w:szCs w:val="18"/>
              </w:rPr>
              <w:t>Page</w:t>
            </w:r>
            <w:r w:rsidR="00D04B4E" w:rsidRPr="00FF7ED4">
              <w:rPr>
                <w:rFonts w:ascii="Arial" w:hAnsi="Arial" w:cs="Arial"/>
                <w:b/>
                <w:sz w:val="18"/>
                <w:szCs w:val="18"/>
              </w:rPr>
              <w:t xml:space="preserve"> </w:t>
            </w:r>
            <w:r w:rsidR="00D04B4E" w:rsidRPr="00FF7ED4">
              <w:rPr>
                <w:rFonts w:ascii="Arial" w:hAnsi="Arial" w:cs="Arial"/>
                <w:b/>
                <w:sz w:val="18"/>
                <w:szCs w:val="18"/>
              </w:rPr>
              <w:fldChar w:fldCharType="begin"/>
            </w:r>
            <w:r w:rsidR="00D04B4E" w:rsidRPr="00FF7ED4">
              <w:rPr>
                <w:rFonts w:ascii="Arial" w:hAnsi="Arial" w:cs="Arial"/>
                <w:b/>
                <w:sz w:val="18"/>
                <w:szCs w:val="18"/>
              </w:rPr>
              <w:instrText xml:space="preserve"> PAGE </w:instrText>
            </w:r>
            <w:r w:rsidR="00D04B4E" w:rsidRPr="00FF7ED4">
              <w:rPr>
                <w:rFonts w:ascii="Arial" w:hAnsi="Arial" w:cs="Arial"/>
                <w:b/>
                <w:sz w:val="18"/>
                <w:szCs w:val="18"/>
              </w:rPr>
              <w:fldChar w:fldCharType="separate"/>
            </w:r>
            <w:r w:rsidR="00D04B4E">
              <w:rPr>
                <w:rFonts w:ascii="Arial" w:hAnsi="Arial" w:cs="Arial"/>
                <w:b/>
                <w:noProof/>
                <w:sz w:val="18"/>
                <w:szCs w:val="18"/>
              </w:rPr>
              <w:t>6</w:t>
            </w:r>
            <w:r w:rsidR="00D04B4E" w:rsidRPr="00FF7ED4">
              <w:rPr>
                <w:rFonts w:ascii="Arial" w:hAnsi="Arial" w:cs="Arial"/>
                <w:b/>
                <w:sz w:val="18"/>
                <w:szCs w:val="18"/>
              </w:rPr>
              <w:fldChar w:fldCharType="end"/>
            </w:r>
            <w:r w:rsidR="00D04B4E">
              <w:rPr>
                <w:rFonts w:ascii="Arial" w:hAnsi="Arial" w:cs="Arial"/>
                <w:b/>
                <w:sz w:val="18"/>
                <w:szCs w:val="18"/>
              </w:rPr>
              <w:t>/</w:t>
            </w:r>
            <w:r w:rsidR="00D04B4E" w:rsidRPr="00FF7ED4">
              <w:rPr>
                <w:rFonts w:ascii="Arial" w:hAnsi="Arial" w:cs="Arial"/>
                <w:b/>
                <w:sz w:val="18"/>
                <w:szCs w:val="18"/>
              </w:rPr>
              <w:t xml:space="preserve"> </w:t>
            </w:r>
            <w:r w:rsidR="00D04B4E" w:rsidRPr="00FF7ED4">
              <w:rPr>
                <w:rFonts w:ascii="Arial" w:hAnsi="Arial" w:cs="Arial"/>
                <w:b/>
                <w:sz w:val="18"/>
                <w:szCs w:val="18"/>
              </w:rPr>
              <w:fldChar w:fldCharType="begin"/>
            </w:r>
            <w:r w:rsidR="00D04B4E" w:rsidRPr="00FF7ED4">
              <w:rPr>
                <w:rFonts w:ascii="Arial" w:hAnsi="Arial" w:cs="Arial"/>
                <w:b/>
                <w:sz w:val="18"/>
                <w:szCs w:val="18"/>
              </w:rPr>
              <w:instrText xml:space="preserve"> NUMPAGES  </w:instrText>
            </w:r>
            <w:r w:rsidR="00D04B4E" w:rsidRPr="00FF7ED4">
              <w:rPr>
                <w:rFonts w:ascii="Arial" w:hAnsi="Arial" w:cs="Arial"/>
                <w:b/>
                <w:sz w:val="18"/>
                <w:szCs w:val="18"/>
              </w:rPr>
              <w:fldChar w:fldCharType="separate"/>
            </w:r>
            <w:r w:rsidR="00D04B4E">
              <w:rPr>
                <w:rFonts w:ascii="Arial" w:hAnsi="Arial" w:cs="Arial"/>
                <w:b/>
                <w:noProof/>
                <w:sz w:val="18"/>
                <w:szCs w:val="18"/>
              </w:rPr>
              <w:t>6</w:t>
            </w:r>
            <w:r w:rsidR="00D04B4E" w:rsidRPr="00FF7ED4">
              <w:rPr>
                <w:rFonts w:ascii="Arial" w:hAnsi="Arial" w:cs="Arial"/>
                <w:b/>
                <w:sz w:val="18"/>
                <w:szCs w:val="18"/>
              </w:rPr>
              <w:fldChar w:fldCharType="end"/>
            </w:r>
          </w:p>
        </w:sdtContent>
      </w:sdt>
    </w:sdtContent>
  </w:sdt>
  <w:p w14:paraId="2B30F0B7" w14:textId="77777777" w:rsidR="00C62253" w:rsidRDefault="002C32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01C2A4" w14:textId="77777777" w:rsidR="002C3297" w:rsidRDefault="002C3297">
      <w:pPr>
        <w:spacing w:after="0" w:line="240" w:lineRule="auto"/>
      </w:pPr>
      <w:r>
        <w:separator/>
      </w:r>
    </w:p>
  </w:footnote>
  <w:footnote w:type="continuationSeparator" w:id="0">
    <w:p w14:paraId="436594BF" w14:textId="77777777" w:rsidR="002C3297" w:rsidRDefault="002C32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D1FAC"/>
    <w:multiLevelType w:val="hybridMultilevel"/>
    <w:tmpl w:val="5D40F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336D57"/>
    <w:multiLevelType w:val="hybridMultilevel"/>
    <w:tmpl w:val="E9609F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670A06"/>
    <w:multiLevelType w:val="hybridMultilevel"/>
    <w:tmpl w:val="16E80A32"/>
    <w:lvl w:ilvl="0" w:tplc="EA6E105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5A6B30"/>
    <w:multiLevelType w:val="hybridMultilevel"/>
    <w:tmpl w:val="1E621306"/>
    <w:lvl w:ilvl="0" w:tplc="34E0FA9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220A0D"/>
    <w:multiLevelType w:val="hybridMultilevel"/>
    <w:tmpl w:val="769A685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AE0A55"/>
    <w:multiLevelType w:val="hybridMultilevel"/>
    <w:tmpl w:val="0FFA65B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D3197F"/>
    <w:multiLevelType w:val="hybridMultilevel"/>
    <w:tmpl w:val="B98A9AB0"/>
    <w:lvl w:ilvl="0" w:tplc="20BE68C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904BF0"/>
    <w:multiLevelType w:val="hybridMultilevel"/>
    <w:tmpl w:val="E5FC86E2"/>
    <w:lvl w:ilvl="0" w:tplc="B05689B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A85E51"/>
    <w:multiLevelType w:val="hybridMultilevel"/>
    <w:tmpl w:val="0644BB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88266B"/>
    <w:multiLevelType w:val="hybridMultilevel"/>
    <w:tmpl w:val="2FE83752"/>
    <w:lvl w:ilvl="0" w:tplc="0FA0F3E0">
      <w:start w:val="1"/>
      <w:numFmt w:val="lowerRoman"/>
      <w:lvlText w:val="(%1)"/>
      <w:lvlJc w:val="left"/>
      <w:pPr>
        <w:ind w:left="720" w:hanging="360"/>
      </w:pPr>
      <w:rPr>
        <w:rFonts w:ascii="Arial" w:hAnsi="Arial" w:cs="Arial" w:hint="default"/>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8950783"/>
    <w:multiLevelType w:val="hybridMultilevel"/>
    <w:tmpl w:val="A5CAB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B0383C"/>
    <w:multiLevelType w:val="hybridMultilevel"/>
    <w:tmpl w:val="A8348346"/>
    <w:lvl w:ilvl="0" w:tplc="02F4C82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2011800"/>
    <w:multiLevelType w:val="hybridMultilevel"/>
    <w:tmpl w:val="CE9CDE3C"/>
    <w:lvl w:ilvl="0" w:tplc="74D0B7AC">
      <w:start w:val="1"/>
      <w:numFmt w:val="lowerRoman"/>
      <w:lvlText w:val="(%1)"/>
      <w:lvlJc w:val="left"/>
      <w:pPr>
        <w:ind w:left="720" w:hanging="360"/>
      </w:pPr>
      <w:rPr>
        <w:rFonts w:ascii="Arial" w:hAnsi="Arial" w:cs="Arial" w:hint="default"/>
        <w:color w:val="222222"/>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226E41"/>
    <w:multiLevelType w:val="hybridMultilevel"/>
    <w:tmpl w:val="FA2AC8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A555E1"/>
    <w:multiLevelType w:val="hybridMultilevel"/>
    <w:tmpl w:val="C0B6865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ADA4943"/>
    <w:multiLevelType w:val="hybridMultilevel"/>
    <w:tmpl w:val="5A06176E"/>
    <w:lvl w:ilvl="0" w:tplc="A4061F0C">
      <w:start w:val="1"/>
      <w:numFmt w:val="bullet"/>
      <w:lvlText w:val="-"/>
      <w:lvlJc w:val="left"/>
      <w:pPr>
        <w:ind w:left="405" w:hanging="360"/>
      </w:pPr>
      <w:rPr>
        <w:rFonts w:ascii="Conv_Gotham Book" w:eastAsiaTheme="minorHAnsi" w:hAnsi="Conv_Gotham Book" w:cstheme="minorBidi" w:hint="default"/>
        <w:i/>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6" w15:restartNumberingAfterBreak="0">
    <w:nsid w:val="7CE3744E"/>
    <w:multiLevelType w:val="hybridMultilevel"/>
    <w:tmpl w:val="FED2451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6"/>
  </w:num>
  <w:num w:numId="3">
    <w:abstractNumId w:val="8"/>
  </w:num>
  <w:num w:numId="4">
    <w:abstractNumId w:val="13"/>
  </w:num>
  <w:num w:numId="5">
    <w:abstractNumId w:val="10"/>
  </w:num>
  <w:num w:numId="6">
    <w:abstractNumId w:val="0"/>
  </w:num>
  <w:num w:numId="7">
    <w:abstractNumId w:val="4"/>
  </w:num>
  <w:num w:numId="8">
    <w:abstractNumId w:val="14"/>
  </w:num>
  <w:num w:numId="9">
    <w:abstractNumId w:val="6"/>
  </w:num>
  <w:num w:numId="10">
    <w:abstractNumId w:val="3"/>
  </w:num>
  <w:num w:numId="11">
    <w:abstractNumId w:val="12"/>
  </w:num>
  <w:num w:numId="12">
    <w:abstractNumId w:val="1"/>
  </w:num>
  <w:num w:numId="13">
    <w:abstractNumId w:val="9"/>
  </w:num>
  <w:num w:numId="14">
    <w:abstractNumId w:val="11"/>
  </w:num>
  <w:num w:numId="15">
    <w:abstractNumId w:val="7"/>
  </w:num>
  <w:num w:numId="16">
    <w:abstractNumId w:val="15"/>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B4E"/>
    <w:rsid w:val="00012C71"/>
    <w:rsid w:val="0002156E"/>
    <w:rsid w:val="0003042E"/>
    <w:rsid w:val="00126CC7"/>
    <w:rsid w:val="001515AA"/>
    <w:rsid w:val="001D1CDD"/>
    <w:rsid w:val="001E0868"/>
    <w:rsid w:val="00215B22"/>
    <w:rsid w:val="002753DD"/>
    <w:rsid w:val="002B63C0"/>
    <w:rsid w:val="002C3297"/>
    <w:rsid w:val="0032315D"/>
    <w:rsid w:val="0033574A"/>
    <w:rsid w:val="003756D4"/>
    <w:rsid w:val="003D7C8C"/>
    <w:rsid w:val="004A1761"/>
    <w:rsid w:val="004D64BC"/>
    <w:rsid w:val="00531173"/>
    <w:rsid w:val="00576438"/>
    <w:rsid w:val="00631122"/>
    <w:rsid w:val="00675D62"/>
    <w:rsid w:val="006C0389"/>
    <w:rsid w:val="006F1BC0"/>
    <w:rsid w:val="007375E8"/>
    <w:rsid w:val="00745E08"/>
    <w:rsid w:val="007C392A"/>
    <w:rsid w:val="00813493"/>
    <w:rsid w:val="00820E66"/>
    <w:rsid w:val="008366D4"/>
    <w:rsid w:val="008416E5"/>
    <w:rsid w:val="00933532"/>
    <w:rsid w:val="00A4177F"/>
    <w:rsid w:val="00A623C4"/>
    <w:rsid w:val="00AC74F1"/>
    <w:rsid w:val="00AF0703"/>
    <w:rsid w:val="00C13ACF"/>
    <w:rsid w:val="00CA3F97"/>
    <w:rsid w:val="00D02775"/>
    <w:rsid w:val="00D03044"/>
    <w:rsid w:val="00D04B4E"/>
    <w:rsid w:val="00D417C1"/>
    <w:rsid w:val="00D645F2"/>
    <w:rsid w:val="00D75958"/>
    <w:rsid w:val="00E02884"/>
    <w:rsid w:val="00EC12BB"/>
    <w:rsid w:val="00EC5B6B"/>
    <w:rsid w:val="00F7004B"/>
    <w:rsid w:val="00FA2C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0F3FE"/>
  <w15:chartTrackingRefBased/>
  <w15:docId w15:val="{E28C954D-2D7D-4BEE-B561-9A5AE9292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5B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4B4E"/>
    <w:pPr>
      <w:ind w:left="720"/>
      <w:contextualSpacing/>
    </w:pPr>
  </w:style>
  <w:style w:type="paragraph" w:styleId="Footer">
    <w:name w:val="footer"/>
    <w:basedOn w:val="Normal"/>
    <w:link w:val="FooterChar"/>
    <w:uiPriority w:val="99"/>
    <w:unhideWhenUsed/>
    <w:rsid w:val="00D04B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4B4E"/>
  </w:style>
  <w:style w:type="character" w:styleId="Hyperlink">
    <w:name w:val="Hyperlink"/>
    <w:basedOn w:val="DefaultParagraphFont"/>
    <w:uiPriority w:val="99"/>
    <w:unhideWhenUsed/>
    <w:rsid w:val="00D04B4E"/>
    <w:rPr>
      <w:color w:val="0563C1" w:themeColor="hyperlink"/>
      <w:u w:val="single"/>
    </w:rPr>
  </w:style>
  <w:style w:type="character" w:customStyle="1" w:styleId="fontstyle01">
    <w:name w:val="fontstyle01"/>
    <w:basedOn w:val="DefaultParagraphFont"/>
    <w:rsid w:val="00EC5B6B"/>
    <w:rPr>
      <w:rFonts w:ascii="TimesNewRomanPSMT" w:hAnsi="TimesNewRomanPSMT" w:hint="default"/>
      <w:b w:val="0"/>
      <w:bCs w:val="0"/>
      <w:i w:val="0"/>
      <w:iCs w:val="0"/>
      <w:color w:val="000000"/>
      <w:sz w:val="26"/>
      <w:szCs w:val="26"/>
    </w:rPr>
  </w:style>
  <w:style w:type="character" w:customStyle="1" w:styleId="il">
    <w:name w:val="il"/>
    <w:basedOn w:val="DefaultParagraphFont"/>
    <w:rsid w:val="00EC5B6B"/>
  </w:style>
  <w:style w:type="paragraph" w:styleId="Header">
    <w:name w:val="header"/>
    <w:basedOn w:val="Normal"/>
    <w:link w:val="HeaderChar"/>
    <w:uiPriority w:val="99"/>
    <w:unhideWhenUsed/>
    <w:rsid w:val="00EC5B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5B6B"/>
  </w:style>
  <w:style w:type="paragraph" w:styleId="BodyText">
    <w:name w:val="Body Text"/>
    <w:basedOn w:val="Normal"/>
    <w:link w:val="BodyTextChar"/>
    <w:rsid w:val="00D759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D75958"/>
    <w:rPr>
      <w:rFonts w:ascii="Times New Roman" w:eastAsia="Times New Roman" w:hAnsi="Times New Roman" w:cs="Times New Roman"/>
      <w:sz w:val="24"/>
      <w:szCs w:val="24"/>
    </w:rPr>
  </w:style>
  <w:style w:type="paragraph" w:styleId="NormalWeb">
    <w:name w:val="Normal (Web)"/>
    <w:basedOn w:val="Normal"/>
    <w:uiPriority w:val="99"/>
    <w:semiHidden/>
    <w:unhideWhenUsed/>
    <w:rsid w:val="00D75958"/>
    <w:pPr>
      <w:spacing w:before="100" w:beforeAutospacing="1" w:after="100" w:afterAutospacing="1" w:line="240" w:lineRule="auto"/>
    </w:pPr>
    <w:rPr>
      <w:rFonts w:ascii="Times New Roman" w:eastAsiaTheme="minorEastAsia" w:hAnsi="Times New Roman" w:cs="Times New Roman"/>
      <w:sz w:val="24"/>
      <w:szCs w:val="24"/>
    </w:rPr>
  </w:style>
  <w:style w:type="table" w:styleId="TableGrid">
    <w:name w:val="Table Grid"/>
    <w:basedOn w:val="TableNormal"/>
    <w:uiPriority w:val="59"/>
    <w:rsid w:val="00D03044"/>
    <w:pPr>
      <w:spacing w:after="0" w:line="240" w:lineRule="auto"/>
    </w:pPr>
    <w:rPr>
      <w:rFonts w:ascii="Times New Roman" w:eastAsiaTheme="minorEastAsia" w:hAnsi="Times New Roman"/>
      <w:sz w:val="24"/>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D03044"/>
    <w:rPr>
      <w:b/>
      <w:bCs/>
    </w:rPr>
  </w:style>
  <w:style w:type="character" w:styleId="UnresolvedMention">
    <w:name w:val="Unresolved Mention"/>
    <w:basedOn w:val="DefaultParagraphFont"/>
    <w:uiPriority w:val="99"/>
    <w:semiHidden/>
    <w:unhideWhenUsed/>
    <w:rsid w:val="007C39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foxlaw.com/vipri-opinion-for-ipr-enforcement-in-vietnam" TargetMode="External"/><Relationship Id="rId3" Type="http://schemas.openxmlformats.org/officeDocument/2006/relationships/settings" Target="settings.xml"/><Relationship Id="rId7" Type="http://schemas.openxmlformats.org/officeDocument/2006/relationships/hyperlink" Target="https://kenfoxlaw.com/ip-practice-in-vietnam/enforcement-in-vietnam/cease-desist-letters-a-way-effective-or-detrimental-in-anti-counterfeiting-campaig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kenfoxlaw.com/copyright-infringement-assessment"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kenfoxlaw.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1738</Words>
  <Characters>9909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5</cp:revision>
  <cp:lastPrinted>2023-02-07T03:37:00Z</cp:lastPrinted>
  <dcterms:created xsi:type="dcterms:W3CDTF">2023-02-07T03:35:00Z</dcterms:created>
  <dcterms:modified xsi:type="dcterms:W3CDTF">2023-02-07T03:49:00Z</dcterms:modified>
</cp:coreProperties>
</file>