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8698" w14:textId="6979B568" w:rsidR="00A90A64" w:rsidRPr="00A90A64" w:rsidRDefault="00FA2CEE" w:rsidP="00A90A64">
      <w:pPr>
        <w:jc w:val="center"/>
        <w:outlineLvl w:val="0"/>
        <w:rPr>
          <w:rFonts w:ascii="Arial" w:eastAsia="Times New Roman" w:hAnsi="Arial" w:cs="Arial"/>
          <w:b/>
          <w:bCs/>
          <w:color w:val="C00000"/>
          <w:kern w:val="36"/>
          <w:sz w:val="24"/>
          <w:szCs w:val="24"/>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ECE77BB">
                <wp:simplePos x="0" y="0"/>
                <wp:positionH relativeFrom="column">
                  <wp:posOffset>6398631</wp:posOffset>
                </wp:positionH>
                <wp:positionV relativeFrom="paragraph">
                  <wp:posOffset>-382270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EEFA0BF" w:rsidR="00FA2CEE" w:rsidRPr="00BA68B8" w:rsidRDefault="00EB426A" w:rsidP="00FA2CEE">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85pt;margin-top:-30.1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" fillcolor="#00b39c" strokecolor="#00b39c" strokeweight="0">
                <v:textbox style="layout-flow:vertical">
                  <w:txbxContent>
                    <w:p w14:paraId="0E54C250" w14:textId="3EEFA0BF" w:rsidR="00FA2CEE" w:rsidRPr="00BA68B8" w:rsidRDefault="00EB426A" w:rsidP="00FA2CEE">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v:textbox>
              </v:rect>
            </w:pict>
          </mc:Fallback>
        </mc:AlternateContent>
      </w: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A2DAF51" w:rsidR="00FA2CEE" w:rsidRPr="00CC7576" w:rsidRDefault="00BB2A34" w:rsidP="00FA2CEE">
                            <w:pPr>
                              <w:spacing w:after="0"/>
                              <w:jc w:val="center"/>
                              <w:rPr>
                                <w:rFonts w:ascii="Arial" w:hAnsi="Arial" w:cs="Arial"/>
                                <w:b/>
                                <w:color w:val="FFFFFF" w:themeColor="background1"/>
                                <w:sz w:val="20"/>
                                <w:szCs w:val="20"/>
                              </w:rPr>
                            </w:pPr>
                            <w:r w:rsidRPr="00BB2A34">
                              <w:rPr>
                                <w:rFonts w:ascii="Arial" w:hAnsi="Arial" w:cs="Arial"/>
                                <w:b/>
                                <w:bCs/>
                                <w:color w:val="FFFFFF" w:themeColor="background1"/>
                                <w:sz w:val="20"/>
                                <w:szCs w:val="20"/>
                              </w:rPr>
                              <w:t>Obligation to use trademark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1A2DAF51" w:rsidR="00FA2CEE" w:rsidRPr="00CC7576" w:rsidRDefault="00BB2A34" w:rsidP="00FA2CEE">
                      <w:pPr>
                        <w:spacing w:after="0"/>
                        <w:jc w:val="center"/>
                        <w:rPr>
                          <w:rFonts w:ascii="Arial" w:hAnsi="Arial" w:cs="Arial"/>
                          <w:b/>
                          <w:color w:val="FFFFFF" w:themeColor="background1"/>
                          <w:sz w:val="20"/>
                          <w:szCs w:val="20"/>
                        </w:rPr>
                      </w:pPr>
                      <w:r w:rsidRPr="00BB2A34">
                        <w:rPr>
                          <w:rFonts w:ascii="Arial" w:hAnsi="Arial" w:cs="Arial"/>
                          <w:b/>
                          <w:bCs/>
                          <w:color w:val="FFFFFF" w:themeColor="background1"/>
                          <w:sz w:val="20"/>
                          <w:szCs w:val="20"/>
                        </w:rPr>
                        <w:t>Obligation to use trademark</w:t>
                      </w:r>
                    </w:p>
                  </w:txbxContent>
                </v:textbox>
                <w10:wrap anchorx="page"/>
              </v:rect>
            </w:pict>
          </mc:Fallback>
        </mc:AlternateContent>
      </w:r>
      <w:r w:rsidR="00A90A64" w:rsidRPr="00315963">
        <w:rPr>
          <w:rFonts w:ascii="Arial" w:hAnsi="Arial" w:cs="Arial"/>
          <w:b/>
          <w:color w:val="C00000"/>
          <w:sz w:val="24"/>
          <w:szCs w:val="24"/>
        </w:rPr>
        <w:t xml:space="preserve">Use </w:t>
      </w:r>
      <w:r w:rsidR="00A90A64">
        <w:rPr>
          <w:rFonts w:ascii="Arial" w:hAnsi="Arial" w:cs="Arial"/>
          <w:b/>
          <w:color w:val="C00000"/>
          <w:sz w:val="24"/>
          <w:szCs w:val="24"/>
        </w:rPr>
        <w:t xml:space="preserve">your registered </w:t>
      </w:r>
      <w:r w:rsidR="00A90A64" w:rsidRPr="00315963">
        <w:rPr>
          <w:rFonts w:ascii="Arial" w:hAnsi="Arial" w:cs="Arial"/>
          <w:b/>
          <w:color w:val="C00000"/>
          <w:sz w:val="24"/>
          <w:szCs w:val="24"/>
        </w:rPr>
        <w:t xml:space="preserve">trademark </w:t>
      </w:r>
      <w:r w:rsidR="00A90A64">
        <w:rPr>
          <w:rFonts w:ascii="Arial" w:hAnsi="Arial" w:cs="Arial"/>
          <w:b/>
          <w:color w:val="C00000"/>
          <w:sz w:val="24"/>
          <w:szCs w:val="24"/>
        </w:rPr>
        <w:t xml:space="preserve">in Vietnam </w:t>
      </w:r>
      <w:r w:rsidR="00A90A64" w:rsidRPr="00315963">
        <w:rPr>
          <w:rFonts w:ascii="Arial" w:hAnsi="Arial" w:cs="Arial"/>
          <w:b/>
          <w:color w:val="C00000"/>
          <w:sz w:val="24"/>
          <w:szCs w:val="24"/>
        </w:rPr>
        <w:t xml:space="preserve">or </w:t>
      </w:r>
      <w:r w:rsidR="00A90A64">
        <w:rPr>
          <w:rFonts w:ascii="Arial" w:hAnsi="Arial" w:cs="Arial"/>
          <w:b/>
          <w:color w:val="C00000"/>
          <w:sz w:val="24"/>
          <w:szCs w:val="24"/>
        </w:rPr>
        <w:t xml:space="preserve">you will </w:t>
      </w:r>
      <w:r w:rsidR="00A90A64" w:rsidRPr="00315963">
        <w:rPr>
          <w:rFonts w:ascii="Arial" w:hAnsi="Arial" w:cs="Arial"/>
          <w:b/>
          <w:color w:val="C00000"/>
          <w:sz w:val="24"/>
          <w:szCs w:val="24"/>
        </w:rPr>
        <w:t xml:space="preserve">lose </w:t>
      </w:r>
      <w:r w:rsidR="00A90A64">
        <w:rPr>
          <w:rFonts w:ascii="Arial" w:hAnsi="Arial" w:cs="Arial"/>
          <w:b/>
          <w:color w:val="C00000"/>
          <w:sz w:val="24"/>
          <w:szCs w:val="24"/>
        </w:rPr>
        <w:t>it</w:t>
      </w:r>
    </w:p>
    <w:p w14:paraId="12D24193" w14:textId="77777777" w:rsidR="00A90A64" w:rsidRDefault="00A90A64" w:rsidP="00A90A64">
      <w:pPr>
        <w:spacing w:after="0" w:line="240" w:lineRule="auto"/>
        <w:jc w:val="both"/>
        <w:rPr>
          <w:rFonts w:ascii="Arial" w:hAnsi="Arial" w:cs="Arial"/>
          <w:bCs/>
          <w:i/>
          <w:iCs/>
          <w:sz w:val="20"/>
          <w:szCs w:val="20"/>
        </w:rPr>
      </w:pPr>
    </w:p>
    <w:p w14:paraId="272A5B67" w14:textId="77777777" w:rsidR="00A90A64" w:rsidRDefault="00A90A64" w:rsidP="00A90A64">
      <w:pPr>
        <w:spacing w:after="0" w:line="240" w:lineRule="auto"/>
        <w:jc w:val="both"/>
        <w:rPr>
          <w:rFonts w:ascii="Arial" w:hAnsi="Arial" w:cs="Arial"/>
          <w:bCs/>
          <w:i/>
          <w:iCs/>
          <w:sz w:val="20"/>
          <w:szCs w:val="20"/>
        </w:rPr>
      </w:pPr>
      <w:r w:rsidRPr="00C9500D">
        <w:rPr>
          <w:rFonts w:ascii="Arial" w:hAnsi="Arial" w:cs="Arial"/>
          <w:bCs/>
          <w:i/>
          <w:iCs/>
          <w:sz w:val="20"/>
          <w:szCs w:val="20"/>
        </w:rPr>
        <w:t xml:space="preserve">Obtaining a trademark registration does not mean </w:t>
      </w:r>
      <w:r w:rsidRPr="00C9500D">
        <w:rPr>
          <w:rFonts w:ascii="Arial" w:hAnsi="Arial" w:cs="Arial"/>
          <w:bCs/>
          <w:i/>
          <w:iCs/>
          <w:color w:val="000000" w:themeColor="text1"/>
          <w:sz w:val="20"/>
          <w:szCs w:val="20"/>
        </w:rPr>
        <w:t xml:space="preserve">a guarantee for </w:t>
      </w:r>
      <w:r w:rsidRPr="00C9500D">
        <w:rPr>
          <w:rFonts w:ascii="Arial" w:hAnsi="Arial" w:cs="Arial"/>
          <w:bCs/>
          <w:i/>
          <w:iCs/>
          <w:sz w:val="20"/>
          <w:szCs w:val="20"/>
        </w:rPr>
        <w:t>the maintenance of the trademark validity, because the trademark holders are obliged to use their registered trademarks in commerce and renew the validity before it expires. The purpose of this regulation is</w:t>
      </w:r>
      <w:r w:rsidRPr="00C9500D" w:rsidDel="00A35372">
        <w:rPr>
          <w:rFonts w:ascii="Arial" w:hAnsi="Arial" w:cs="Arial"/>
          <w:bCs/>
          <w:i/>
          <w:iCs/>
          <w:sz w:val="20"/>
          <w:szCs w:val="20"/>
        </w:rPr>
        <w:t xml:space="preserve"> </w:t>
      </w:r>
      <w:r w:rsidRPr="00C9500D">
        <w:rPr>
          <w:rFonts w:ascii="Arial" w:hAnsi="Arial" w:cs="Arial"/>
          <w:bCs/>
          <w:i/>
          <w:iCs/>
          <w:sz w:val="20"/>
          <w:szCs w:val="20"/>
        </w:rPr>
        <w:t>to allow the removal of marks that exist on the trademark register but are not in genuine use and/or to block the phenomenon of trademark squatting which unreasonably prevent similar marks from entering the market. This mechanism helps to reduce the number of trademark disputes</w:t>
      </w:r>
      <w:r w:rsidRPr="00C9500D">
        <w:rPr>
          <w:rFonts w:ascii="Arial" w:hAnsi="Arial" w:cs="Arial"/>
          <w:bCs/>
          <w:i/>
          <w:iCs/>
          <w:sz w:val="20"/>
          <w:szCs w:val="20"/>
          <w:lang w:val="en-GB"/>
        </w:rPr>
        <w:t xml:space="preserve"> and reduce</w:t>
      </w:r>
      <w:r w:rsidRPr="00C9500D">
        <w:rPr>
          <w:rFonts w:ascii="Arial" w:hAnsi="Arial" w:cs="Arial"/>
          <w:bCs/>
          <w:i/>
          <w:iCs/>
          <w:sz w:val="20"/>
          <w:szCs w:val="20"/>
        </w:rPr>
        <w:t xml:space="preserve"> registrations acquired only for the purpose of unfair competition and trademark resources depletion/waste for organizations and individuals who are in need. Essentially, the obligation of trademark use promotes transparency and commercial protection for the free market. However, in practice, it is difficult for trademark owners to fulfill such obligation of use.</w:t>
      </w:r>
    </w:p>
    <w:p w14:paraId="1F013E56" w14:textId="77777777" w:rsidR="00A90A64" w:rsidRPr="00C9500D" w:rsidRDefault="00A90A64" w:rsidP="00A90A64">
      <w:pPr>
        <w:spacing w:after="0" w:line="240" w:lineRule="auto"/>
        <w:jc w:val="both"/>
        <w:rPr>
          <w:rFonts w:ascii="Arial" w:hAnsi="Arial" w:cs="Arial"/>
          <w:b/>
          <w:i/>
          <w:iCs/>
          <w:sz w:val="20"/>
          <w:szCs w:val="20"/>
        </w:rPr>
      </w:pPr>
    </w:p>
    <w:p w14:paraId="0DC11A66" w14:textId="77777777" w:rsidR="00A90A64" w:rsidRPr="00205FB4" w:rsidRDefault="00A90A64" w:rsidP="00A90A64">
      <w:pPr>
        <w:spacing w:after="0" w:line="240" w:lineRule="auto"/>
        <w:jc w:val="both"/>
        <w:rPr>
          <w:rFonts w:ascii="Arial" w:eastAsia="Times New Roman" w:hAnsi="Arial" w:cs="Arial"/>
          <w:b/>
          <w:color w:val="0469BD"/>
          <w:sz w:val="20"/>
          <w:szCs w:val="20"/>
        </w:rPr>
      </w:pPr>
      <w:r w:rsidRPr="00205FB4">
        <w:rPr>
          <w:rFonts w:ascii="Arial" w:eastAsia="Times New Roman" w:hAnsi="Arial" w:cs="Arial"/>
          <w:b/>
          <w:color w:val="0469BD"/>
          <w:sz w:val="20"/>
          <w:szCs w:val="20"/>
        </w:rPr>
        <w:t>A trademark registration in Vietnam may be cancelled for non-use ground</w:t>
      </w:r>
    </w:p>
    <w:p w14:paraId="441E7486" w14:textId="77777777" w:rsidR="00A90A64" w:rsidRDefault="00A90A64" w:rsidP="00A90A64">
      <w:pPr>
        <w:spacing w:after="0" w:line="240" w:lineRule="auto"/>
        <w:jc w:val="both"/>
        <w:rPr>
          <w:rFonts w:ascii="Arial" w:hAnsi="Arial" w:cs="Arial"/>
          <w:sz w:val="20"/>
          <w:szCs w:val="20"/>
        </w:rPr>
      </w:pPr>
    </w:p>
    <w:p w14:paraId="5F691EBB" w14:textId="77777777" w:rsidR="00A90A64" w:rsidRDefault="00A90A64" w:rsidP="00A90A64">
      <w:pPr>
        <w:spacing w:after="0" w:line="240" w:lineRule="auto"/>
        <w:jc w:val="both"/>
        <w:rPr>
          <w:rFonts w:ascii="Arial" w:hAnsi="Arial" w:cs="Arial"/>
          <w:sz w:val="20"/>
          <w:szCs w:val="20"/>
        </w:rPr>
      </w:pPr>
      <w:r w:rsidRPr="00F32F72">
        <w:rPr>
          <w:rFonts w:ascii="Arial" w:hAnsi="Arial" w:cs="Arial"/>
          <w:sz w:val="20"/>
          <w:szCs w:val="20"/>
        </w:rPr>
        <w:t>Article 95.1(d) of the 2005 Intellectual Property Law, as amended in 2009</w:t>
      </w:r>
      <w:r>
        <w:rPr>
          <w:rFonts w:ascii="Arial" w:hAnsi="Arial" w:cs="Arial"/>
          <w:sz w:val="20"/>
          <w:szCs w:val="20"/>
        </w:rPr>
        <w:t xml:space="preserve">, 2019 and 2022 (IP Law) provides that </w:t>
      </w:r>
      <w:r w:rsidRPr="007804B2">
        <w:rPr>
          <w:rFonts w:ascii="Arial" w:hAnsi="Arial" w:cs="Arial"/>
          <w:sz w:val="20"/>
          <w:szCs w:val="20"/>
        </w:rPr>
        <w:t xml:space="preserve">a trademark registration is liable to face </w:t>
      </w:r>
      <w:r>
        <w:rPr>
          <w:rFonts w:ascii="Arial" w:hAnsi="Arial" w:cs="Arial"/>
          <w:sz w:val="20"/>
          <w:szCs w:val="20"/>
        </w:rPr>
        <w:t>“</w:t>
      </w:r>
      <w:r w:rsidRPr="00C9500D">
        <w:rPr>
          <w:rFonts w:ascii="Arial" w:hAnsi="Arial" w:cs="Arial"/>
          <w:b/>
          <w:bCs/>
          <w:sz w:val="20"/>
          <w:szCs w:val="20"/>
        </w:rPr>
        <w:t>partial</w:t>
      </w:r>
      <w:r>
        <w:rPr>
          <w:rFonts w:ascii="Arial" w:hAnsi="Arial" w:cs="Arial"/>
          <w:sz w:val="20"/>
          <w:szCs w:val="20"/>
        </w:rPr>
        <w:t>”</w:t>
      </w:r>
      <w:r w:rsidRPr="007804B2">
        <w:rPr>
          <w:rFonts w:ascii="Arial" w:hAnsi="Arial" w:cs="Arial"/>
          <w:sz w:val="20"/>
          <w:szCs w:val="20"/>
        </w:rPr>
        <w:t xml:space="preserve"> or </w:t>
      </w:r>
      <w:r>
        <w:rPr>
          <w:rFonts w:ascii="Arial" w:hAnsi="Arial" w:cs="Arial"/>
          <w:sz w:val="20"/>
          <w:szCs w:val="20"/>
        </w:rPr>
        <w:t>“</w:t>
      </w:r>
      <w:r w:rsidRPr="00C9500D">
        <w:rPr>
          <w:rFonts w:ascii="Arial" w:hAnsi="Arial" w:cs="Arial"/>
          <w:b/>
          <w:bCs/>
          <w:sz w:val="20"/>
          <w:szCs w:val="20"/>
        </w:rPr>
        <w:t>ful</w:t>
      </w:r>
      <w:r w:rsidRPr="007804B2">
        <w:rPr>
          <w:rFonts w:ascii="Arial" w:hAnsi="Arial" w:cs="Arial"/>
          <w:sz w:val="20"/>
          <w:szCs w:val="20"/>
        </w:rPr>
        <w:t>l</w:t>
      </w:r>
      <w:r>
        <w:rPr>
          <w:rFonts w:ascii="Arial" w:hAnsi="Arial" w:cs="Arial"/>
          <w:sz w:val="20"/>
          <w:szCs w:val="20"/>
        </w:rPr>
        <w:t>”</w:t>
      </w:r>
      <w:r w:rsidRPr="007804B2">
        <w:rPr>
          <w:rFonts w:ascii="Arial" w:hAnsi="Arial" w:cs="Arial"/>
          <w:sz w:val="20"/>
          <w:szCs w:val="20"/>
        </w:rPr>
        <w:t xml:space="preserve"> revocation</w:t>
      </w:r>
      <w:r>
        <w:rPr>
          <w:rFonts w:ascii="Arial" w:hAnsi="Arial" w:cs="Arial"/>
          <w:sz w:val="20"/>
          <w:szCs w:val="20"/>
        </w:rPr>
        <w:t>/cancellation</w:t>
      </w:r>
      <w:r w:rsidRPr="007804B2">
        <w:rPr>
          <w:rFonts w:ascii="Arial" w:hAnsi="Arial" w:cs="Arial"/>
          <w:sz w:val="20"/>
          <w:szCs w:val="20"/>
        </w:rPr>
        <w:t xml:space="preserve"> if it has not been use</w:t>
      </w:r>
      <w:r>
        <w:rPr>
          <w:rFonts w:ascii="Arial" w:hAnsi="Arial" w:cs="Arial"/>
          <w:sz w:val="20"/>
          <w:szCs w:val="20"/>
        </w:rPr>
        <w:t>d</w:t>
      </w:r>
      <w:r w:rsidRPr="007804B2">
        <w:rPr>
          <w:rFonts w:ascii="Arial" w:hAnsi="Arial" w:cs="Arial"/>
          <w:sz w:val="20"/>
          <w:szCs w:val="20"/>
        </w:rPr>
        <w:t xml:space="preserve"> in connection with the designated goods and services for a </w:t>
      </w:r>
      <w:r w:rsidRPr="00F32F72">
        <w:rPr>
          <w:rFonts w:ascii="Arial" w:hAnsi="Arial" w:cs="Arial"/>
          <w:sz w:val="20"/>
          <w:szCs w:val="20"/>
        </w:rPr>
        <w:t xml:space="preserve">period of </w:t>
      </w:r>
      <w:r>
        <w:rPr>
          <w:rFonts w:ascii="Arial" w:hAnsi="Arial" w:cs="Arial"/>
          <w:sz w:val="20"/>
          <w:szCs w:val="20"/>
        </w:rPr>
        <w:t>05 (</w:t>
      </w:r>
      <w:r w:rsidRPr="00F32F72">
        <w:rPr>
          <w:rFonts w:ascii="Arial" w:hAnsi="Arial" w:cs="Arial"/>
          <w:sz w:val="20"/>
          <w:szCs w:val="20"/>
        </w:rPr>
        <w:t>five</w:t>
      </w:r>
      <w:r>
        <w:rPr>
          <w:rFonts w:ascii="Arial" w:hAnsi="Arial" w:cs="Arial"/>
          <w:sz w:val="20"/>
          <w:szCs w:val="20"/>
        </w:rPr>
        <w:t>)</w:t>
      </w:r>
      <w:r w:rsidRPr="00F32F72">
        <w:rPr>
          <w:rFonts w:ascii="Arial" w:hAnsi="Arial" w:cs="Arial"/>
          <w:sz w:val="20"/>
          <w:szCs w:val="20"/>
        </w:rPr>
        <w:t xml:space="preserve"> consecutive years from the date of registration,</w:t>
      </w:r>
      <w:r>
        <w:rPr>
          <w:rFonts w:ascii="Arial" w:hAnsi="Arial" w:cs="Arial"/>
          <w:sz w:val="20"/>
          <w:szCs w:val="20"/>
        </w:rPr>
        <w:t xml:space="preserve"> unless there is a </w:t>
      </w:r>
      <w:r w:rsidRPr="0036411C">
        <w:rPr>
          <w:rFonts w:ascii="Arial" w:hAnsi="Arial" w:cs="Arial"/>
          <w:sz w:val="20"/>
          <w:szCs w:val="20"/>
        </w:rPr>
        <w:t xml:space="preserve">justifiable </w:t>
      </w:r>
      <w:r>
        <w:rPr>
          <w:rFonts w:ascii="Arial" w:hAnsi="Arial" w:cs="Arial"/>
          <w:sz w:val="20"/>
          <w:szCs w:val="20"/>
        </w:rPr>
        <w:t xml:space="preserve">reason. </w:t>
      </w:r>
      <w:r w:rsidRPr="00F32F72">
        <w:rPr>
          <w:rFonts w:ascii="Arial" w:hAnsi="Arial" w:cs="Arial"/>
          <w:sz w:val="20"/>
          <w:szCs w:val="20"/>
        </w:rPr>
        <w:t xml:space="preserve">A </w:t>
      </w:r>
      <w:r>
        <w:rPr>
          <w:rFonts w:ascii="Arial" w:hAnsi="Arial" w:cs="Arial"/>
          <w:sz w:val="20"/>
          <w:szCs w:val="20"/>
        </w:rPr>
        <w:t xml:space="preserve">cancellation action based on </w:t>
      </w:r>
      <w:r w:rsidRPr="00F32F72">
        <w:rPr>
          <w:rFonts w:ascii="Arial" w:hAnsi="Arial" w:cs="Arial"/>
          <w:sz w:val="20"/>
          <w:szCs w:val="20"/>
        </w:rPr>
        <w:t xml:space="preserve">non-use </w:t>
      </w:r>
      <w:r>
        <w:rPr>
          <w:rFonts w:ascii="Arial" w:hAnsi="Arial" w:cs="Arial"/>
          <w:sz w:val="20"/>
          <w:szCs w:val="20"/>
        </w:rPr>
        <w:t xml:space="preserve">ground </w:t>
      </w:r>
      <w:r w:rsidRPr="00F32F72">
        <w:rPr>
          <w:rFonts w:ascii="Arial" w:hAnsi="Arial" w:cs="Arial"/>
          <w:sz w:val="20"/>
          <w:szCs w:val="20"/>
        </w:rPr>
        <w:t xml:space="preserve">may be </w:t>
      </w:r>
      <w:r>
        <w:rPr>
          <w:rFonts w:ascii="Arial" w:hAnsi="Arial" w:cs="Arial"/>
          <w:sz w:val="20"/>
          <w:szCs w:val="20"/>
        </w:rPr>
        <w:t xml:space="preserve">initiated </w:t>
      </w:r>
      <w:r w:rsidRPr="00F32F72">
        <w:rPr>
          <w:rFonts w:ascii="Arial" w:hAnsi="Arial" w:cs="Arial"/>
          <w:sz w:val="20"/>
          <w:szCs w:val="20"/>
        </w:rPr>
        <w:t xml:space="preserve">by any </w:t>
      </w:r>
      <w:r>
        <w:rPr>
          <w:rFonts w:ascii="Arial" w:hAnsi="Arial" w:cs="Arial"/>
          <w:sz w:val="20"/>
          <w:szCs w:val="20"/>
        </w:rPr>
        <w:t xml:space="preserve">natural or legal person </w:t>
      </w:r>
      <w:r w:rsidRPr="00F32F72">
        <w:rPr>
          <w:rFonts w:ascii="Arial" w:hAnsi="Arial" w:cs="Arial"/>
          <w:sz w:val="20"/>
          <w:szCs w:val="20"/>
        </w:rPr>
        <w:t xml:space="preserve">with </w:t>
      </w:r>
      <w:r>
        <w:rPr>
          <w:rFonts w:ascii="Arial" w:hAnsi="Arial" w:cs="Arial"/>
          <w:sz w:val="20"/>
          <w:szCs w:val="20"/>
        </w:rPr>
        <w:t xml:space="preserve">the </w:t>
      </w:r>
      <w:r w:rsidRPr="00F32F72">
        <w:rPr>
          <w:rFonts w:ascii="Arial" w:hAnsi="Arial" w:cs="Arial"/>
          <w:sz w:val="20"/>
          <w:szCs w:val="20"/>
        </w:rPr>
        <w:t>Intellectual Property Office of Vietn</w:t>
      </w:r>
      <w:r>
        <w:rPr>
          <w:rFonts w:ascii="Arial" w:hAnsi="Arial" w:cs="Arial"/>
          <w:sz w:val="20"/>
          <w:szCs w:val="20"/>
        </w:rPr>
        <w:t>am (</w:t>
      </w:r>
      <w:r w:rsidRPr="007804B2">
        <w:rPr>
          <w:rFonts w:ascii="Arial" w:hAnsi="Arial" w:cs="Arial"/>
          <w:b/>
          <w:bCs/>
          <w:sz w:val="20"/>
          <w:szCs w:val="20"/>
        </w:rPr>
        <w:t>IP VIETNAM</w:t>
      </w:r>
      <w:r>
        <w:rPr>
          <w:rFonts w:ascii="Arial" w:hAnsi="Arial" w:cs="Arial"/>
          <w:sz w:val="20"/>
          <w:szCs w:val="20"/>
        </w:rPr>
        <w:t xml:space="preserve">). The </w:t>
      </w:r>
      <w:r w:rsidRPr="00F32F72">
        <w:rPr>
          <w:rFonts w:ascii="Arial" w:hAnsi="Arial" w:cs="Arial"/>
          <w:sz w:val="20"/>
          <w:szCs w:val="20"/>
        </w:rPr>
        <w:t xml:space="preserve">trademark owner, </w:t>
      </w:r>
      <w:r>
        <w:rPr>
          <w:rFonts w:ascii="Arial" w:hAnsi="Arial" w:cs="Arial"/>
          <w:sz w:val="20"/>
          <w:szCs w:val="20"/>
        </w:rPr>
        <w:t xml:space="preserve">in an attempt </w:t>
      </w:r>
      <w:r w:rsidRPr="00F32F72">
        <w:rPr>
          <w:rFonts w:ascii="Arial" w:hAnsi="Arial" w:cs="Arial"/>
          <w:sz w:val="20"/>
          <w:szCs w:val="20"/>
        </w:rPr>
        <w:t xml:space="preserve">to refute a </w:t>
      </w:r>
      <w:r>
        <w:rPr>
          <w:rFonts w:ascii="Arial" w:hAnsi="Arial" w:cs="Arial"/>
          <w:sz w:val="20"/>
          <w:szCs w:val="20"/>
        </w:rPr>
        <w:t xml:space="preserve">cancellation </w:t>
      </w:r>
      <w:r w:rsidRPr="00F32F72">
        <w:rPr>
          <w:rFonts w:ascii="Arial" w:hAnsi="Arial" w:cs="Arial"/>
          <w:sz w:val="20"/>
          <w:szCs w:val="20"/>
        </w:rPr>
        <w:t xml:space="preserve">request, </w:t>
      </w:r>
      <w:r>
        <w:rPr>
          <w:rFonts w:ascii="Arial" w:hAnsi="Arial" w:cs="Arial"/>
          <w:sz w:val="20"/>
          <w:szCs w:val="20"/>
        </w:rPr>
        <w:t>is required</w:t>
      </w:r>
      <w:r w:rsidRPr="00F32F72">
        <w:rPr>
          <w:rFonts w:ascii="Arial" w:hAnsi="Arial" w:cs="Arial"/>
          <w:sz w:val="20"/>
          <w:szCs w:val="20"/>
        </w:rPr>
        <w:t xml:space="preserve"> to demonstrate </w:t>
      </w:r>
      <w:r>
        <w:rPr>
          <w:rFonts w:ascii="Arial" w:hAnsi="Arial" w:cs="Arial"/>
          <w:sz w:val="20"/>
          <w:szCs w:val="20"/>
        </w:rPr>
        <w:t xml:space="preserve">his use of the </w:t>
      </w:r>
      <w:r w:rsidRPr="00F32F72">
        <w:rPr>
          <w:rFonts w:ascii="Arial" w:hAnsi="Arial" w:cs="Arial"/>
          <w:sz w:val="20"/>
          <w:szCs w:val="20"/>
        </w:rPr>
        <w:t xml:space="preserve">trademark in </w:t>
      </w:r>
      <w:r>
        <w:rPr>
          <w:rFonts w:ascii="Arial" w:hAnsi="Arial" w:cs="Arial"/>
          <w:sz w:val="20"/>
          <w:szCs w:val="20"/>
        </w:rPr>
        <w:t>line</w:t>
      </w:r>
      <w:r w:rsidRPr="00F32F72">
        <w:rPr>
          <w:rFonts w:ascii="Arial" w:hAnsi="Arial" w:cs="Arial"/>
          <w:sz w:val="20"/>
          <w:szCs w:val="20"/>
        </w:rPr>
        <w:t xml:space="preserve"> with the provisions of the law, for example, by providing </w:t>
      </w:r>
      <w:r>
        <w:rPr>
          <w:rFonts w:ascii="Arial" w:hAnsi="Arial" w:cs="Arial"/>
          <w:sz w:val="20"/>
          <w:szCs w:val="20"/>
        </w:rPr>
        <w:t xml:space="preserve">evidence </w:t>
      </w:r>
      <w:r w:rsidRPr="00F32F72">
        <w:rPr>
          <w:rFonts w:ascii="Arial" w:hAnsi="Arial" w:cs="Arial"/>
          <w:sz w:val="20"/>
          <w:szCs w:val="20"/>
        </w:rPr>
        <w:t xml:space="preserve">to prove that the mark has been </w:t>
      </w:r>
      <w:r>
        <w:rPr>
          <w:rFonts w:ascii="Arial" w:hAnsi="Arial" w:cs="Arial"/>
          <w:sz w:val="20"/>
          <w:szCs w:val="20"/>
        </w:rPr>
        <w:t xml:space="preserve">put in commercial </w:t>
      </w:r>
      <w:r w:rsidRPr="00F32F72">
        <w:rPr>
          <w:rFonts w:ascii="Arial" w:hAnsi="Arial" w:cs="Arial"/>
          <w:sz w:val="20"/>
          <w:szCs w:val="20"/>
        </w:rPr>
        <w:t xml:space="preserve">use </w:t>
      </w:r>
      <w:r>
        <w:rPr>
          <w:rFonts w:ascii="Arial" w:hAnsi="Arial" w:cs="Arial"/>
          <w:sz w:val="20"/>
          <w:szCs w:val="20"/>
        </w:rPr>
        <w:t xml:space="preserve">in compliance with </w:t>
      </w:r>
      <w:r w:rsidRPr="00F32F72">
        <w:rPr>
          <w:rFonts w:ascii="Arial" w:hAnsi="Arial" w:cs="Arial"/>
          <w:sz w:val="20"/>
          <w:szCs w:val="20"/>
        </w:rPr>
        <w:t xml:space="preserve">Article 124.5 of </w:t>
      </w:r>
      <w:r>
        <w:rPr>
          <w:rFonts w:ascii="Arial" w:hAnsi="Arial" w:cs="Arial"/>
          <w:sz w:val="20"/>
          <w:szCs w:val="20"/>
        </w:rPr>
        <w:t xml:space="preserve">IP </w:t>
      </w:r>
      <w:r w:rsidRPr="00F32F72">
        <w:rPr>
          <w:rFonts w:ascii="Arial" w:hAnsi="Arial" w:cs="Arial"/>
          <w:sz w:val="20"/>
          <w:szCs w:val="20"/>
        </w:rPr>
        <w:t xml:space="preserve">Law. The </w:t>
      </w:r>
      <w:r w:rsidRPr="0055112D">
        <w:rPr>
          <w:rFonts w:ascii="Arial" w:hAnsi="Arial" w:cs="Arial"/>
          <w:sz w:val="20"/>
          <w:szCs w:val="20"/>
        </w:rPr>
        <w:t>revocation</w:t>
      </w:r>
      <w:r>
        <w:rPr>
          <w:rFonts w:ascii="Arial" w:hAnsi="Arial" w:cs="Arial"/>
          <w:sz w:val="20"/>
          <w:szCs w:val="20"/>
        </w:rPr>
        <w:t>/cancellation of a t</w:t>
      </w:r>
      <w:r w:rsidRPr="00F32F72">
        <w:rPr>
          <w:rFonts w:ascii="Arial" w:hAnsi="Arial" w:cs="Arial"/>
          <w:sz w:val="20"/>
          <w:szCs w:val="20"/>
        </w:rPr>
        <w:t xml:space="preserve">rademark </w:t>
      </w:r>
      <w:r>
        <w:rPr>
          <w:rFonts w:ascii="Arial" w:hAnsi="Arial" w:cs="Arial"/>
          <w:sz w:val="20"/>
          <w:szCs w:val="20"/>
        </w:rPr>
        <w:t>r</w:t>
      </w:r>
      <w:r w:rsidRPr="00F32F72">
        <w:rPr>
          <w:rFonts w:ascii="Arial" w:hAnsi="Arial" w:cs="Arial"/>
          <w:sz w:val="20"/>
          <w:szCs w:val="20"/>
        </w:rPr>
        <w:t xml:space="preserve">egistration is established by </w:t>
      </w:r>
      <w:r>
        <w:rPr>
          <w:rFonts w:ascii="Arial" w:hAnsi="Arial" w:cs="Arial"/>
          <w:sz w:val="20"/>
          <w:szCs w:val="20"/>
        </w:rPr>
        <w:t xml:space="preserve">a </w:t>
      </w:r>
      <w:r w:rsidRPr="00F32F72">
        <w:rPr>
          <w:rFonts w:ascii="Arial" w:hAnsi="Arial" w:cs="Arial"/>
          <w:sz w:val="20"/>
          <w:szCs w:val="20"/>
        </w:rPr>
        <w:t xml:space="preserve">decision </w:t>
      </w:r>
      <w:r>
        <w:rPr>
          <w:rFonts w:ascii="Arial" w:hAnsi="Arial" w:cs="Arial"/>
          <w:sz w:val="20"/>
          <w:szCs w:val="20"/>
        </w:rPr>
        <w:t xml:space="preserve">from </w:t>
      </w:r>
      <w:r w:rsidRPr="007804B2">
        <w:rPr>
          <w:rFonts w:ascii="Arial" w:hAnsi="Arial" w:cs="Arial"/>
          <w:sz w:val="20"/>
          <w:szCs w:val="20"/>
        </w:rPr>
        <w:t>IP VIETNAM</w:t>
      </w:r>
      <w:r w:rsidRPr="00F32F72">
        <w:rPr>
          <w:rFonts w:ascii="Arial" w:hAnsi="Arial" w:cs="Arial"/>
          <w:sz w:val="20"/>
          <w:szCs w:val="20"/>
        </w:rPr>
        <w:t xml:space="preserve"> and can be reco</w:t>
      </w:r>
      <w:r>
        <w:rPr>
          <w:rFonts w:ascii="Arial" w:hAnsi="Arial" w:cs="Arial"/>
          <w:sz w:val="20"/>
          <w:szCs w:val="20"/>
        </w:rPr>
        <w:t xml:space="preserve">rded in the national trademark register. </w:t>
      </w:r>
      <w:r w:rsidRPr="00F32F72">
        <w:rPr>
          <w:rFonts w:ascii="Arial" w:hAnsi="Arial" w:cs="Arial"/>
          <w:sz w:val="20"/>
          <w:szCs w:val="20"/>
        </w:rPr>
        <w:t xml:space="preserve">As a basic principle, if a registered trademark is not used for </w:t>
      </w:r>
      <w:r>
        <w:rPr>
          <w:rFonts w:ascii="Arial" w:hAnsi="Arial" w:cs="Arial"/>
          <w:sz w:val="20"/>
          <w:szCs w:val="20"/>
        </w:rPr>
        <w:t xml:space="preserve">a </w:t>
      </w:r>
      <w:r w:rsidRPr="00F32F72">
        <w:rPr>
          <w:rFonts w:ascii="Arial" w:hAnsi="Arial" w:cs="Arial"/>
          <w:sz w:val="20"/>
          <w:szCs w:val="20"/>
        </w:rPr>
        <w:t xml:space="preserve">part of the </w:t>
      </w:r>
      <w:r>
        <w:rPr>
          <w:rFonts w:ascii="Arial" w:hAnsi="Arial" w:cs="Arial"/>
          <w:sz w:val="20"/>
          <w:szCs w:val="20"/>
        </w:rPr>
        <w:t>designated</w:t>
      </w:r>
      <w:r w:rsidRPr="00F32F72">
        <w:rPr>
          <w:rFonts w:ascii="Arial" w:hAnsi="Arial" w:cs="Arial"/>
          <w:sz w:val="20"/>
          <w:szCs w:val="20"/>
        </w:rPr>
        <w:t xml:space="preserve"> goods/services, the </w:t>
      </w:r>
      <w:r>
        <w:rPr>
          <w:rFonts w:ascii="Arial" w:hAnsi="Arial" w:cs="Arial"/>
          <w:sz w:val="20"/>
          <w:szCs w:val="20"/>
        </w:rPr>
        <w:t xml:space="preserve">validity of the trademark registration </w:t>
      </w:r>
      <w:r w:rsidRPr="00F32F72">
        <w:rPr>
          <w:rFonts w:ascii="Arial" w:hAnsi="Arial" w:cs="Arial"/>
          <w:sz w:val="20"/>
          <w:szCs w:val="20"/>
        </w:rPr>
        <w:t xml:space="preserve">for such unused goods/services shall be </w:t>
      </w:r>
      <w:r>
        <w:rPr>
          <w:rFonts w:ascii="Arial" w:hAnsi="Arial" w:cs="Arial"/>
          <w:sz w:val="20"/>
          <w:szCs w:val="20"/>
        </w:rPr>
        <w:t>partially cancelled;</w:t>
      </w:r>
      <w:r w:rsidRPr="00F32F72">
        <w:rPr>
          <w:rFonts w:ascii="Arial" w:hAnsi="Arial" w:cs="Arial"/>
          <w:sz w:val="20"/>
          <w:szCs w:val="20"/>
        </w:rPr>
        <w:t xml:space="preserve"> in other words, </w:t>
      </w:r>
      <w:r>
        <w:rPr>
          <w:rFonts w:ascii="Arial" w:hAnsi="Arial" w:cs="Arial"/>
          <w:sz w:val="20"/>
          <w:szCs w:val="20"/>
        </w:rPr>
        <w:t>a t</w:t>
      </w:r>
      <w:r w:rsidRPr="00F32F72">
        <w:rPr>
          <w:rFonts w:ascii="Arial" w:hAnsi="Arial" w:cs="Arial"/>
          <w:sz w:val="20"/>
          <w:szCs w:val="20"/>
        </w:rPr>
        <w:t xml:space="preserve">rademark </w:t>
      </w:r>
      <w:r>
        <w:rPr>
          <w:rFonts w:ascii="Arial" w:hAnsi="Arial" w:cs="Arial"/>
          <w:sz w:val="20"/>
          <w:szCs w:val="20"/>
        </w:rPr>
        <w:t>r</w:t>
      </w:r>
      <w:r w:rsidRPr="00F32F72">
        <w:rPr>
          <w:rFonts w:ascii="Arial" w:hAnsi="Arial" w:cs="Arial"/>
          <w:sz w:val="20"/>
          <w:szCs w:val="20"/>
        </w:rPr>
        <w:t>egistration in Vietnam</w:t>
      </w:r>
      <w:r>
        <w:rPr>
          <w:rFonts w:ascii="Arial" w:hAnsi="Arial" w:cs="Arial"/>
          <w:sz w:val="20"/>
          <w:szCs w:val="20"/>
        </w:rPr>
        <w:t xml:space="preserve"> may be partially cancelled.</w:t>
      </w:r>
    </w:p>
    <w:p w14:paraId="5ECCD4E8" w14:textId="77777777" w:rsidR="00A90A64" w:rsidRPr="00122F02" w:rsidRDefault="00A90A64" w:rsidP="00A90A64">
      <w:pPr>
        <w:spacing w:after="0" w:line="240" w:lineRule="auto"/>
        <w:jc w:val="both"/>
        <w:rPr>
          <w:rFonts w:ascii="Arial" w:hAnsi="Arial" w:cs="Arial"/>
          <w:sz w:val="20"/>
          <w:szCs w:val="20"/>
        </w:rPr>
      </w:pPr>
    </w:p>
    <w:p w14:paraId="7310B47A" w14:textId="77777777" w:rsidR="00A90A64" w:rsidRDefault="00A90A64" w:rsidP="00A90A64">
      <w:pPr>
        <w:spacing w:after="0" w:line="240" w:lineRule="auto"/>
        <w:jc w:val="both"/>
        <w:rPr>
          <w:rFonts w:ascii="Arial" w:hAnsi="Arial" w:cs="Arial"/>
          <w:sz w:val="20"/>
          <w:szCs w:val="20"/>
        </w:rPr>
      </w:pPr>
      <w:r>
        <w:rPr>
          <w:rFonts w:ascii="Arial" w:hAnsi="Arial" w:cs="Arial"/>
          <w:sz w:val="20"/>
          <w:szCs w:val="20"/>
        </w:rPr>
        <w:t xml:space="preserve">The non-use status of the </w:t>
      </w:r>
      <w:r w:rsidRPr="00315963">
        <w:rPr>
          <w:rFonts w:ascii="Arial" w:hAnsi="Arial" w:cs="Arial"/>
          <w:sz w:val="20"/>
          <w:szCs w:val="20"/>
        </w:rPr>
        <w:t xml:space="preserve">registered trademarks </w:t>
      </w:r>
      <w:r>
        <w:rPr>
          <w:rFonts w:ascii="Arial" w:hAnsi="Arial" w:cs="Arial"/>
          <w:sz w:val="20"/>
          <w:szCs w:val="20"/>
        </w:rPr>
        <w:t>may impair t</w:t>
      </w:r>
      <w:r w:rsidRPr="00315963">
        <w:rPr>
          <w:rFonts w:ascii="Arial" w:hAnsi="Arial" w:cs="Arial"/>
          <w:sz w:val="20"/>
          <w:szCs w:val="20"/>
        </w:rPr>
        <w:t xml:space="preserve">he ability </w:t>
      </w:r>
      <w:r>
        <w:rPr>
          <w:rFonts w:ascii="Arial" w:hAnsi="Arial" w:cs="Arial"/>
          <w:sz w:val="20"/>
          <w:szCs w:val="20"/>
        </w:rPr>
        <w:t>of</w:t>
      </w:r>
      <w:r w:rsidRPr="00315963">
        <w:rPr>
          <w:rFonts w:ascii="Arial" w:hAnsi="Arial" w:cs="Arial"/>
          <w:sz w:val="20"/>
          <w:szCs w:val="20"/>
        </w:rPr>
        <w:t xml:space="preserve"> </w:t>
      </w:r>
      <w:r>
        <w:rPr>
          <w:rFonts w:ascii="Arial" w:hAnsi="Arial" w:cs="Arial"/>
          <w:sz w:val="20"/>
          <w:szCs w:val="20"/>
        </w:rPr>
        <w:t xml:space="preserve">IPR </w:t>
      </w:r>
      <w:r w:rsidRPr="00315963">
        <w:rPr>
          <w:rFonts w:ascii="Arial" w:hAnsi="Arial" w:cs="Arial"/>
          <w:sz w:val="20"/>
          <w:szCs w:val="20"/>
        </w:rPr>
        <w:t>enforce</w:t>
      </w:r>
      <w:r>
        <w:rPr>
          <w:rFonts w:ascii="Arial" w:hAnsi="Arial" w:cs="Arial"/>
          <w:sz w:val="20"/>
          <w:szCs w:val="20"/>
        </w:rPr>
        <w:t>ment</w:t>
      </w:r>
      <w:r w:rsidRPr="00315963">
        <w:rPr>
          <w:rFonts w:ascii="Arial" w:hAnsi="Arial" w:cs="Arial"/>
          <w:sz w:val="20"/>
          <w:szCs w:val="20"/>
        </w:rPr>
        <w:t xml:space="preserve"> and protect</w:t>
      </w:r>
      <w:r>
        <w:rPr>
          <w:rFonts w:ascii="Arial" w:hAnsi="Arial" w:cs="Arial"/>
          <w:sz w:val="20"/>
          <w:szCs w:val="20"/>
        </w:rPr>
        <w:t>ion</w:t>
      </w:r>
      <w:r w:rsidRPr="00315963">
        <w:rPr>
          <w:rFonts w:ascii="Arial" w:hAnsi="Arial" w:cs="Arial"/>
          <w:sz w:val="20"/>
          <w:szCs w:val="20"/>
        </w:rPr>
        <w:t xml:space="preserve"> against infringements, such as preventing other organizations/individuals from using </w:t>
      </w:r>
      <w:r>
        <w:rPr>
          <w:rFonts w:ascii="Arial" w:hAnsi="Arial" w:cs="Arial"/>
          <w:sz w:val="20"/>
          <w:szCs w:val="20"/>
        </w:rPr>
        <w:t>identical</w:t>
      </w:r>
      <w:r w:rsidRPr="00315963">
        <w:rPr>
          <w:rFonts w:ascii="Arial" w:hAnsi="Arial" w:cs="Arial"/>
          <w:sz w:val="20"/>
          <w:szCs w:val="20"/>
        </w:rPr>
        <w:t xml:space="preserve"> or similar signs in commerce. </w:t>
      </w:r>
      <w:r w:rsidRPr="00052A8C">
        <w:rPr>
          <w:rFonts w:ascii="Arial" w:hAnsi="Arial" w:cs="Arial"/>
          <w:sz w:val="20"/>
          <w:szCs w:val="20"/>
        </w:rPr>
        <w:t>In addition, if the earlier registered trademark of the genuine owner has not been utilized, opposition to the later-filed trademark application of a competitor may be rendered useless or impossible. Negligence relating to the failure to use a registered trademark might potentially result in the loss of market exclusivity for a specific mark if the owner fails to begin using the mark.</w:t>
      </w:r>
    </w:p>
    <w:p w14:paraId="62E8913F" w14:textId="77777777" w:rsidR="00A90A64" w:rsidRPr="00122F02" w:rsidRDefault="00A90A64" w:rsidP="00A90A64">
      <w:pPr>
        <w:spacing w:after="0" w:line="240" w:lineRule="auto"/>
        <w:jc w:val="both"/>
        <w:rPr>
          <w:rFonts w:ascii="Arial" w:hAnsi="Arial" w:cs="Arial"/>
          <w:sz w:val="20"/>
          <w:szCs w:val="20"/>
        </w:rPr>
      </w:pPr>
    </w:p>
    <w:p w14:paraId="0F191181" w14:textId="77777777" w:rsidR="00A90A64" w:rsidRPr="00205FB4" w:rsidRDefault="00A90A64" w:rsidP="00A90A64">
      <w:pPr>
        <w:spacing w:after="0" w:line="240" w:lineRule="auto"/>
        <w:jc w:val="both"/>
        <w:rPr>
          <w:rFonts w:ascii="Arial" w:eastAsia="Times New Roman" w:hAnsi="Arial" w:cs="Arial"/>
          <w:b/>
          <w:color w:val="0469BD"/>
          <w:sz w:val="20"/>
          <w:szCs w:val="20"/>
        </w:rPr>
      </w:pPr>
      <w:r w:rsidRPr="00205FB4">
        <w:rPr>
          <w:rFonts w:ascii="Arial" w:eastAsia="Times New Roman" w:hAnsi="Arial" w:cs="Arial"/>
          <w:b/>
          <w:color w:val="0469BD"/>
          <w:sz w:val="20"/>
          <w:szCs w:val="20"/>
        </w:rPr>
        <w:t xml:space="preserve">Genuine Use of Trademarks – No explicit </w:t>
      </w:r>
      <w:r>
        <w:rPr>
          <w:rFonts w:ascii="Arial" w:eastAsia="Times New Roman" w:hAnsi="Arial" w:cs="Arial"/>
          <w:b/>
          <w:color w:val="0469BD"/>
          <w:sz w:val="20"/>
          <w:szCs w:val="20"/>
        </w:rPr>
        <w:t xml:space="preserve">statutory </w:t>
      </w:r>
      <w:r w:rsidRPr="00205FB4">
        <w:rPr>
          <w:rFonts w:ascii="Arial" w:eastAsia="Times New Roman" w:hAnsi="Arial" w:cs="Arial"/>
          <w:b/>
          <w:color w:val="0469BD"/>
          <w:sz w:val="20"/>
          <w:szCs w:val="20"/>
        </w:rPr>
        <w:t>provision</w:t>
      </w:r>
      <w:r>
        <w:rPr>
          <w:rFonts w:ascii="Arial" w:eastAsia="Times New Roman" w:hAnsi="Arial" w:cs="Arial"/>
          <w:b/>
          <w:color w:val="0469BD"/>
          <w:sz w:val="20"/>
          <w:szCs w:val="20"/>
        </w:rPr>
        <w:t>s in IP Law</w:t>
      </w:r>
      <w:r w:rsidRPr="00205FB4">
        <w:rPr>
          <w:rFonts w:ascii="Arial" w:eastAsia="Times New Roman" w:hAnsi="Arial" w:cs="Arial"/>
          <w:b/>
          <w:color w:val="0469BD"/>
          <w:sz w:val="20"/>
          <w:szCs w:val="20"/>
        </w:rPr>
        <w:t xml:space="preserve">, but </w:t>
      </w:r>
      <w:r>
        <w:rPr>
          <w:rFonts w:ascii="Arial" w:eastAsia="Times New Roman" w:hAnsi="Arial" w:cs="Arial"/>
          <w:b/>
          <w:color w:val="0469BD"/>
          <w:sz w:val="20"/>
          <w:szCs w:val="20"/>
        </w:rPr>
        <w:t>be beware of</w:t>
      </w:r>
      <w:r w:rsidRPr="00205FB4">
        <w:rPr>
          <w:rFonts w:ascii="Arial" w:eastAsia="Times New Roman" w:hAnsi="Arial" w:cs="Arial"/>
          <w:b/>
          <w:color w:val="0469BD"/>
          <w:sz w:val="20"/>
          <w:szCs w:val="20"/>
        </w:rPr>
        <w:t xml:space="preserve"> losing your trademark in Vietnam</w:t>
      </w:r>
    </w:p>
    <w:p w14:paraId="4FC13FC1" w14:textId="77777777" w:rsidR="00A90A64" w:rsidRDefault="00A90A64" w:rsidP="00A90A64">
      <w:pPr>
        <w:spacing w:after="0" w:line="240" w:lineRule="auto"/>
        <w:jc w:val="both"/>
        <w:rPr>
          <w:rFonts w:ascii="Arial" w:hAnsi="Arial" w:cs="Arial"/>
          <w:sz w:val="20"/>
          <w:szCs w:val="20"/>
        </w:rPr>
      </w:pPr>
    </w:p>
    <w:p w14:paraId="43B7AA4D" w14:textId="77777777" w:rsidR="00A90A64" w:rsidRDefault="00A90A64" w:rsidP="00A90A64">
      <w:pPr>
        <w:spacing w:after="0" w:line="240" w:lineRule="auto"/>
        <w:jc w:val="both"/>
        <w:rPr>
          <w:rFonts w:ascii="Arial" w:hAnsi="Arial" w:cs="Arial"/>
          <w:sz w:val="20"/>
          <w:szCs w:val="20"/>
        </w:rPr>
      </w:pPr>
      <w:r w:rsidRPr="00122F02">
        <w:rPr>
          <w:rFonts w:ascii="Arial" w:hAnsi="Arial" w:cs="Arial"/>
          <w:sz w:val="20"/>
          <w:szCs w:val="20"/>
        </w:rPr>
        <w:t xml:space="preserve">Vietnam's IP Law or sub-law documents do not </w:t>
      </w:r>
      <w:r>
        <w:rPr>
          <w:rFonts w:ascii="Arial" w:hAnsi="Arial" w:cs="Arial"/>
          <w:sz w:val="20"/>
          <w:szCs w:val="20"/>
        </w:rPr>
        <w:t>lay down any specific</w:t>
      </w:r>
      <w:r w:rsidRPr="00122F02">
        <w:rPr>
          <w:rFonts w:ascii="Arial" w:hAnsi="Arial" w:cs="Arial"/>
          <w:sz w:val="20"/>
          <w:szCs w:val="20"/>
        </w:rPr>
        <w:t xml:space="preserve"> provisions on "genuine use" and "token use". </w:t>
      </w:r>
      <w:r>
        <w:rPr>
          <w:rFonts w:ascii="Arial" w:hAnsi="Arial" w:cs="Arial"/>
          <w:sz w:val="20"/>
          <w:szCs w:val="20"/>
        </w:rPr>
        <w:t>In principle</w:t>
      </w:r>
      <w:r w:rsidRPr="00122F02">
        <w:rPr>
          <w:rFonts w:ascii="Arial" w:hAnsi="Arial" w:cs="Arial"/>
          <w:sz w:val="20"/>
          <w:szCs w:val="20"/>
        </w:rPr>
        <w:t xml:space="preserve">, the </w:t>
      </w:r>
      <w:r>
        <w:rPr>
          <w:rFonts w:ascii="Arial" w:hAnsi="Arial" w:cs="Arial"/>
          <w:sz w:val="20"/>
          <w:szCs w:val="20"/>
        </w:rPr>
        <w:t xml:space="preserve">genuine </w:t>
      </w:r>
      <w:r w:rsidRPr="00122F02">
        <w:rPr>
          <w:rFonts w:ascii="Arial" w:hAnsi="Arial" w:cs="Arial"/>
          <w:sz w:val="20"/>
          <w:szCs w:val="20"/>
        </w:rPr>
        <w:t xml:space="preserve">use of the mark should be </w:t>
      </w:r>
      <w:r>
        <w:rPr>
          <w:rFonts w:ascii="Arial" w:hAnsi="Arial" w:cs="Arial"/>
          <w:sz w:val="20"/>
          <w:szCs w:val="20"/>
        </w:rPr>
        <w:t xml:space="preserve">in a </w:t>
      </w:r>
      <w:r w:rsidRPr="00122F02">
        <w:rPr>
          <w:rFonts w:ascii="Arial" w:hAnsi="Arial" w:cs="Arial"/>
          <w:sz w:val="20"/>
          <w:szCs w:val="20"/>
        </w:rPr>
        <w:t>sustain</w:t>
      </w:r>
      <w:r>
        <w:rPr>
          <w:rFonts w:ascii="Arial" w:hAnsi="Arial" w:cs="Arial"/>
          <w:sz w:val="20"/>
          <w:szCs w:val="20"/>
        </w:rPr>
        <w:t>able</w:t>
      </w:r>
      <w:r w:rsidRPr="00122F02">
        <w:rPr>
          <w:rFonts w:ascii="Arial" w:hAnsi="Arial" w:cs="Arial"/>
          <w:sz w:val="20"/>
          <w:szCs w:val="20"/>
        </w:rPr>
        <w:t xml:space="preserve"> and sufficiently broad</w:t>
      </w:r>
      <w:r>
        <w:rPr>
          <w:rFonts w:ascii="Arial" w:hAnsi="Arial" w:cs="Arial"/>
          <w:sz w:val="20"/>
          <w:szCs w:val="20"/>
        </w:rPr>
        <w:t xml:space="preserve"> manner</w:t>
      </w:r>
      <w:r w:rsidRPr="00122F02">
        <w:rPr>
          <w:rFonts w:ascii="Arial" w:hAnsi="Arial" w:cs="Arial"/>
          <w:sz w:val="20"/>
          <w:szCs w:val="20"/>
        </w:rPr>
        <w:t xml:space="preserve">. The use must </w:t>
      </w:r>
      <w:r>
        <w:rPr>
          <w:rFonts w:ascii="Arial" w:hAnsi="Arial" w:cs="Arial"/>
          <w:sz w:val="20"/>
          <w:szCs w:val="20"/>
        </w:rPr>
        <w:t xml:space="preserve">be </w:t>
      </w:r>
      <w:r w:rsidRPr="00122F02">
        <w:rPr>
          <w:rFonts w:ascii="Arial" w:hAnsi="Arial" w:cs="Arial"/>
          <w:sz w:val="20"/>
          <w:szCs w:val="20"/>
        </w:rPr>
        <w:t>take</w:t>
      </w:r>
      <w:r>
        <w:rPr>
          <w:rFonts w:ascii="Arial" w:hAnsi="Arial" w:cs="Arial"/>
          <w:sz w:val="20"/>
          <w:szCs w:val="20"/>
        </w:rPr>
        <w:t>n</w:t>
      </w:r>
      <w:r w:rsidRPr="00122F02">
        <w:rPr>
          <w:rFonts w:ascii="Arial" w:hAnsi="Arial" w:cs="Arial"/>
          <w:sz w:val="20"/>
          <w:szCs w:val="20"/>
        </w:rPr>
        <w:t xml:space="preserve"> place in commerce and </w:t>
      </w:r>
      <w:r>
        <w:rPr>
          <w:rFonts w:ascii="Arial" w:hAnsi="Arial" w:cs="Arial"/>
          <w:sz w:val="20"/>
          <w:szCs w:val="20"/>
        </w:rPr>
        <w:t xml:space="preserve">for purpose of </w:t>
      </w:r>
      <w:r w:rsidRPr="00122F02">
        <w:rPr>
          <w:rFonts w:ascii="Arial" w:hAnsi="Arial" w:cs="Arial"/>
          <w:sz w:val="20"/>
          <w:szCs w:val="20"/>
        </w:rPr>
        <w:t>attract</w:t>
      </w:r>
      <w:r>
        <w:rPr>
          <w:rFonts w:ascii="Arial" w:hAnsi="Arial" w:cs="Arial"/>
          <w:sz w:val="20"/>
          <w:szCs w:val="20"/>
        </w:rPr>
        <w:t>ing</w:t>
      </w:r>
      <w:r w:rsidRPr="00122F02">
        <w:rPr>
          <w:rFonts w:ascii="Arial" w:hAnsi="Arial" w:cs="Arial"/>
          <w:sz w:val="20"/>
          <w:szCs w:val="20"/>
        </w:rPr>
        <w:t xml:space="preserve"> customers to the goods through the mark. </w:t>
      </w:r>
      <w:r w:rsidRPr="00981D68">
        <w:rPr>
          <w:rFonts w:ascii="Arial" w:hAnsi="Arial" w:cs="Arial"/>
          <w:sz w:val="20"/>
          <w:szCs w:val="20"/>
        </w:rPr>
        <w:t>This necessitates using the trademark openly and externally, for example, not simply for internal company purposes.</w:t>
      </w:r>
      <w:r w:rsidRPr="00122F02">
        <w:rPr>
          <w:rFonts w:ascii="Arial" w:hAnsi="Arial" w:cs="Arial"/>
          <w:sz w:val="20"/>
          <w:szCs w:val="20"/>
        </w:rPr>
        <w:t xml:space="preserve"> The function of a mark is to distinguish the commercial origin of goods/services from a particular enterprise and this purpose can only be ac</w:t>
      </w:r>
      <w:r>
        <w:rPr>
          <w:rFonts w:ascii="Arial" w:hAnsi="Arial" w:cs="Arial"/>
          <w:sz w:val="20"/>
          <w:szCs w:val="20"/>
        </w:rPr>
        <w:t xml:space="preserve">complished </w:t>
      </w:r>
      <w:r w:rsidRPr="00122F02">
        <w:rPr>
          <w:rFonts w:ascii="Arial" w:hAnsi="Arial" w:cs="Arial"/>
          <w:sz w:val="20"/>
          <w:szCs w:val="20"/>
        </w:rPr>
        <w:t>when the mark is a</w:t>
      </w:r>
      <w:r>
        <w:rPr>
          <w:rFonts w:ascii="Arial" w:hAnsi="Arial" w:cs="Arial"/>
          <w:sz w:val="20"/>
          <w:szCs w:val="20"/>
        </w:rPr>
        <w:t>ffixed</w:t>
      </w:r>
      <w:r w:rsidRPr="00122F02">
        <w:rPr>
          <w:rFonts w:ascii="Arial" w:hAnsi="Arial" w:cs="Arial"/>
          <w:sz w:val="20"/>
          <w:szCs w:val="20"/>
        </w:rPr>
        <w:t xml:space="preserve"> to goods/services </w:t>
      </w:r>
      <w:r>
        <w:rPr>
          <w:rFonts w:ascii="Arial" w:hAnsi="Arial" w:cs="Arial"/>
          <w:sz w:val="20"/>
          <w:szCs w:val="20"/>
        </w:rPr>
        <w:t>that</w:t>
      </w:r>
      <w:r w:rsidRPr="00122F02">
        <w:rPr>
          <w:rFonts w:ascii="Arial" w:hAnsi="Arial" w:cs="Arial"/>
          <w:sz w:val="20"/>
          <w:szCs w:val="20"/>
        </w:rPr>
        <w:t xml:space="preserve"> </w:t>
      </w:r>
      <w:r>
        <w:rPr>
          <w:rFonts w:ascii="Arial" w:hAnsi="Arial" w:cs="Arial"/>
          <w:sz w:val="20"/>
          <w:szCs w:val="20"/>
        </w:rPr>
        <w:t xml:space="preserve">are sold </w:t>
      </w:r>
      <w:r w:rsidRPr="00122F02">
        <w:rPr>
          <w:rFonts w:ascii="Arial" w:hAnsi="Arial" w:cs="Arial"/>
          <w:sz w:val="20"/>
          <w:szCs w:val="20"/>
        </w:rPr>
        <w:t>to the consumer</w:t>
      </w:r>
      <w:r>
        <w:rPr>
          <w:rFonts w:ascii="Arial" w:hAnsi="Arial" w:cs="Arial"/>
          <w:sz w:val="20"/>
          <w:szCs w:val="20"/>
        </w:rPr>
        <w:t>s</w:t>
      </w:r>
      <w:r w:rsidRPr="00122F02">
        <w:rPr>
          <w:rFonts w:ascii="Arial" w:hAnsi="Arial" w:cs="Arial"/>
          <w:sz w:val="20"/>
          <w:szCs w:val="20"/>
        </w:rPr>
        <w:t xml:space="preserve">. </w:t>
      </w:r>
      <w:r>
        <w:rPr>
          <w:rFonts w:ascii="Arial" w:hAnsi="Arial" w:cs="Arial"/>
          <w:sz w:val="20"/>
          <w:szCs w:val="20"/>
        </w:rPr>
        <w:t xml:space="preserve">Genuine </w:t>
      </w:r>
      <w:r w:rsidRPr="00122F02">
        <w:rPr>
          <w:rFonts w:ascii="Arial" w:hAnsi="Arial" w:cs="Arial"/>
          <w:sz w:val="20"/>
          <w:szCs w:val="20"/>
        </w:rPr>
        <w:t xml:space="preserve">use of a trademark may include, but is not limited to, affixing the mark on goods, packaging, business vehicles, service vehicles, transaction documents in </w:t>
      </w:r>
      <w:r>
        <w:rPr>
          <w:rFonts w:ascii="Arial" w:hAnsi="Arial" w:cs="Arial"/>
          <w:sz w:val="20"/>
          <w:szCs w:val="20"/>
        </w:rPr>
        <w:t xml:space="preserve">commercial </w:t>
      </w:r>
      <w:r w:rsidRPr="00122F02">
        <w:rPr>
          <w:rFonts w:ascii="Arial" w:hAnsi="Arial" w:cs="Arial"/>
          <w:sz w:val="20"/>
          <w:szCs w:val="20"/>
        </w:rPr>
        <w:t>activities,</w:t>
      </w:r>
      <w:r>
        <w:rPr>
          <w:rFonts w:ascii="Arial" w:hAnsi="Arial" w:cs="Arial"/>
          <w:sz w:val="20"/>
          <w:szCs w:val="20"/>
        </w:rPr>
        <w:t xml:space="preserve"> </w:t>
      </w:r>
      <w:r w:rsidRPr="00122F02">
        <w:rPr>
          <w:rFonts w:ascii="Arial" w:hAnsi="Arial" w:cs="Arial"/>
          <w:sz w:val="20"/>
          <w:szCs w:val="20"/>
        </w:rPr>
        <w:t>in materials</w:t>
      </w:r>
      <w:r>
        <w:rPr>
          <w:rFonts w:ascii="Arial" w:hAnsi="Arial" w:cs="Arial"/>
          <w:sz w:val="20"/>
          <w:szCs w:val="20"/>
        </w:rPr>
        <w:t xml:space="preserve"> for </w:t>
      </w:r>
      <w:r w:rsidRPr="00122F02">
        <w:rPr>
          <w:rFonts w:ascii="Arial" w:hAnsi="Arial" w:cs="Arial"/>
          <w:sz w:val="20"/>
          <w:szCs w:val="20"/>
        </w:rPr>
        <w:t>marketing,</w:t>
      </w:r>
      <w:r>
        <w:rPr>
          <w:rFonts w:ascii="Arial" w:hAnsi="Arial" w:cs="Arial"/>
          <w:sz w:val="20"/>
          <w:szCs w:val="20"/>
        </w:rPr>
        <w:t xml:space="preserve"> </w:t>
      </w:r>
      <w:r w:rsidRPr="00122F02">
        <w:rPr>
          <w:rFonts w:ascii="Arial" w:hAnsi="Arial" w:cs="Arial"/>
          <w:sz w:val="20"/>
          <w:szCs w:val="20"/>
        </w:rPr>
        <w:t>in communication with customers on social media</w:t>
      </w:r>
      <w:r>
        <w:rPr>
          <w:rFonts w:ascii="Arial" w:hAnsi="Arial" w:cs="Arial"/>
          <w:sz w:val="20"/>
          <w:szCs w:val="20"/>
        </w:rPr>
        <w:t xml:space="preserve"> and </w:t>
      </w:r>
      <w:r w:rsidRPr="00122F02">
        <w:rPr>
          <w:rFonts w:ascii="Arial" w:hAnsi="Arial" w:cs="Arial"/>
          <w:sz w:val="20"/>
          <w:szCs w:val="20"/>
        </w:rPr>
        <w:t>on the website.</w:t>
      </w:r>
    </w:p>
    <w:p w14:paraId="780D27FB" w14:textId="77777777" w:rsidR="00A90A64" w:rsidRDefault="00A90A64" w:rsidP="00A90A64">
      <w:pPr>
        <w:spacing w:after="0" w:line="240" w:lineRule="auto"/>
        <w:jc w:val="both"/>
        <w:rPr>
          <w:rFonts w:ascii="Arial" w:hAnsi="Arial" w:cs="Arial"/>
          <w:sz w:val="20"/>
          <w:szCs w:val="20"/>
        </w:rPr>
      </w:pPr>
    </w:p>
    <w:p w14:paraId="2BC3CA7C" w14:textId="77777777" w:rsidR="00A90A64" w:rsidRPr="00315963" w:rsidRDefault="00A90A64" w:rsidP="00A90A64">
      <w:pPr>
        <w:spacing w:after="0" w:line="240" w:lineRule="auto"/>
        <w:jc w:val="both"/>
        <w:rPr>
          <w:rFonts w:ascii="Arial" w:hAnsi="Arial" w:cs="Arial"/>
          <w:sz w:val="20"/>
          <w:szCs w:val="20"/>
        </w:rPr>
      </w:pPr>
      <w:r w:rsidRPr="00315963">
        <w:rPr>
          <w:rFonts w:ascii="Arial" w:hAnsi="Arial" w:cs="Arial"/>
          <w:sz w:val="20"/>
          <w:szCs w:val="20"/>
        </w:rPr>
        <w:t xml:space="preserve">In fact, many businesses in Vietnam use </w:t>
      </w:r>
      <w:r>
        <w:rPr>
          <w:rFonts w:ascii="Arial" w:hAnsi="Arial" w:cs="Arial"/>
          <w:sz w:val="20"/>
          <w:szCs w:val="20"/>
        </w:rPr>
        <w:t xml:space="preserve">their trade names </w:t>
      </w:r>
      <w:r w:rsidRPr="00315963">
        <w:rPr>
          <w:rFonts w:ascii="Arial" w:hAnsi="Arial" w:cs="Arial"/>
          <w:sz w:val="20"/>
          <w:szCs w:val="20"/>
        </w:rPr>
        <w:t xml:space="preserve">as trademarks. Therefore, </w:t>
      </w:r>
      <w:r w:rsidRPr="00B87C66">
        <w:rPr>
          <w:rFonts w:ascii="Arial" w:hAnsi="Arial" w:cs="Arial"/>
          <w:b/>
          <w:sz w:val="20"/>
          <w:szCs w:val="20"/>
        </w:rPr>
        <w:t>us</w:t>
      </w:r>
      <w:r>
        <w:rPr>
          <w:rFonts w:ascii="Arial" w:hAnsi="Arial" w:cs="Arial"/>
          <w:b/>
          <w:sz w:val="20"/>
          <w:szCs w:val="20"/>
        </w:rPr>
        <w:t>ing</w:t>
      </w:r>
      <w:r w:rsidRPr="00B87C66">
        <w:rPr>
          <w:rFonts w:ascii="Arial" w:hAnsi="Arial" w:cs="Arial"/>
          <w:b/>
          <w:sz w:val="20"/>
          <w:szCs w:val="20"/>
        </w:rPr>
        <w:t xml:space="preserve"> a trademark that coincides with a </w:t>
      </w:r>
      <w:r>
        <w:rPr>
          <w:rFonts w:ascii="Arial" w:hAnsi="Arial" w:cs="Arial"/>
          <w:b/>
          <w:sz w:val="20"/>
          <w:szCs w:val="20"/>
        </w:rPr>
        <w:t>trade</w:t>
      </w:r>
      <w:r w:rsidRPr="00B87C66">
        <w:rPr>
          <w:rFonts w:ascii="Arial" w:hAnsi="Arial" w:cs="Arial"/>
          <w:b/>
          <w:sz w:val="20"/>
          <w:szCs w:val="20"/>
        </w:rPr>
        <w:t xml:space="preserve"> name </w:t>
      </w:r>
      <w:r>
        <w:rPr>
          <w:rFonts w:ascii="Arial" w:hAnsi="Arial" w:cs="Arial"/>
          <w:b/>
          <w:sz w:val="20"/>
          <w:szCs w:val="20"/>
        </w:rPr>
        <w:t xml:space="preserve">might </w:t>
      </w:r>
      <w:r w:rsidRPr="00B87C66">
        <w:rPr>
          <w:rFonts w:ascii="Arial" w:hAnsi="Arial" w:cs="Arial"/>
          <w:b/>
          <w:sz w:val="20"/>
          <w:szCs w:val="20"/>
        </w:rPr>
        <w:t>be considered use of the mark</w:t>
      </w:r>
      <w:r w:rsidRPr="00315963">
        <w:rPr>
          <w:rFonts w:ascii="Arial" w:hAnsi="Arial" w:cs="Arial"/>
          <w:sz w:val="20"/>
          <w:szCs w:val="20"/>
        </w:rPr>
        <w:t xml:space="preserve">, </w:t>
      </w:r>
      <w:r>
        <w:rPr>
          <w:rFonts w:ascii="Arial" w:hAnsi="Arial" w:cs="Arial"/>
          <w:sz w:val="20"/>
          <w:szCs w:val="20"/>
        </w:rPr>
        <w:t>provided that</w:t>
      </w:r>
      <w:r w:rsidRPr="00315963">
        <w:rPr>
          <w:rFonts w:ascii="Arial" w:hAnsi="Arial" w:cs="Arial"/>
          <w:sz w:val="20"/>
          <w:szCs w:val="20"/>
        </w:rPr>
        <w:t xml:space="preserve"> the goods/services </w:t>
      </w:r>
      <w:r>
        <w:rPr>
          <w:rFonts w:ascii="Arial" w:hAnsi="Arial" w:cs="Arial"/>
          <w:sz w:val="20"/>
          <w:szCs w:val="20"/>
        </w:rPr>
        <w:t>in question</w:t>
      </w:r>
      <w:r w:rsidRPr="00315963">
        <w:rPr>
          <w:rFonts w:ascii="Arial" w:hAnsi="Arial" w:cs="Arial"/>
          <w:sz w:val="20"/>
          <w:szCs w:val="20"/>
        </w:rPr>
        <w:t xml:space="preserve"> are identified and marketed under that mark. </w:t>
      </w:r>
      <w:r>
        <w:rPr>
          <w:rFonts w:ascii="Arial" w:hAnsi="Arial" w:cs="Arial"/>
          <w:sz w:val="20"/>
          <w:szCs w:val="20"/>
        </w:rPr>
        <w:t>However, s</w:t>
      </w:r>
      <w:r w:rsidRPr="00315963">
        <w:rPr>
          <w:rFonts w:ascii="Arial" w:hAnsi="Arial" w:cs="Arial"/>
          <w:sz w:val="20"/>
          <w:szCs w:val="20"/>
        </w:rPr>
        <w:t>uch use</w:t>
      </w:r>
      <w:r>
        <w:rPr>
          <w:rFonts w:ascii="Arial" w:hAnsi="Arial" w:cs="Arial"/>
          <w:sz w:val="20"/>
          <w:szCs w:val="20"/>
        </w:rPr>
        <w:t xml:space="preserve"> may not be </w:t>
      </w:r>
      <w:r w:rsidRPr="00315963">
        <w:rPr>
          <w:rFonts w:ascii="Arial" w:hAnsi="Arial" w:cs="Arial"/>
          <w:sz w:val="20"/>
          <w:szCs w:val="20"/>
        </w:rPr>
        <w:t xml:space="preserve">considered use of the mark </w:t>
      </w:r>
      <w:r>
        <w:rPr>
          <w:rFonts w:ascii="Arial" w:hAnsi="Arial" w:cs="Arial"/>
          <w:sz w:val="20"/>
          <w:szCs w:val="20"/>
        </w:rPr>
        <w:t xml:space="preserve">if </w:t>
      </w:r>
      <w:r w:rsidRPr="00315963">
        <w:rPr>
          <w:rFonts w:ascii="Arial" w:hAnsi="Arial" w:cs="Arial"/>
          <w:sz w:val="20"/>
          <w:szCs w:val="20"/>
        </w:rPr>
        <w:t xml:space="preserve">the </w:t>
      </w:r>
      <w:r>
        <w:rPr>
          <w:rFonts w:ascii="Arial" w:hAnsi="Arial" w:cs="Arial"/>
          <w:sz w:val="20"/>
          <w:szCs w:val="20"/>
        </w:rPr>
        <w:t xml:space="preserve">trade </w:t>
      </w:r>
      <w:r w:rsidRPr="00315963">
        <w:rPr>
          <w:rFonts w:ascii="Arial" w:hAnsi="Arial" w:cs="Arial"/>
          <w:sz w:val="20"/>
          <w:szCs w:val="20"/>
        </w:rPr>
        <w:t xml:space="preserve">name is </w:t>
      </w:r>
      <w:r>
        <w:rPr>
          <w:rFonts w:ascii="Arial" w:hAnsi="Arial" w:cs="Arial"/>
          <w:sz w:val="20"/>
          <w:szCs w:val="20"/>
        </w:rPr>
        <w:t>adopted</w:t>
      </w:r>
      <w:r w:rsidRPr="00315963">
        <w:rPr>
          <w:rFonts w:ascii="Arial" w:hAnsi="Arial" w:cs="Arial"/>
          <w:sz w:val="20"/>
          <w:szCs w:val="20"/>
        </w:rPr>
        <w:t xml:space="preserve"> solely as </w:t>
      </w:r>
      <w:r>
        <w:rPr>
          <w:rFonts w:ascii="Arial" w:hAnsi="Arial" w:cs="Arial"/>
          <w:sz w:val="20"/>
          <w:szCs w:val="20"/>
        </w:rPr>
        <w:t>the company’s billboards</w:t>
      </w:r>
      <w:r w:rsidRPr="00315963">
        <w:rPr>
          <w:rFonts w:ascii="Arial" w:hAnsi="Arial" w:cs="Arial"/>
          <w:sz w:val="20"/>
          <w:szCs w:val="20"/>
        </w:rPr>
        <w:t xml:space="preserve"> or </w:t>
      </w:r>
      <w:r>
        <w:rPr>
          <w:rFonts w:ascii="Arial" w:hAnsi="Arial" w:cs="Arial"/>
          <w:sz w:val="20"/>
          <w:szCs w:val="20"/>
        </w:rPr>
        <w:t xml:space="preserve">just </w:t>
      </w:r>
      <w:r w:rsidRPr="00315963">
        <w:rPr>
          <w:rFonts w:ascii="Arial" w:hAnsi="Arial" w:cs="Arial"/>
          <w:sz w:val="20"/>
          <w:szCs w:val="20"/>
        </w:rPr>
        <w:t xml:space="preserve">appears on the back of a catalog or as a random mark on the </w:t>
      </w:r>
      <w:r>
        <w:rPr>
          <w:rFonts w:ascii="Arial" w:hAnsi="Arial" w:cs="Arial"/>
          <w:sz w:val="20"/>
          <w:szCs w:val="20"/>
        </w:rPr>
        <w:t xml:space="preserve">product </w:t>
      </w:r>
      <w:r w:rsidRPr="00315963">
        <w:rPr>
          <w:rFonts w:ascii="Arial" w:hAnsi="Arial" w:cs="Arial"/>
          <w:sz w:val="20"/>
          <w:szCs w:val="20"/>
        </w:rPr>
        <w:t xml:space="preserve">label. </w:t>
      </w:r>
      <w:r>
        <w:rPr>
          <w:rFonts w:ascii="Arial" w:hAnsi="Arial" w:cs="Arial"/>
          <w:sz w:val="20"/>
          <w:szCs w:val="20"/>
        </w:rPr>
        <w:t>Generally</w:t>
      </w:r>
      <w:r w:rsidRPr="00315963">
        <w:rPr>
          <w:rFonts w:ascii="Arial" w:hAnsi="Arial" w:cs="Arial"/>
          <w:sz w:val="20"/>
          <w:szCs w:val="20"/>
        </w:rPr>
        <w:t xml:space="preserve">, the use of a business name cannot be </w:t>
      </w:r>
      <w:r>
        <w:rPr>
          <w:rFonts w:ascii="Arial" w:hAnsi="Arial" w:cs="Arial"/>
          <w:sz w:val="20"/>
          <w:szCs w:val="20"/>
        </w:rPr>
        <w:t>deemed</w:t>
      </w:r>
      <w:r w:rsidRPr="00315963">
        <w:rPr>
          <w:rFonts w:ascii="Arial" w:hAnsi="Arial" w:cs="Arial"/>
          <w:sz w:val="20"/>
          <w:szCs w:val="20"/>
        </w:rPr>
        <w:t xml:space="preserve"> use of a mark if such use </w:t>
      </w:r>
      <w:r>
        <w:rPr>
          <w:rFonts w:ascii="Arial" w:hAnsi="Arial" w:cs="Arial"/>
          <w:sz w:val="20"/>
          <w:szCs w:val="20"/>
        </w:rPr>
        <w:t>is not for</w:t>
      </w:r>
      <w:r w:rsidRPr="00315963">
        <w:rPr>
          <w:rFonts w:ascii="Arial" w:hAnsi="Arial" w:cs="Arial"/>
          <w:sz w:val="20"/>
          <w:szCs w:val="20"/>
        </w:rPr>
        <w:t xml:space="preserve"> </w:t>
      </w:r>
      <w:r>
        <w:rPr>
          <w:rFonts w:ascii="Arial" w:hAnsi="Arial" w:cs="Arial"/>
          <w:sz w:val="20"/>
          <w:szCs w:val="20"/>
        </w:rPr>
        <w:t xml:space="preserve">the purpose of </w:t>
      </w:r>
      <w:r w:rsidRPr="00315963">
        <w:rPr>
          <w:rFonts w:ascii="Arial" w:hAnsi="Arial" w:cs="Arial"/>
          <w:sz w:val="20"/>
          <w:szCs w:val="20"/>
        </w:rPr>
        <w:t>distinguish</w:t>
      </w:r>
      <w:r>
        <w:rPr>
          <w:rFonts w:ascii="Arial" w:hAnsi="Arial" w:cs="Arial"/>
          <w:sz w:val="20"/>
          <w:szCs w:val="20"/>
        </w:rPr>
        <w:t>ing</w:t>
      </w:r>
      <w:r w:rsidRPr="00315963">
        <w:rPr>
          <w:rFonts w:ascii="Arial" w:hAnsi="Arial" w:cs="Arial"/>
          <w:sz w:val="20"/>
          <w:szCs w:val="20"/>
        </w:rPr>
        <w:t xml:space="preserve"> goods or services, but </w:t>
      </w:r>
      <w:r>
        <w:rPr>
          <w:rFonts w:ascii="Arial" w:hAnsi="Arial" w:cs="Arial"/>
          <w:sz w:val="20"/>
          <w:szCs w:val="20"/>
        </w:rPr>
        <w:t>rather</w:t>
      </w:r>
      <w:r w:rsidRPr="00315963">
        <w:rPr>
          <w:rFonts w:ascii="Arial" w:hAnsi="Arial" w:cs="Arial"/>
          <w:sz w:val="20"/>
          <w:szCs w:val="20"/>
        </w:rPr>
        <w:t xml:space="preserve"> to </w:t>
      </w:r>
      <w:r>
        <w:rPr>
          <w:rFonts w:ascii="Arial" w:hAnsi="Arial" w:cs="Arial"/>
          <w:sz w:val="20"/>
          <w:szCs w:val="20"/>
        </w:rPr>
        <w:t>identify the provider of</w:t>
      </w:r>
      <w:r w:rsidRPr="00315963">
        <w:rPr>
          <w:rFonts w:ascii="Arial" w:hAnsi="Arial" w:cs="Arial"/>
          <w:sz w:val="20"/>
          <w:szCs w:val="20"/>
        </w:rPr>
        <w:t xml:space="preserve"> those goods or services.</w:t>
      </w:r>
      <w:r>
        <w:rPr>
          <w:rFonts w:ascii="Arial" w:hAnsi="Arial" w:cs="Arial"/>
          <w:sz w:val="20"/>
          <w:szCs w:val="20"/>
        </w:rPr>
        <w:t xml:space="preserve"> </w:t>
      </w:r>
    </w:p>
    <w:p w14:paraId="113BCC18" w14:textId="77777777" w:rsidR="00A90A64" w:rsidRDefault="00A90A64" w:rsidP="00A90A64">
      <w:pPr>
        <w:spacing w:after="0" w:line="240" w:lineRule="auto"/>
        <w:jc w:val="both"/>
        <w:rPr>
          <w:rFonts w:ascii="Arial" w:hAnsi="Arial" w:cs="Arial"/>
          <w:sz w:val="20"/>
          <w:szCs w:val="20"/>
        </w:rPr>
      </w:pPr>
    </w:p>
    <w:p w14:paraId="3E116E6A" w14:textId="77777777" w:rsidR="00A90A64" w:rsidRPr="00315963" w:rsidRDefault="00A90A64" w:rsidP="00A90A64">
      <w:pPr>
        <w:spacing w:after="0" w:line="240" w:lineRule="auto"/>
        <w:jc w:val="both"/>
        <w:rPr>
          <w:rFonts w:ascii="Arial" w:hAnsi="Arial" w:cs="Arial"/>
          <w:sz w:val="20"/>
          <w:szCs w:val="20"/>
        </w:rPr>
      </w:pPr>
    </w:p>
    <w:p w14:paraId="3DC5AD1A" w14:textId="77777777" w:rsidR="00A90A64" w:rsidRDefault="00A90A64" w:rsidP="00A90A64">
      <w:pPr>
        <w:spacing w:after="0" w:line="240" w:lineRule="auto"/>
        <w:jc w:val="both"/>
        <w:rPr>
          <w:rFonts w:ascii="Arial" w:hAnsi="Arial" w:cs="Arial"/>
          <w:sz w:val="20"/>
          <w:szCs w:val="20"/>
        </w:rPr>
      </w:pPr>
      <w:r w:rsidRPr="00315963">
        <w:rPr>
          <w:rFonts w:ascii="Arial" w:hAnsi="Arial" w:cs="Arial"/>
          <w:sz w:val="20"/>
          <w:szCs w:val="20"/>
        </w:rPr>
        <w:t xml:space="preserve">Trademark owners may </w:t>
      </w:r>
      <w:r>
        <w:rPr>
          <w:rFonts w:ascii="Arial" w:hAnsi="Arial" w:cs="Arial"/>
          <w:sz w:val="20"/>
          <w:szCs w:val="20"/>
        </w:rPr>
        <w:t>have</w:t>
      </w:r>
      <w:r w:rsidRPr="00315963">
        <w:rPr>
          <w:rFonts w:ascii="Arial" w:hAnsi="Arial" w:cs="Arial"/>
          <w:sz w:val="20"/>
          <w:szCs w:val="20"/>
        </w:rPr>
        <w:t xml:space="preserve"> their registered trademarks </w:t>
      </w:r>
      <w:r>
        <w:rPr>
          <w:rFonts w:ascii="Arial" w:hAnsi="Arial" w:cs="Arial"/>
          <w:sz w:val="20"/>
          <w:szCs w:val="20"/>
        </w:rPr>
        <w:t xml:space="preserve">used by </w:t>
      </w:r>
      <w:r w:rsidRPr="00315963">
        <w:rPr>
          <w:rFonts w:ascii="Arial" w:hAnsi="Arial" w:cs="Arial"/>
          <w:sz w:val="20"/>
          <w:szCs w:val="20"/>
        </w:rPr>
        <w:t>third parties, noting that, as provided in Article 148.3</w:t>
      </w:r>
      <w:r>
        <w:rPr>
          <w:rFonts w:ascii="Arial" w:hAnsi="Arial" w:cs="Arial"/>
          <w:sz w:val="20"/>
          <w:szCs w:val="20"/>
        </w:rPr>
        <w:t xml:space="preserve"> of IP law</w:t>
      </w:r>
      <w:r w:rsidRPr="00315963">
        <w:rPr>
          <w:rFonts w:ascii="Arial" w:hAnsi="Arial" w:cs="Arial"/>
          <w:sz w:val="20"/>
          <w:szCs w:val="20"/>
        </w:rPr>
        <w:t>, a contract to license the right to use a trademark is valid under the agreement of the trademark owner</w:t>
      </w:r>
      <w:r>
        <w:rPr>
          <w:rFonts w:ascii="Arial" w:hAnsi="Arial" w:cs="Arial"/>
          <w:sz w:val="20"/>
          <w:szCs w:val="20"/>
        </w:rPr>
        <w:t>s</w:t>
      </w:r>
      <w:r w:rsidRPr="00315963">
        <w:rPr>
          <w:rFonts w:ascii="Arial" w:hAnsi="Arial" w:cs="Arial"/>
          <w:sz w:val="20"/>
          <w:szCs w:val="20"/>
        </w:rPr>
        <w:t xml:space="preserve"> without </w:t>
      </w:r>
      <w:r>
        <w:rPr>
          <w:rFonts w:ascii="Arial" w:hAnsi="Arial" w:cs="Arial"/>
          <w:sz w:val="20"/>
          <w:szCs w:val="20"/>
        </w:rPr>
        <w:t xml:space="preserve">being </w:t>
      </w:r>
      <w:r w:rsidRPr="00315963">
        <w:rPr>
          <w:rFonts w:ascii="Arial" w:hAnsi="Arial" w:cs="Arial"/>
          <w:sz w:val="20"/>
          <w:szCs w:val="20"/>
        </w:rPr>
        <w:t>register</w:t>
      </w:r>
      <w:r>
        <w:rPr>
          <w:rFonts w:ascii="Arial" w:hAnsi="Arial" w:cs="Arial"/>
          <w:sz w:val="20"/>
          <w:szCs w:val="20"/>
        </w:rPr>
        <w:t>ed</w:t>
      </w:r>
      <w:r w:rsidRPr="00315963">
        <w:rPr>
          <w:rFonts w:ascii="Arial" w:hAnsi="Arial" w:cs="Arial"/>
          <w:sz w:val="20"/>
          <w:szCs w:val="20"/>
        </w:rPr>
        <w:t xml:space="preserve"> at </w:t>
      </w:r>
      <w:r>
        <w:rPr>
          <w:rFonts w:ascii="Arial" w:hAnsi="Arial" w:cs="Arial"/>
          <w:sz w:val="20"/>
          <w:szCs w:val="20"/>
        </w:rPr>
        <w:t>IP VIETNAM. Normally</w:t>
      </w:r>
      <w:r w:rsidRPr="00315963">
        <w:rPr>
          <w:rFonts w:ascii="Arial" w:hAnsi="Arial" w:cs="Arial"/>
          <w:sz w:val="20"/>
          <w:szCs w:val="20"/>
        </w:rPr>
        <w:t xml:space="preserve">, use of a trademark </w:t>
      </w:r>
      <w:r>
        <w:rPr>
          <w:rFonts w:ascii="Arial" w:hAnsi="Arial" w:cs="Arial"/>
          <w:sz w:val="20"/>
          <w:szCs w:val="20"/>
        </w:rPr>
        <w:t>by</w:t>
      </w:r>
      <w:r w:rsidRPr="00315963">
        <w:rPr>
          <w:rFonts w:ascii="Arial" w:hAnsi="Arial" w:cs="Arial"/>
          <w:sz w:val="20"/>
          <w:szCs w:val="20"/>
        </w:rPr>
        <w:t xml:space="preserve"> a third party occurs in the form of a license agreement or terms found in a distribution agreement</w:t>
      </w:r>
      <w:r>
        <w:rPr>
          <w:rFonts w:ascii="Arial" w:hAnsi="Arial" w:cs="Arial"/>
          <w:sz w:val="20"/>
          <w:szCs w:val="20"/>
        </w:rPr>
        <w:t xml:space="preserve"> </w:t>
      </w:r>
      <w:r w:rsidRPr="00315963">
        <w:rPr>
          <w:rFonts w:ascii="Arial" w:hAnsi="Arial" w:cs="Arial"/>
          <w:sz w:val="20"/>
          <w:szCs w:val="20"/>
        </w:rPr>
        <w:t>or franchise or cooperat</w:t>
      </w:r>
      <w:r>
        <w:rPr>
          <w:rFonts w:ascii="Arial" w:hAnsi="Arial" w:cs="Arial"/>
          <w:sz w:val="20"/>
          <w:szCs w:val="20"/>
        </w:rPr>
        <w:t>ion</w:t>
      </w:r>
      <w:r w:rsidRPr="00315963">
        <w:rPr>
          <w:rFonts w:ascii="Arial" w:hAnsi="Arial" w:cs="Arial"/>
          <w:sz w:val="20"/>
          <w:szCs w:val="20"/>
        </w:rPr>
        <w:t xml:space="preserve"> within the same group of companies.</w:t>
      </w:r>
    </w:p>
    <w:p w14:paraId="638E9B0E" w14:textId="77777777" w:rsidR="00A90A64" w:rsidRDefault="00A90A64" w:rsidP="00A90A64">
      <w:pPr>
        <w:spacing w:after="0" w:line="240" w:lineRule="auto"/>
        <w:jc w:val="both"/>
        <w:rPr>
          <w:rFonts w:ascii="Arial" w:hAnsi="Arial" w:cs="Arial"/>
          <w:sz w:val="20"/>
          <w:szCs w:val="20"/>
        </w:rPr>
      </w:pPr>
    </w:p>
    <w:p w14:paraId="70DF5567" w14:textId="2880D86A" w:rsidR="00A90A64" w:rsidRDefault="00EB426A" w:rsidP="00A90A64">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1FB1313" wp14:editId="1FCC56DD">
                <wp:simplePos x="0" y="0"/>
                <wp:positionH relativeFrom="column">
                  <wp:posOffset>6400429</wp:posOffset>
                </wp:positionH>
                <wp:positionV relativeFrom="paragraph">
                  <wp:posOffset>-379730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840F5" w14:textId="77777777" w:rsidR="00EB426A" w:rsidRPr="00BA68B8" w:rsidRDefault="00EB426A" w:rsidP="00EB426A">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1313" id="Rectangle 2" o:spid="_x0000_s1028" style="position:absolute;left:0;text-align:left;margin-left:503.95pt;margin-top:-29.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" fillcolor="#00b39c" strokecolor="#00b39c" strokeweight="0">
                <v:textbox style="layout-flow:vertical">
                  <w:txbxContent>
                    <w:p w14:paraId="671840F5" w14:textId="77777777" w:rsidR="00EB426A" w:rsidRPr="00BA68B8" w:rsidRDefault="00EB426A" w:rsidP="00EB426A">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v:textbox>
              </v:rect>
            </w:pict>
          </mc:Fallback>
        </mc:AlternateContent>
      </w:r>
      <w:r w:rsidR="00A90A64" w:rsidRPr="007804B2">
        <w:rPr>
          <w:rFonts w:ascii="Arial" w:hAnsi="Arial" w:cs="Arial"/>
          <w:sz w:val="20"/>
          <w:szCs w:val="20"/>
        </w:rPr>
        <w:t>It is still a matter of controversy</w:t>
      </w:r>
      <w:r w:rsidR="00A90A64" w:rsidRPr="00315963">
        <w:rPr>
          <w:rFonts w:ascii="Arial" w:hAnsi="Arial" w:cs="Arial"/>
          <w:sz w:val="20"/>
          <w:szCs w:val="20"/>
        </w:rPr>
        <w:t xml:space="preserve"> </w:t>
      </w:r>
      <w:r w:rsidR="00A90A64">
        <w:rPr>
          <w:rFonts w:ascii="Arial" w:hAnsi="Arial" w:cs="Arial"/>
          <w:sz w:val="20"/>
          <w:szCs w:val="20"/>
        </w:rPr>
        <w:t>that w</w:t>
      </w:r>
      <w:r w:rsidR="00A90A64" w:rsidRPr="00315963">
        <w:rPr>
          <w:rFonts w:ascii="Arial" w:hAnsi="Arial" w:cs="Arial"/>
          <w:sz w:val="20"/>
          <w:szCs w:val="20"/>
        </w:rPr>
        <w:t>hether</w:t>
      </w:r>
      <w:r w:rsidR="00A90A64">
        <w:rPr>
          <w:rFonts w:ascii="Arial" w:hAnsi="Arial" w:cs="Arial"/>
          <w:sz w:val="20"/>
          <w:szCs w:val="20"/>
        </w:rPr>
        <w:t xml:space="preserve"> or not</w:t>
      </w:r>
      <w:r w:rsidR="00A90A64" w:rsidRPr="00315963">
        <w:rPr>
          <w:rFonts w:ascii="Arial" w:hAnsi="Arial" w:cs="Arial"/>
          <w:sz w:val="20"/>
          <w:szCs w:val="20"/>
        </w:rPr>
        <w:t xml:space="preserve"> acts such as designing the packaging, developing a marketing strategy, creating a website, buying land to build a production facility </w:t>
      </w:r>
      <w:r w:rsidR="00A90A64">
        <w:rPr>
          <w:rFonts w:ascii="Arial" w:hAnsi="Arial" w:cs="Arial"/>
          <w:sz w:val="20"/>
          <w:szCs w:val="20"/>
        </w:rPr>
        <w:t>and</w:t>
      </w:r>
      <w:r w:rsidR="00A90A64" w:rsidRPr="00315963">
        <w:rPr>
          <w:rFonts w:ascii="Arial" w:hAnsi="Arial" w:cs="Arial"/>
          <w:sz w:val="20"/>
          <w:szCs w:val="20"/>
        </w:rPr>
        <w:t xml:space="preserve"> leas</w:t>
      </w:r>
      <w:r w:rsidR="00A90A64">
        <w:rPr>
          <w:rFonts w:ascii="Arial" w:hAnsi="Arial" w:cs="Arial"/>
          <w:sz w:val="20"/>
          <w:szCs w:val="20"/>
        </w:rPr>
        <w:t>ing</w:t>
      </w:r>
      <w:r w:rsidR="00A90A64" w:rsidRPr="00315963">
        <w:rPr>
          <w:rFonts w:ascii="Arial" w:hAnsi="Arial" w:cs="Arial"/>
          <w:sz w:val="20"/>
          <w:szCs w:val="20"/>
        </w:rPr>
        <w:t xml:space="preserve"> space to open a store are evidence sufficient to justify the use of the </w:t>
      </w:r>
      <w:r w:rsidR="00A90A64">
        <w:rPr>
          <w:rFonts w:ascii="Arial" w:hAnsi="Arial" w:cs="Arial"/>
          <w:sz w:val="20"/>
          <w:szCs w:val="20"/>
        </w:rPr>
        <w:t>mark or grounds to</w:t>
      </w:r>
      <w:r w:rsidR="00A90A64" w:rsidRPr="00315963">
        <w:rPr>
          <w:rFonts w:ascii="Arial" w:hAnsi="Arial" w:cs="Arial"/>
          <w:sz w:val="20"/>
          <w:szCs w:val="20"/>
        </w:rPr>
        <w:t xml:space="preserve"> prov</w:t>
      </w:r>
      <w:r w:rsidR="00A90A64">
        <w:rPr>
          <w:rFonts w:ascii="Arial" w:hAnsi="Arial" w:cs="Arial"/>
          <w:sz w:val="20"/>
          <w:szCs w:val="20"/>
        </w:rPr>
        <w:t>e</w:t>
      </w:r>
      <w:r w:rsidR="00A90A64" w:rsidRPr="00315963">
        <w:rPr>
          <w:rFonts w:ascii="Arial" w:hAnsi="Arial" w:cs="Arial"/>
          <w:sz w:val="20"/>
          <w:szCs w:val="20"/>
        </w:rPr>
        <w:t xml:space="preserve"> that the trademark owner has good reasons for not using the mark</w:t>
      </w:r>
      <w:r w:rsidR="00A90A64">
        <w:rPr>
          <w:rFonts w:ascii="Arial" w:hAnsi="Arial" w:cs="Arial"/>
          <w:sz w:val="20"/>
          <w:szCs w:val="20"/>
        </w:rPr>
        <w:t xml:space="preserve">. This is due to lack of </w:t>
      </w:r>
      <w:r w:rsidR="00A90A64" w:rsidRPr="00315963">
        <w:rPr>
          <w:rFonts w:ascii="Arial" w:hAnsi="Arial" w:cs="Arial"/>
          <w:sz w:val="20"/>
          <w:szCs w:val="20"/>
        </w:rPr>
        <w:t xml:space="preserve">judgment or settlement </w:t>
      </w:r>
      <w:r w:rsidR="00A90A64">
        <w:rPr>
          <w:rFonts w:ascii="Arial" w:hAnsi="Arial" w:cs="Arial"/>
          <w:sz w:val="20"/>
          <w:szCs w:val="20"/>
        </w:rPr>
        <w:t xml:space="preserve">decision </w:t>
      </w:r>
      <w:r w:rsidR="00A90A64" w:rsidRPr="00315963">
        <w:rPr>
          <w:rFonts w:ascii="Arial" w:hAnsi="Arial" w:cs="Arial"/>
          <w:sz w:val="20"/>
          <w:szCs w:val="20"/>
        </w:rPr>
        <w:t xml:space="preserve">from the </w:t>
      </w:r>
      <w:r w:rsidR="00A90A64">
        <w:rPr>
          <w:rFonts w:ascii="Arial" w:hAnsi="Arial" w:cs="Arial"/>
          <w:sz w:val="20"/>
          <w:szCs w:val="20"/>
        </w:rPr>
        <w:t xml:space="preserve">competent </w:t>
      </w:r>
      <w:r w:rsidR="00A90A64" w:rsidRPr="00315963">
        <w:rPr>
          <w:rFonts w:ascii="Arial" w:hAnsi="Arial" w:cs="Arial"/>
          <w:sz w:val="20"/>
          <w:szCs w:val="20"/>
        </w:rPr>
        <w:t>authorities</w:t>
      </w:r>
      <w:r w:rsidR="00A90A64">
        <w:rPr>
          <w:rFonts w:ascii="Arial" w:hAnsi="Arial" w:cs="Arial"/>
          <w:sz w:val="20"/>
          <w:szCs w:val="20"/>
        </w:rPr>
        <w:t xml:space="preserve"> in Vietnam </w:t>
      </w:r>
      <w:r w:rsidR="00A90A64" w:rsidRPr="00315963">
        <w:rPr>
          <w:rFonts w:ascii="Arial" w:hAnsi="Arial" w:cs="Arial"/>
          <w:sz w:val="20"/>
          <w:szCs w:val="20"/>
        </w:rPr>
        <w:t xml:space="preserve">on cases with such circumstances are published and </w:t>
      </w:r>
      <w:r w:rsidR="00A90A64">
        <w:rPr>
          <w:rFonts w:ascii="Arial" w:hAnsi="Arial" w:cs="Arial"/>
          <w:sz w:val="20"/>
          <w:szCs w:val="20"/>
        </w:rPr>
        <w:t xml:space="preserve">the absence of </w:t>
      </w:r>
      <w:r w:rsidR="00A90A64" w:rsidRPr="00315963">
        <w:rPr>
          <w:rFonts w:ascii="Arial" w:hAnsi="Arial" w:cs="Arial"/>
          <w:sz w:val="20"/>
          <w:szCs w:val="20"/>
        </w:rPr>
        <w:t>detailed instructions or regulations on “</w:t>
      </w:r>
      <w:r w:rsidR="00A90A64" w:rsidRPr="007804B2">
        <w:rPr>
          <w:rFonts w:ascii="Arial" w:hAnsi="Arial" w:cs="Arial"/>
          <w:sz w:val="20"/>
          <w:szCs w:val="20"/>
        </w:rPr>
        <w:t>justifiable reason</w:t>
      </w:r>
      <w:r w:rsidR="00A90A64" w:rsidRPr="00315963">
        <w:rPr>
          <w:rFonts w:ascii="Arial" w:hAnsi="Arial" w:cs="Arial"/>
          <w:sz w:val="20"/>
          <w:szCs w:val="20"/>
        </w:rPr>
        <w:t xml:space="preserve">” – as </w:t>
      </w:r>
      <w:r w:rsidR="00A90A64">
        <w:rPr>
          <w:rFonts w:ascii="Arial" w:hAnsi="Arial" w:cs="Arial"/>
          <w:sz w:val="20"/>
          <w:szCs w:val="20"/>
        </w:rPr>
        <w:t>mentioned</w:t>
      </w:r>
      <w:r w:rsidR="00A90A64" w:rsidRPr="00315963">
        <w:rPr>
          <w:rFonts w:ascii="Arial" w:hAnsi="Arial" w:cs="Arial"/>
          <w:sz w:val="20"/>
          <w:szCs w:val="20"/>
        </w:rPr>
        <w:t xml:space="preserve"> in Article 95.1(d) of IP Law.</w:t>
      </w:r>
    </w:p>
    <w:p w14:paraId="42DC5125" w14:textId="77777777" w:rsidR="00A90A64" w:rsidRDefault="00A90A64" w:rsidP="00A90A64">
      <w:pPr>
        <w:spacing w:after="0" w:line="240" w:lineRule="auto"/>
        <w:jc w:val="both"/>
        <w:rPr>
          <w:rFonts w:ascii="Arial" w:hAnsi="Arial" w:cs="Arial"/>
          <w:b/>
          <w:sz w:val="20"/>
          <w:szCs w:val="20"/>
        </w:rPr>
      </w:pPr>
    </w:p>
    <w:p w14:paraId="1921D4AE" w14:textId="77777777" w:rsidR="00A90A64" w:rsidRPr="00205FB4" w:rsidRDefault="00A90A64" w:rsidP="00A90A64">
      <w:pPr>
        <w:spacing w:after="0" w:line="240" w:lineRule="auto"/>
        <w:jc w:val="both"/>
        <w:rPr>
          <w:rFonts w:ascii="Arial" w:eastAsia="Times New Roman" w:hAnsi="Arial" w:cs="Arial"/>
          <w:b/>
          <w:color w:val="0469BD"/>
          <w:sz w:val="20"/>
          <w:szCs w:val="20"/>
        </w:rPr>
      </w:pPr>
      <w:r w:rsidRPr="00205FB4">
        <w:rPr>
          <w:rFonts w:ascii="Arial" w:eastAsia="Times New Roman" w:hAnsi="Arial" w:cs="Arial"/>
          <w:b/>
          <w:color w:val="0469BD"/>
          <w:sz w:val="20"/>
          <w:szCs w:val="20"/>
        </w:rPr>
        <w:t xml:space="preserve">Symbolic or token use of a trademark in Vietnam – Should be careful to avoid losing your mark </w:t>
      </w:r>
    </w:p>
    <w:p w14:paraId="41E8E1B1" w14:textId="77777777" w:rsidR="00A90A64" w:rsidRPr="00122F02" w:rsidRDefault="00A90A64" w:rsidP="00A90A64">
      <w:pPr>
        <w:spacing w:after="0" w:line="240" w:lineRule="auto"/>
        <w:jc w:val="both"/>
        <w:rPr>
          <w:rFonts w:ascii="Arial" w:hAnsi="Arial" w:cs="Arial"/>
          <w:b/>
          <w:sz w:val="20"/>
          <w:szCs w:val="20"/>
        </w:rPr>
      </w:pPr>
    </w:p>
    <w:p w14:paraId="1E270BE9" w14:textId="77777777" w:rsidR="00A90A64" w:rsidRPr="00315963" w:rsidRDefault="00A90A64" w:rsidP="00A90A64">
      <w:pPr>
        <w:spacing w:after="0" w:line="240" w:lineRule="auto"/>
        <w:jc w:val="both"/>
        <w:rPr>
          <w:rFonts w:ascii="Arial" w:hAnsi="Arial" w:cs="Arial"/>
          <w:sz w:val="20"/>
          <w:szCs w:val="20"/>
        </w:rPr>
      </w:pPr>
      <w:r w:rsidRPr="00315963">
        <w:rPr>
          <w:rFonts w:ascii="Arial" w:hAnsi="Arial" w:cs="Arial"/>
          <w:sz w:val="20"/>
          <w:szCs w:val="20"/>
        </w:rPr>
        <w:t xml:space="preserve">In many countries and territories, where strict rules are established for the </w:t>
      </w:r>
      <w:r>
        <w:rPr>
          <w:rFonts w:ascii="Arial" w:hAnsi="Arial" w:cs="Arial"/>
          <w:sz w:val="20"/>
          <w:szCs w:val="20"/>
        </w:rPr>
        <w:t>genuine</w:t>
      </w:r>
      <w:r w:rsidRPr="00315963">
        <w:rPr>
          <w:rFonts w:ascii="Arial" w:hAnsi="Arial" w:cs="Arial"/>
          <w:sz w:val="20"/>
          <w:szCs w:val="20"/>
        </w:rPr>
        <w:t xml:space="preserve"> use and the </w:t>
      </w:r>
      <w:r>
        <w:rPr>
          <w:rFonts w:ascii="Arial" w:hAnsi="Arial" w:cs="Arial"/>
          <w:sz w:val="20"/>
          <w:szCs w:val="20"/>
        </w:rPr>
        <w:t xml:space="preserve">token </w:t>
      </w:r>
      <w:r w:rsidRPr="00315963">
        <w:rPr>
          <w:rFonts w:ascii="Arial" w:hAnsi="Arial" w:cs="Arial"/>
          <w:sz w:val="20"/>
          <w:szCs w:val="20"/>
        </w:rPr>
        <w:t xml:space="preserve">use of trademarks, launching hundreds of products into the market every few years with the </w:t>
      </w:r>
      <w:r>
        <w:rPr>
          <w:rFonts w:ascii="Arial" w:hAnsi="Arial" w:cs="Arial"/>
          <w:sz w:val="20"/>
          <w:szCs w:val="20"/>
        </w:rPr>
        <w:t xml:space="preserve">sole </w:t>
      </w:r>
      <w:r w:rsidRPr="00315963">
        <w:rPr>
          <w:rFonts w:ascii="Arial" w:hAnsi="Arial" w:cs="Arial"/>
          <w:sz w:val="20"/>
          <w:szCs w:val="20"/>
        </w:rPr>
        <w:t xml:space="preserve">aim </w:t>
      </w:r>
      <w:r>
        <w:rPr>
          <w:rFonts w:ascii="Arial" w:hAnsi="Arial" w:cs="Arial"/>
          <w:sz w:val="20"/>
          <w:szCs w:val="20"/>
        </w:rPr>
        <w:t xml:space="preserve">of </w:t>
      </w:r>
      <w:r w:rsidRPr="00315963">
        <w:rPr>
          <w:rFonts w:ascii="Arial" w:hAnsi="Arial" w:cs="Arial"/>
          <w:sz w:val="20"/>
          <w:szCs w:val="20"/>
        </w:rPr>
        <w:t xml:space="preserve">"maintaining" the </w:t>
      </w:r>
      <w:r>
        <w:rPr>
          <w:rFonts w:ascii="Arial" w:hAnsi="Arial" w:cs="Arial"/>
          <w:sz w:val="20"/>
          <w:szCs w:val="20"/>
        </w:rPr>
        <w:t xml:space="preserve">trademark </w:t>
      </w:r>
      <w:r w:rsidRPr="00315963">
        <w:rPr>
          <w:rFonts w:ascii="Arial" w:hAnsi="Arial" w:cs="Arial"/>
          <w:sz w:val="20"/>
          <w:szCs w:val="20"/>
        </w:rPr>
        <w:t>rights</w:t>
      </w:r>
      <w:r>
        <w:rPr>
          <w:rFonts w:ascii="Arial" w:hAnsi="Arial" w:cs="Arial"/>
          <w:sz w:val="20"/>
          <w:szCs w:val="20"/>
        </w:rPr>
        <w:t xml:space="preserve"> </w:t>
      </w:r>
      <w:r w:rsidRPr="00BF14C5">
        <w:rPr>
          <w:rFonts w:ascii="Arial" w:hAnsi="Arial" w:cs="Arial"/>
          <w:sz w:val="20"/>
          <w:szCs w:val="20"/>
        </w:rPr>
        <w:t>does not constitute actual use of the trademark</w:t>
      </w:r>
      <w:r w:rsidRPr="00315963">
        <w:rPr>
          <w:rFonts w:ascii="Arial" w:hAnsi="Arial" w:cs="Arial"/>
          <w:sz w:val="20"/>
          <w:szCs w:val="20"/>
        </w:rPr>
        <w:t xml:space="preserve">. </w:t>
      </w:r>
      <w:r w:rsidRPr="00BF14C5">
        <w:rPr>
          <w:rFonts w:ascii="Arial" w:hAnsi="Arial" w:cs="Arial"/>
          <w:sz w:val="20"/>
          <w:szCs w:val="20"/>
        </w:rPr>
        <w:t>In the EUIPO's decision on the trademark cancellation request, nine invoices provided for the sale of wine between 2005 and 2008 indicating sales of goods for EUR 4,286 over a period of 36 months were not deemed adequate evidence of the brand's actual use.</w:t>
      </w:r>
    </w:p>
    <w:p w14:paraId="5B009D7E" w14:textId="77777777" w:rsidR="00A90A64" w:rsidRDefault="00A90A64" w:rsidP="00A90A64">
      <w:pPr>
        <w:spacing w:after="0" w:line="240" w:lineRule="auto"/>
        <w:jc w:val="both"/>
        <w:rPr>
          <w:rFonts w:ascii="Arial" w:hAnsi="Arial" w:cs="Arial"/>
          <w:sz w:val="20"/>
          <w:szCs w:val="20"/>
        </w:rPr>
      </w:pPr>
    </w:p>
    <w:p w14:paraId="41A6DF4A" w14:textId="77777777" w:rsidR="00A90A64" w:rsidRDefault="00A90A64" w:rsidP="00A90A64">
      <w:pPr>
        <w:spacing w:after="0" w:line="240" w:lineRule="auto"/>
        <w:jc w:val="both"/>
        <w:rPr>
          <w:rFonts w:ascii="Arial" w:hAnsi="Arial" w:cs="Arial"/>
          <w:sz w:val="20"/>
          <w:szCs w:val="20"/>
        </w:rPr>
      </w:pPr>
      <w:r w:rsidRPr="00BF14C5">
        <w:rPr>
          <w:rFonts w:ascii="Arial" w:hAnsi="Arial" w:cs="Arial"/>
          <w:sz w:val="20"/>
          <w:szCs w:val="20"/>
        </w:rPr>
        <w:t>In the case of specialized or luxury products, however, a tiny amount of use of the mark may suffice to prove that the mark has been used. In the EUIPO's Decision, sales on the European market of approximately 1,000 tiny toys that were predominantly sold to collectors at high prices were deemed adequate to indicate genuine use.</w:t>
      </w:r>
    </w:p>
    <w:p w14:paraId="39D0DEAB" w14:textId="77777777" w:rsidR="00A90A64" w:rsidRDefault="00A90A64" w:rsidP="00A90A64">
      <w:pPr>
        <w:spacing w:after="0" w:line="240" w:lineRule="auto"/>
        <w:jc w:val="both"/>
        <w:rPr>
          <w:rFonts w:ascii="Arial" w:hAnsi="Arial" w:cs="Arial"/>
          <w:sz w:val="20"/>
          <w:szCs w:val="20"/>
        </w:rPr>
      </w:pPr>
    </w:p>
    <w:p w14:paraId="1CFB1639" w14:textId="77777777" w:rsidR="00A90A64" w:rsidRPr="00205FB4" w:rsidRDefault="00A90A64" w:rsidP="00A90A64">
      <w:pPr>
        <w:spacing w:after="0" w:line="240" w:lineRule="auto"/>
        <w:jc w:val="both"/>
        <w:rPr>
          <w:rFonts w:ascii="Arial" w:eastAsia="Times New Roman" w:hAnsi="Arial" w:cs="Arial"/>
          <w:b/>
          <w:color w:val="0469BD"/>
          <w:sz w:val="20"/>
          <w:szCs w:val="20"/>
        </w:rPr>
      </w:pPr>
      <w:r w:rsidRPr="00205FB4">
        <w:rPr>
          <w:rFonts w:ascii="Arial" w:eastAsia="Times New Roman" w:hAnsi="Arial" w:cs="Arial"/>
          <w:b/>
          <w:color w:val="0469BD"/>
          <w:sz w:val="20"/>
          <w:szCs w:val="20"/>
        </w:rPr>
        <w:t>Use of a registered mark in a form other than that registered – legal risks and recommendation</w:t>
      </w:r>
    </w:p>
    <w:p w14:paraId="679042D9" w14:textId="77777777" w:rsidR="00A90A64" w:rsidRPr="00315963" w:rsidRDefault="00A90A64" w:rsidP="00A90A64">
      <w:pPr>
        <w:spacing w:after="0" w:line="240" w:lineRule="auto"/>
        <w:jc w:val="both"/>
        <w:rPr>
          <w:rFonts w:ascii="Arial" w:hAnsi="Arial" w:cs="Arial"/>
          <w:sz w:val="20"/>
          <w:szCs w:val="20"/>
        </w:rPr>
      </w:pPr>
    </w:p>
    <w:p w14:paraId="24617D3D" w14:textId="77777777" w:rsidR="00A90A64" w:rsidRDefault="00A90A64" w:rsidP="00A90A64">
      <w:pPr>
        <w:spacing w:after="0" w:line="240" w:lineRule="auto"/>
        <w:jc w:val="both"/>
        <w:rPr>
          <w:rFonts w:ascii="Arial" w:hAnsi="Arial" w:cs="Arial"/>
          <w:b/>
          <w:sz w:val="20"/>
          <w:szCs w:val="20"/>
        </w:rPr>
      </w:pPr>
      <w:r w:rsidRPr="00315963">
        <w:rPr>
          <w:rFonts w:ascii="Arial" w:hAnsi="Arial" w:cs="Arial"/>
          <w:sz w:val="20"/>
          <w:szCs w:val="20"/>
        </w:rPr>
        <w:t xml:space="preserve">In the </w:t>
      </w:r>
      <w:r>
        <w:rPr>
          <w:rFonts w:ascii="Arial" w:hAnsi="Arial" w:cs="Arial"/>
          <w:sz w:val="20"/>
          <w:szCs w:val="20"/>
        </w:rPr>
        <w:t>course</w:t>
      </w:r>
      <w:r w:rsidRPr="00315963">
        <w:rPr>
          <w:rFonts w:ascii="Arial" w:hAnsi="Arial" w:cs="Arial"/>
          <w:sz w:val="20"/>
          <w:szCs w:val="20"/>
        </w:rPr>
        <w:t xml:space="preserve"> of using the trademark in commerce, the trademark owner tends to </w:t>
      </w:r>
      <w:r>
        <w:rPr>
          <w:rFonts w:ascii="Arial" w:hAnsi="Arial" w:cs="Arial"/>
          <w:sz w:val="20"/>
          <w:szCs w:val="20"/>
        </w:rPr>
        <w:t>modify</w:t>
      </w:r>
      <w:r w:rsidRPr="00315963">
        <w:rPr>
          <w:rFonts w:ascii="Arial" w:hAnsi="Arial" w:cs="Arial"/>
          <w:sz w:val="20"/>
          <w:szCs w:val="20"/>
        </w:rPr>
        <w:t xml:space="preserve"> the design/color</w:t>
      </w:r>
      <w:r>
        <w:rPr>
          <w:rFonts w:ascii="Arial" w:hAnsi="Arial" w:cs="Arial"/>
          <w:sz w:val="20"/>
          <w:szCs w:val="20"/>
        </w:rPr>
        <w:t>,</w:t>
      </w:r>
      <w:r w:rsidRPr="00315963">
        <w:rPr>
          <w:rFonts w:ascii="Arial" w:hAnsi="Arial" w:cs="Arial"/>
          <w:sz w:val="20"/>
          <w:szCs w:val="20"/>
        </w:rPr>
        <w:t xml:space="preserve"> stylize </w:t>
      </w:r>
      <w:r>
        <w:rPr>
          <w:rFonts w:ascii="Arial" w:hAnsi="Arial" w:cs="Arial"/>
          <w:sz w:val="20"/>
          <w:szCs w:val="20"/>
        </w:rPr>
        <w:t>his</w:t>
      </w:r>
      <w:r w:rsidRPr="00315963">
        <w:rPr>
          <w:rFonts w:ascii="Arial" w:hAnsi="Arial" w:cs="Arial"/>
          <w:sz w:val="20"/>
          <w:szCs w:val="20"/>
        </w:rPr>
        <w:t xml:space="preserve"> registered trademark,</w:t>
      </w:r>
      <w:r>
        <w:rPr>
          <w:rFonts w:ascii="Arial" w:hAnsi="Arial" w:cs="Arial"/>
          <w:sz w:val="20"/>
          <w:szCs w:val="20"/>
        </w:rPr>
        <w:t xml:space="preserve"> and/or</w:t>
      </w:r>
      <w:r w:rsidRPr="00315963">
        <w:rPr>
          <w:rFonts w:ascii="Arial" w:hAnsi="Arial" w:cs="Arial"/>
          <w:sz w:val="20"/>
          <w:szCs w:val="20"/>
        </w:rPr>
        <w:t xml:space="preserve"> remove/</w:t>
      </w:r>
      <w:r>
        <w:rPr>
          <w:rFonts w:ascii="Arial" w:hAnsi="Arial" w:cs="Arial"/>
          <w:sz w:val="20"/>
          <w:szCs w:val="20"/>
        </w:rPr>
        <w:t>omit</w:t>
      </w:r>
      <w:r w:rsidRPr="00315963">
        <w:rPr>
          <w:rFonts w:ascii="Arial" w:hAnsi="Arial" w:cs="Arial"/>
          <w:sz w:val="20"/>
          <w:szCs w:val="20"/>
        </w:rPr>
        <w:t xml:space="preserve"> an element in the registered trademark and add </w:t>
      </w:r>
      <w:r>
        <w:rPr>
          <w:rFonts w:ascii="Arial" w:hAnsi="Arial" w:cs="Arial"/>
          <w:sz w:val="20"/>
          <w:szCs w:val="20"/>
        </w:rPr>
        <w:t xml:space="preserve">some new elements to the </w:t>
      </w:r>
      <w:r w:rsidRPr="00315963">
        <w:rPr>
          <w:rFonts w:ascii="Arial" w:hAnsi="Arial" w:cs="Arial"/>
          <w:sz w:val="20"/>
          <w:szCs w:val="20"/>
        </w:rPr>
        <w:t xml:space="preserve">registered trademark. This makes the mark used in </w:t>
      </w:r>
      <w:r>
        <w:rPr>
          <w:rFonts w:ascii="Arial" w:hAnsi="Arial" w:cs="Arial"/>
          <w:sz w:val="20"/>
          <w:szCs w:val="20"/>
        </w:rPr>
        <w:t>commerce</w:t>
      </w:r>
      <w:r w:rsidRPr="00315963">
        <w:rPr>
          <w:rFonts w:ascii="Arial" w:hAnsi="Arial" w:cs="Arial"/>
          <w:sz w:val="20"/>
          <w:szCs w:val="20"/>
        </w:rPr>
        <w:t xml:space="preserve"> different from the registered </w:t>
      </w:r>
      <w:r>
        <w:rPr>
          <w:rFonts w:ascii="Arial" w:hAnsi="Arial" w:cs="Arial"/>
          <w:sz w:val="20"/>
          <w:szCs w:val="20"/>
        </w:rPr>
        <w:t>form</w:t>
      </w:r>
      <w:r w:rsidRPr="00315963">
        <w:rPr>
          <w:rFonts w:ascii="Arial" w:hAnsi="Arial" w:cs="Arial"/>
          <w:sz w:val="20"/>
          <w:szCs w:val="20"/>
        </w:rPr>
        <w:t xml:space="preserve">. In principle, </w:t>
      </w:r>
      <w:r w:rsidRPr="007B431F">
        <w:rPr>
          <w:rFonts w:ascii="Arial" w:hAnsi="Arial" w:cs="Arial"/>
          <w:sz w:val="20"/>
          <w:szCs w:val="20"/>
        </w:rPr>
        <w:t xml:space="preserve">a trademark owner in Vietnam can use a mark other than the registered trademark as long as that </w:t>
      </w:r>
      <w:r>
        <w:rPr>
          <w:rFonts w:ascii="Arial" w:hAnsi="Arial" w:cs="Arial"/>
          <w:sz w:val="20"/>
          <w:szCs w:val="20"/>
        </w:rPr>
        <w:t xml:space="preserve">use </w:t>
      </w:r>
      <w:r w:rsidRPr="007B431F">
        <w:rPr>
          <w:rFonts w:ascii="Arial" w:hAnsi="Arial" w:cs="Arial"/>
          <w:sz w:val="20"/>
          <w:szCs w:val="20"/>
        </w:rPr>
        <w:t>"</w:t>
      </w:r>
      <w:r w:rsidRPr="007804B2">
        <w:rPr>
          <w:rFonts w:ascii="Arial" w:hAnsi="Arial" w:cs="Arial"/>
          <w:i/>
          <w:iCs/>
          <w:sz w:val="20"/>
          <w:szCs w:val="20"/>
        </w:rPr>
        <w:t>does not change the distinctiveness of the mark</w:t>
      </w:r>
      <w:r w:rsidRPr="007B431F">
        <w:rPr>
          <w:rFonts w:ascii="Arial" w:hAnsi="Arial" w:cs="Arial"/>
          <w:sz w:val="20"/>
          <w:szCs w:val="20"/>
        </w:rPr>
        <w:t xml:space="preserve">", </w:t>
      </w:r>
      <w:r>
        <w:rPr>
          <w:rFonts w:ascii="Arial" w:hAnsi="Arial" w:cs="Arial"/>
          <w:sz w:val="20"/>
          <w:szCs w:val="20"/>
        </w:rPr>
        <w:t xml:space="preserve">and then </w:t>
      </w:r>
      <w:r w:rsidRPr="007B431F">
        <w:rPr>
          <w:rFonts w:ascii="Arial" w:hAnsi="Arial" w:cs="Arial"/>
          <w:sz w:val="20"/>
          <w:szCs w:val="20"/>
        </w:rPr>
        <w:t>will “</w:t>
      </w:r>
      <w:r w:rsidRPr="007804B2">
        <w:rPr>
          <w:rFonts w:ascii="Arial" w:hAnsi="Arial" w:cs="Arial"/>
          <w:i/>
          <w:iCs/>
          <w:sz w:val="20"/>
          <w:szCs w:val="20"/>
        </w:rPr>
        <w:t>not lead to the suspension of registration and cannot limit the protection granted to the mark</w:t>
      </w:r>
      <w:r w:rsidRPr="007B431F">
        <w:rPr>
          <w:rFonts w:ascii="Arial" w:hAnsi="Arial" w:cs="Arial"/>
          <w:sz w:val="20"/>
          <w:szCs w:val="20"/>
        </w:rPr>
        <w:t>” as provided in Article 5.C.2 of the Paris Convention to which Vietnam is a party.</w:t>
      </w:r>
      <w:r>
        <w:rPr>
          <w:rFonts w:ascii="Arial" w:hAnsi="Arial" w:cs="Arial"/>
          <w:sz w:val="20"/>
          <w:szCs w:val="20"/>
        </w:rPr>
        <w:t xml:space="preserve"> </w:t>
      </w:r>
      <w:r w:rsidRPr="00315963">
        <w:rPr>
          <w:rFonts w:ascii="Arial" w:hAnsi="Arial" w:cs="Arial"/>
          <w:sz w:val="20"/>
          <w:szCs w:val="20"/>
        </w:rPr>
        <w:t xml:space="preserve">Basically, the distinguishing and </w:t>
      </w:r>
      <w:r>
        <w:rPr>
          <w:rFonts w:ascii="Arial" w:hAnsi="Arial" w:cs="Arial"/>
          <w:sz w:val="20"/>
          <w:szCs w:val="20"/>
        </w:rPr>
        <w:t xml:space="preserve">prominent </w:t>
      </w:r>
      <w:r w:rsidRPr="00315963">
        <w:rPr>
          <w:rFonts w:ascii="Arial" w:hAnsi="Arial" w:cs="Arial"/>
          <w:sz w:val="20"/>
          <w:szCs w:val="20"/>
        </w:rPr>
        <w:t xml:space="preserve">elements – strong </w:t>
      </w:r>
      <w:r>
        <w:rPr>
          <w:rFonts w:ascii="Arial" w:hAnsi="Arial" w:cs="Arial"/>
          <w:sz w:val="20"/>
          <w:szCs w:val="20"/>
        </w:rPr>
        <w:t xml:space="preserve">elements </w:t>
      </w:r>
      <w:r w:rsidRPr="00315963">
        <w:rPr>
          <w:rFonts w:ascii="Arial" w:hAnsi="Arial" w:cs="Arial"/>
          <w:sz w:val="20"/>
          <w:szCs w:val="20"/>
        </w:rPr>
        <w:t xml:space="preserve">in the registered trademark must not be </w:t>
      </w:r>
      <w:r>
        <w:rPr>
          <w:rFonts w:ascii="Arial" w:hAnsi="Arial" w:cs="Arial"/>
          <w:sz w:val="20"/>
          <w:szCs w:val="20"/>
        </w:rPr>
        <w:t>altered</w:t>
      </w:r>
      <w:r w:rsidRPr="00315963">
        <w:rPr>
          <w:rFonts w:ascii="Arial" w:hAnsi="Arial" w:cs="Arial"/>
          <w:sz w:val="20"/>
          <w:szCs w:val="20"/>
        </w:rPr>
        <w:t xml:space="preserve">, i.e., </w:t>
      </w:r>
      <w:r>
        <w:rPr>
          <w:rFonts w:ascii="Arial" w:hAnsi="Arial" w:cs="Arial"/>
          <w:sz w:val="20"/>
          <w:szCs w:val="20"/>
        </w:rPr>
        <w:t xml:space="preserve">they must </w:t>
      </w:r>
      <w:r w:rsidRPr="00315963">
        <w:rPr>
          <w:rFonts w:ascii="Arial" w:hAnsi="Arial" w:cs="Arial"/>
          <w:sz w:val="20"/>
          <w:szCs w:val="20"/>
        </w:rPr>
        <w:t xml:space="preserve">not </w:t>
      </w:r>
      <w:r>
        <w:rPr>
          <w:rFonts w:ascii="Arial" w:hAnsi="Arial" w:cs="Arial"/>
          <w:sz w:val="20"/>
          <w:szCs w:val="20"/>
        </w:rPr>
        <w:t xml:space="preserve">be </w:t>
      </w:r>
      <w:r w:rsidRPr="00315963">
        <w:rPr>
          <w:rFonts w:ascii="Arial" w:hAnsi="Arial" w:cs="Arial"/>
          <w:sz w:val="20"/>
          <w:szCs w:val="20"/>
        </w:rPr>
        <w:t>eliminated</w:t>
      </w:r>
      <w:r>
        <w:rPr>
          <w:rFonts w:ascii="Arial" w:hAnsi="Arial" w:cs="Arial"/>
          <w:sz w:val="20"/>
          <w:szCs w:val="20"/>
        </w:rPr>
        <w:t xml:space="preserve"> and not to be </w:t>
      </w:r>
      <w:r w:rsidRPr="00315963">
        <w:rPr>
          <w:rFonts w:ascii="Arial" w:hAnsi="Arial" w:cs="Arial"/>
          <w:sz w:val="20"/>
          <w:szCs w:val="20"/>
        </w:rPr>
        <w:t>fundamentally chang</w:t>
      </w:r>
      <w:r>
        <w:rPr>
          <w:rFonts w:ascii="Arial" w:hAnsi="Arial" w:cs="Arial"/>
          <w:sz w:val="20"/>
          <w:szCs w:val="20"/>
        </w:rPr>
        <w:t xml:space="preserve">ed in </w:t>
      </w:r>
      <w:r w:rsidRPr="00315963">
        <w:rPr>
          <w:rFonts w:ascii="Arial" w:hAnsi="Arial" w:cs="Arial"/>
          <w:sz w:val="20"/>
          <w:szCs w:val="20"/>
        </w:rPr>
        <w:t>position in relation</w:t>
      </w:r>
      <w:r>
        <w:rPr>
          <w:rFonts w:ascii="Arial" w:hAnsi="Arial" w:cs="Arial"/>
          <w:sz w:val="20"/>
          <w:szCs w:val="20"/>
        </w:rPr>
        <w:t xml:space="preserve">ship with </w:t>
      </w:r>
      <w:r w:rsidRPr="00315963">
        <w:rPr>
          <w:rFonts w:ascii="Arial" w:hAnsi="Arial" w:cs="Arial"/>
          <w:sz w:val="20"/>
          <w:szCs w:val="20"/>
        </w:rPr>
        <w:t xml:space="preserve">the </w:t>
      </w:r>
      <w:r>
        <w:rPr>
          <w:rFonts w:ascii="Arial" w:hAnsi="Arial" w:cs="Arial"/>
          <w:sz w:val="20"/>
          <w:szCs w:val="20"/>
        </w:rPr>
        <w:t xml:space="preserve">other </w:t>
      </w:r>
      <w:r w:rsidRPr="00315963">
        <w:rPr>
          <w:rFonts w:ascii="Arial" w:hAnsi="Arial" w:cs="Arial"/>
          <w:sz w:val="20"/>
          <w:szCs w:val="20"/>
        </w:rPr>
        <w:t>elements</w:t>
      </w:r>
      <w:r>
        <w:rPr>
          <w:rFonts w:ascii="Arial" w:hAnsi="Arial" w:cs="Arial"/>
          <w:sz w:val="20"/>
          <w:szCs w:val="20"/>
        </w:rPr>
        <w:t xml:space="preserve"> of the </w:t>
      </w:r>
      <w:r w:rsidRPr="00315963">
        <w:rPr>
          <w:rFonts w:ascii="Arial" w:hAnsi="Arial" w:cs="Arial"/>
          <w:sz w:val="20"/>
          <w:szCs w:val="20"/>
        </w:rPr>
        <w:t xml:space="preserve">trademark or </w:t>
      </w:r>
      <w:r>
        <w:rPr>
          <w:rFonts w:ascii="Arial" w:hAnsi="Arial" w:cs="Arial"/>
          <w:sz w:val="20"/>
          <w:szCs w:val="20"/>
        </w:rPr>
        <w:t xml:space="preserve">not </w:t>
      </w:r>
      <w:r w:rsidRPr="00315963">
        <w:rPr>
          <w:rFonts w:ascii="Arial" w:hAnsi="Arial" w:cs="Arial"/>
          <w:sz w:val="20"/>
          <w:szCs w:val="20"/>
        </w:rPr>
        <w:t xml:space="preserve">to </w:t>
      </w:r>
      <w:r>
        <w:rPr>
          <w:rFonts w:ascii="Arial" w:hAnsi="Arial" w:cs="Arial"/>
          <w:sz w:val="20"/>
          <w:szCs w:val="20"/>
        </w:rPr>
        <w:t xml:space="preserve">be dominated by </w:t>
      </w:r>
      <w:r w:rsidRPr="00315963">
        <w:rPr>
          <w:rFonts w:ascii="Arial" w:hAnsi="Arial" w:cs="Arial"/>
          <w:sz w:val="20"/>
          <w:szCs w:val="20"/>
        </w:rPr>
        <w:t xml:space="preserve">other distinctive new elements of the mark. </w:t>
      </w:r>
      <w:r w:rsidRPr="00A818EC">
        <w:rPr>
          <w:rFonts w:ascii="Arial" w:hAnsi="Arial" w:cs="Arial"/>
          <w:sz w:val="20"/>
          <w:szCs w:val="20"/>
        </w:rPr>
        <w:t>Modifications may have less of an impact on marks with strong distinguishing components than on those with weak elements.</w:t>
      </w:r>
      <w:r w:rsidRPr="00315963">
        <w:rPr>
          <w:rFonts w:ascii="Arial" w:hAnsi="Arial" w:cs="Arial"/>
          <w:sz w:val="20"/>
          <w:szCs w:val="20"/>
        </w:rPr>
        <w:t xml:space="preserve"> Evidence of trademark use in a version other than that of the registered trademark may be admissible to </w:t>
      </w:r>
      <w:r>
        <w:rPr>
          <w:rFonts w:ascii="Arial" w:hAnsi="Arial" w:cs="Arial"/>
          <w:sz w:val="20"/>
          <w:szCs w:val="20"/>
        </w:rPr>
        <w:t>rebut</w:t>
      </w:r>
      <w:r w:rsidRPr="00315963">
        <w:rPr>
          <w:rFonts w:ascii="Arial" w:hAnsi="Arial" w:cs="Arial"/>
          <w:sz w:val="20"/>
          <w:szCs w:val="20"/>
        </w:rPr>
        <w:t xml:space="preserve"> a </w:t>
      </w:r>
      <w:r>
        <w:rPr>
          <w:rFonts w:ascii="Arial" w:hAnsi="Arial" w:cs="Arial"/>
          <w:sz w:val="20"/>
          <w:szCs w:val="20"/>
        </w:rPr>
        <w:t xml:space="preserve">cancellation </w:t>
      </w:r>
      <w:r w:rsidRPr="00315963">
        <w:rPr>
          <w:rFonts w:ascii="Arial" w:hAnsi="Arial" w:cs="Arial"/>
          <w:sz w:val="20"/>
          <w:szCs w:val="20"/>
        </w:rPr>
        <w:t xml:space="preserve">request </w:t>
      </w:r>
      <w:r>
        <w:rPr>
          <w:rFonts w:ascii="Arial" w:hAnsi="Arial" w:cs="Arial"/>
          <w:sz w:val="20"/>
          <w:szCs w:val="20"/>
        </w:rPr>
        <w:t xml:space="preserve">based </w:t>
      </w:r>
      <w:r w:rsidRPr="00315963">
        <w:rPr>
          <w:rFonts w:ascii="Arial" w:hAnsi="Arial" w:cs="Arial"/>
          <w:sz w:val="20"/>
          <w:szCs w:val="20"/>
        </w:rPr>
        <w:t>on the grounds of non-use from a third party.</w:t>
      </w:r>
    </w:p>
    <w:p w14:paraId="4B0E510B" w14:textId="77777777" w:rsidR="00A90A64" w:rsidRDefault="00A90A64" w:rsidP="00A90A64">
      <w:pPr>
        <w:spacing w:after="0" w:line="240" w:lineRule="auto"/>
        <w:jc w:val="both"/>
        <w:rPr>
          <w:rFonts w:ascii="Arial" w:hAnsi="Arial" w:cs="Arial"/>
          <w:b/>
          <w:sz w:val="20"/>
          <w:szCs w:val="20"/>
        </w:rPr>
      </w:pPr>
    </w:p>
    <w:p w14:paraId="7F480290" w14:textId="77777777" w:rsidR="00A90A64" w:rsidRPr="00205FB4" w:rsidRDefault="00A90A64" w:rsidP="00A90A64">
      <w:pPr>
        <w:spacing w:after="0" w:line="240" w:lineRule="auto"/>
        <w:jc w:val="both"/>
        <w:rPr>
          <w:rFonts w:ascii="Arial" w:eastAsia="Times New Roman" w:hAnsi="Arial" w:cs="Arial"/>
          <w:b/>
          <w:color w:val="0469BD"/>
          <w:sz w:val="20"/>
          <w:szCs w:val="20"/>
        </w:rPr>
      </w:pPr>
      <w:r w:rsidRPr="00205FB4">
        <w:rPr>
          <w:rFonts w:ascii="Arial" w:eastAsia="Times New Roman" w:hAnsi="Arial" w:cs="Arial"/>
          <w:b/>
          <w:color w:val="0469BD"/>
          <w:sz w:val="20"/>
          <w:szCs w:val="20"/>
        </w:rPr>
        <w:t xml:space="preserve">Evidence of trademark use in Vietnam – </w:t>
      </w:r>
      <w:r>
        <w:rPr>
          <w:rFonts w:ascii="Arial" w:eastAsia="Times New Roman" w:hAnsi="Arial" w:cs="Arial"/>
          <w:b/>
          <w:color w:val="0469BD"/>
          <w:sz w:val="20"/>
          <w:szCs w:val="20"/>
        </w:rPr>
        <w:t>Four requirements to prove trademark use in Vietnam</w:t>
      </w:r>
    </w:p>
    <w:p w14:paraId="089739EA" w14:textId="77777777" w:rsidR="00A90A64" w:rsidRPr="00611F32" w:rsidRDefault="00A90A64" w:rsidP="00A90A64">
      <w:pPr>
        <w:spacing w:after="0" w:line="240" w:lineRule="auto"/>
        <w:jc w:val="both"/>
        <w:rPr>
          <w:rFonts w:ascii="Arial" w:hAnsi="Arial" w:cs="Arial"/>
          <w:sz w:val="20"/>
          <w:szCs w:val="20"/>
        </w:rPr>
      </w:pPr>
    </w:p>
    <w:p w14:paraId="2C957331" w14:textId="77777777" w:rsidR="00A90A64" w:rsidRPr="00611F32" w:rsidRDefault="00A90A64" w:rsidP="00A90A64">
      <w:pPr>
        <w:spacing w:after="0" w:line="240" w:lineRule="auto"/>
        <w:jc w:val="both"/>
        <w:rPr>
          <w:rFonts w:ascii="Arial" w:hAnsi="Arial" w:cs="Arial"/>
          <w:sz w:val="20"/>
          <w:szCs w:val="20"/>
        </w:rPr>
      </w:pPr>
      <w:r w:rsidRPr="00611F32">
        <w:rPr>
          <w:rFonts w:ascii="Arial" w:hAnsi="Arial" w:cs="Arial"/>
          <w:sz w:val="20"/>
          <w:szCs w:val="20"/>
        </w:rPr>
        <w:t xml:space="preserve">Although use of trademarks is </w:t>
      </w:r>
      <w:r>
        <w:rPr>
          <w:rFonts w:ascii="Arial" w:hAnsi="Arial" w:cs="Arial"/>
          <w:sz w:val="20"/>
          <w:szCs w:val="20"/>
        </w:rPr>
        <w:t>provided</w:t>
      </w:r>
      <w:r w:rsidRPr="00611F32">
        <w:rPr>
          <w:rFonts w:ascii="Arial" w:hAnsi="Arial" w:cs="Arial"/>
          <w:sz w:val="20"/>
          <w:szCs w:val="20"/>
        </w:rPr>
        <w:t xml:space="preserve"> in Article 124.5 of IP Law, trademark owners often face many difficulties in collecting and providing </w:t>
      </w:r>
      <w:r>
        <w:rPr>
          <w:rFonts w:ascii="Arial" w:hAnsi="Arial" w:cs="Arial"/>
          <w:sz w:val="20"/>
          <w:szCs w:val="20"/>
        </w:rPr>
        <w:t>evidence on</w:t>
      </w:r>
      <w:r w:rsidRPr="00611F32">
        <w:rPr>
          <w:rFonts w:ascii="Arial" w:hAnsi="Arial" w:cs="Arial"/>
          <w:sz w:val="20"/>
          <w:szCs w:val="20"/>
        </w:rPr>
        <w:t xml:space="preserve"> what circumstances, in what manner, at </w:t>
      </w:r>
      <w:r>
        <w:rPr>
          <w:rFonts w:ascii="Arial" w:hAnsi="Arial" w:cs="Arial"/>
          <w:sz w:val="20"/>
          <w:szCs w:val="20"/>
        </w:rPr>
        <w:t>which</w:t>
      </w:r>
      <w:r w:rsidRPr="00611F32">
        <w:rPr>
          <w:rFonts w:ascii="Arial" w:hAnsi="Arial" w:cs="Arial"/>
          <w:sz w:val="20"/>
          <w:szCs w:val="20"/>
        </w:rPr>
        <w:t xml:space="preserve"> time</w:t>
      </w:r>
      <w:r>
        <w:rPr>
          <w:rFonts w:ascii="Arial" w:hAnsi="Arial" w:cs="Arial"/>
          <w:sz w:val="20"/>
          <w:szCs w:val="20"/>
        </w:rPr>
        <w:t xml:space="preserve">, in </w:t>
      </w:r>
      <w:r w:rsidRPr="00611F32">
        <w:rPr>
          <w:rFonts w:ascii="Arial" w:hAnsi="Arial" w:cs="Arial"/>
          <w:sz w:val="20"/>
          <w:szCs w:val="20"/>
        </w:rPr>
        <w:t xml:space="preserve">which territories </w:t>
      </w:r>
      <w:r>
        <w:rPr>
          <w:rFonts w:ascii="Arial" w:hAnsi="Arial" w:cs="Arial"/>
          <w:sz w:val="20"/>
          <w:szCs w:val="20"/>
        </w:rPr>
        <w:t xml:space="preserve">and for which </w:t>
      </w:r>
      <w:r w:rsidRPr="00611F32">
        <w:rPr>
          <w:rFonts w:ascii="Arial" w:hAnsi="Arial" w:cs="Arial"/>
          <w:sz w:val="20"/>
          <w:szCs w:val="20"/>
        </w:rPr>
        <w:t>goods the trademark has been used.</w:t>
      </w:r>
    </w:p>
    <w:p w14:paraId="7C70E694" w14:textId="77777777" w:rsidR="00A90A64" w:rsidRPr="00611F32" w:rsidRDefault="00A90A64" w:rsidP="00A90A64">
      <w:pPr>
        <w:spacing w:after="0" w:line="240" w:lineRule="auto"/>
        <w:jc w:val="both"/>
        <w:rPr>
          <w:rFonts w:ascii="Arial" w:hAnsi="Arial" w:cs="Arial"/>
          <w:sz w:val="20"/>
          <w:szCs w:val="20"/>
        </w:rPr>
      </w:pPr>
    </w:p>
    <w:p w14:paraId="124ABC6C" w14:textId="77777777" w:rsidR="00A90A64" w:rsidRPr="00611F32" w:rsidRDefault="00A90A64" w:rsidP="00A90A64">
      <w:pPr>
        <w:spacing w:after="0" w:line="240" w:lineRule="auto"/>
        <w:jc w:val="both"/>
        <w:rPr>
          <w:rFonts w:ascii="Arial" w:hAnsi="Arial" w:cs="Arial"/>
          <w:sz w:val="20"/>
          <w:szCs w:val="20"/>
        </w:rPr>
      </w:pPr>
      <w:r w:rsidRPr="00A818EC">
        <w:rPr>
          <w:rFonts w:ascii="Arial" w:hAnsi="Arial" w:cs="Arial"/>
          <w:sz w:val="20"/>
          <w:szCs w:val="20"/>
        </w:rPr>
        <w:t xml:space="preserve">In principle, the genuine use of a mark must be supported by unambiguous and objective proof of the mark's adequate and successful use on the relevant market. Documents like as </w:t>
      </w:r>
      <w:r w:rsidRPr="007804B2">
        <w:rPr>
          <w:rFonts w:ascii="Arial" w:hAnsi="Arial" w:cs="Arial"/>
          <w:i/>
          <w:iCs/>
          <w:sz w:val="20"/>
          <w:szCs w:val="20"/>
        </w:rPr>
        <w:t>purchase orders, invoices, delivery bills, and sales receipts, as well as labels, packaging, and other physical evidence of the existence of the goods or services involved in the transaction</w:t>
      </w:r>
      <w:r w:rsidRPr="00A818EC">
        <w:rPr>
          <w:rFonts w:ascii="Arial" w:hAnsi="Arial" w:cs="Arial"/>
          <w:sz w:val="20"/>
          <w:szCs w:val="20"/>
        </w:rPr>
        <w:t>, must be of the utmost importance.</w:t>
      </w:r>
      <w:r>
        <w:rPr>
          <w:rFonts w:ascii="Arial" w:hAnsi="Arial" w:cs="Arial"/>
          <w:sz w:val="20"/>
          <w:szCs w:val="20"/>
        </w:rPr>
        <w:t xml:space="preserve"> </w:t>
      </w:r>
      <w:r w:rsidRPr="00A818EC">
        <w:rPr>
          <w:rFonts w:ascii="Arial" w:hAnsi="Arial" w:cs="Arial"/>
          <w:sz w:val="20"/>
          <w:szCs w:val="20"/>
        </w:rPr>
        <w:t>In addition, it is necessary to collect evidence such as acknowledgments of giving awards and titles for branded goods, price lists, market research on brand awareness, market research confirming the market share of the goods bearing the mark, the press including the specialized press, which appear in the context of, for example, newly opened stores, marketing campaigns conducted, and the company's financial results for goods bearing the mark.</w:t>
      </w:r>
    </w:p>
    <w:p w14:paraId="582B2A10" w14:textId="77777777" w:rsidR="00A90A64" w:rsidRDefault="00A90A64" w:rsidP="00A90A64">
      <w:pPr>
        <w:spacing w:after="0" w:line="240" w:lineRule="auto"/>
        <w:jc w:val="both"/>
        <w:rPr>
          <w:rFonts w:ascii="Arial" w:hAnsi="Arial" w:cs="Arial"/>
          <w:sz w:val="20"/>
          <w:szCs w:val="20"/>
        </w:rPr>
      </w:pPr>
    </w:p>
    <w:p w14:paraId="0AF995D0" w14:textId="77777777" w:rsidR="00A90A64" w:rsidRPr="00611F32" w:rsidRDefault="00A90A64" w:rsidP="00A90A64">
      <w:pPr>
        <w:spacing w:after="0" w:line="240" w:lineRule="auto"/>
        <w:jc w:val="both"/>
        <w:rPr>
          <w:rFonts w:ascii="Arial" w:hAnsi="Arial" w:cs="Arial"/>
          <w:sz w:val="20"/>
          <w:szCs w:val="20"/>
        </w:rPr>
      </w:pPr>
      <w:r w:rsidRPr="00A818EC">
        <w:rPr>
          <w:rFonts w:ascii="Arial" w:hAnsi="Arial" w:cs="Arial"/>
          <w:sz w:val="20"/>
          <w:szCs w:val="20"/>
        </w:rPr>
        <w:t>In fact, it is crucial to gather and maintain evidence of a mark's use in order to minimize the risk of a trademark's validity being revoked on the grounds that the evidence does not constitute legal or sufficient proof of the mark's genuine use. Moreover, a proof-of-use evidence system can help overcome trademark refusals based on the grounds that the mark is descriptive or indistinct by proving distinctiveness through use and or assist in enforcing against infringements when the mark has not yet been registered.</w:t>
      </w:r>
    </w:p>
    <w:p w14:paraId="23F4F28E" w14:textId="77777777" w:rsidR="00A90A64" w:rsidRPr="00611F32" w:rsidRDefault="00A90A64" w:rsidP="00A90A64">
      <w:pPr>
        <w:spacing w:after="0" w:line="240" w:lineRule="auto"/>
        <w:jc w:val="both"/>
        <w:rPr>
          <w:rFonts w:ascii="Arial" w:hAnsi="Arial" w:cs="Arial"/>
          <w:sz w:val="20"/>
          <w:szCs w:val="20"/>
        </w:rPr>
      </w:pPr>
    </w:p>
    <w:p w14:paraId="0709E896" w14:textId="77777777" w:rsidR="00A90A64" w:rsidRDefault="00A90A64" w:rsidP="00A90A64">
      <w:pPr>
        <w:spacing w:after="0" w:line="240" w:lineRule="auto"/>
        <w:jc w:val="both"/>
        <w:rPr>
          <w:rFonts w:ascii="Arial" w:hAnsi="Arial" w:cs="Arial"/>
          <w:sz w:val="20"/>
          <w:szCs w:val="20"/>
        </w:rPr>
      </w:pPr>
      <w:r w:rsidRPr="00A818EC">
        <w:rPr>
          <w:rFonts w:ascii="Arial" w:hAnsi="Arial" w:cs="Arial"/>
          <w:sz w:val="20"/>
          <w:szCs w:val="20"/>
        </w:rPr>
        <w:t xml:space="preserve">When storing trademark-use evidence, it should be noted that the evidence must meet the following criteria: </w:t>
      </w:r>
    </w:p>
    <w:p w14:paraId="222C8268" w14:textId="77777777" w:rsidR="00A90A64" w:rsidRDefault="00A90A64" w:rsidP="00A90A64">
      <w:pPr>
        <w:spacing w:after="0" w:line="240" w:lineRule="auto"/>
        <w:jc w:val="both"/>
        <w:rPr>
          <w:rFonts w:ascii="Arial" w:hAnsi="Arial" w:cs="Arial"/>
          <w:sz w:val="20"/>
          <w:szCs w:val="20"/>
        </w:rPr>
      </w:pPr>
    </w:p>
    <w:p w14:paraId="2093A74D" w14:textId="77777777" w:rsidR="00A90A64" w:rsidRPr="00C9500D" w:rsidRDefault="00A90A64" w:rsidP="00A90A64">
      <w:pPr>
        <w:pStyle w:val="ListParagraph"/>
        <w:numPr>
          <w:ilvl w:val="0"/>
          <w:numId w:val="17"/>
        </w:numPr>
        <w:spacing w:after="0" w:line="240" w:lineRule="auto"/>
        <w:ind w:left="540" w:hanging="540"/>
        <w:jc w:val="both"/>
        <w:rPr>
          <w:rFonts w:ascii="Arial" w:hAnsi="Arial" w:cs="Arial"/>
          <w:sz w:val="20"/>
          <w:szCs w:val="20"/>
        </w:rPr>
      </w:pPr>
      <w:r w:rsidRPr="00C9500D">
        <w:rPr>
          <w:rFonts w:ascii="Arial" w:hAnsi="Arial" w:cs="Arial"/>
          <w:sz w:val="20"/>
          <w:szCs w:val="20"/>
        </w:rPr>
        <w:t xml:space="preserve">it must contain the mark; </w:t>
      </w:r>
    </w:p>
    <w:p w14:paraId="5B85EE71" w14:textId="77777777" w:rsidR="00A90A64" w:rsidRDefault="00A90A64" w:rsidP="00A90A64">
      <w:pPr>
        <w:pStyle w:val="ListParagraph"/>
        <w:numPr>
          <w:ilvl w:val="0"/>
          <w:numId w:val="17"/>
        </w:numPr>
        <w:spacing w:after="0" w:line="240" w:lineRule="auto"/>
        <w:ind w:left="540" w:hanging="540"/>
        <w:jc w:val="both"/>
        <w:rPr>
          <w:rFonts w:ascii="Arial" w:hAnsi="Arial" w:cs="Arial"/>
          <w:sz w:val="20"/>
          <w:szCs w:val="20"/>
        </w:rPr>
      </w:pPr>
      <w:r w:rsidRPr="00C9500D">
        <w:rPr>
          <w:rFonts w:ascii="Arial" w:hAnsi="Arial" w:cs="Arial"/>
          <w:sz w:val="20"/>
          <w:szCs w:val="20"/>
        </w:rPr>
        <w:t xml:space="preserve">it must be clear evidence of which goods/services are used/affixed with the mark; </w:t>
      </w:r>
    </w:p>
    <w:p w14:paraId="3C194B1B" w14:textId="77777777" w:rsidR="00A90A64" w:rsidRDefault="00A90A64" w:rsidP="00A90A64">
      <w:pPr>
        <w:pStyle w:val="ListParagraph"/>
        <w:numPr>
          <w:ilvl w:val="0"/>
          <w:numId w:val="17"/>
        </w:numPr>
        <w:spacing w:after="0" w:line="240" w:lineRule="auto"/>
        <w:ind w:left="540" w:hanging="540"/>
        <w:jc w:val="both"/>
        <w:rPr>
          <w:rFonts w:ascii="Arial" w:hAnsi="Arial" w:cs="Arial"/>
          <w:sz w:val="20"/>
          <w:szCs w:val="20"/>
        </w:rPr>
      </w:pPr>
      <w:r w:rsidRPr="00C9500D">
        <w:rPr>
          <w:rFonts w:ascii="Arial" w:hAnsi="Arial" w:cs="Arial"/>
          <w:sz w:val="20"/>
          <w:szCs w:val="20"/>
        </w:rPr>
        <w:t xml:space="preserve">it must specify the date of use of the mark; and </w:t>
      </w:r>
    </w:p>
    <w:p w14:paraId="31630D6C" w14:textId="459CF3AF" w:rsidR="00A90A64" w:rsidRPr="00C9500D" w:rsidRDefault="00EB426A" w:rsidP="00A90A64">
      <w:pPr>
        <w:pStyle w:val="ListParagraph"/>
        <w:numPr>
          <w:ilvl w:val="0"/>
          <w:numId w:val="17"/>
        </w:numPr>
        <w:spacing w:after="0" w:line="240" w:lineRule="auto"/>
        <w:ind w:left="540" w:hanging="540"/>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13D53D2" wp14:editId="34AA495F">
                <wp:simplePos x="0" y="0"/>
                <wp:positionH relativeFrom="column">
                  <wp:posOffset>6400429</wp:posOffset>
                </wp:positionH>
                <wp:positionV relativeFrom="paragraph">
                  <wp:posOffset>-380365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D1574" w14:textId="77777777" w:rsidR="00EB426A" w:rsidRPr="00BA68B8" w:rsidRDefault="00EB426A" w:rsidP="00EB426A">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D53D2" id="Rectangle 6" o:spid="_x0000_s1029" style="position:absolute;left:0;text-align:left;margin-left:503.95pt;margin-top:-29.9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" fillcolor="#00b39c" strokecolor="#00b39c" strokeweight="0">
                <v:textbox style="layout-flow:vertical">
                  <w:txbxContent>
                    <w:p w14:paraId="7D2D1574" w14:textId="77777777" w:rsidR="00EB426A" w:rsidRPr="00BA68B8" w:rsidRDefault="00EB426A" w:rsidP="00EB426A">
                      <w:pPr>
                        <w:spacing w:after="0" w:line="240" w:lineRule="auto"/>
                        <w:rPr>
                          <w:rFonts w:ascii="Arial" w:hAnsi="Arial" w:cs="Arial"/>
                          <w:b/>
                          <w:color w:val="FFFFFF" w:themeColor="background1"/>
                          <w:sz w:val="20"/>
                          <w:szCs w:val="20"/>
                        </w:rPr>
                      </w:pPr>
                      <w:r w:rsidRPr="00EB426A">
                        <w:rPr>
                          <w:rFonts w:ascii="Arial" w:hAnsi="Arial" w:cs="Arial"/>
                          <w:b/>
                          <w:bCs/>
                          <w:color w:val="FFFFFF" w:themeColor="background1"/>
                          <w:sz w:val="20"/>
                          <w:szCs w:val="20"/>
                        </w:rPr>
                        <w:t>Obligation to use trademark</w:t>
                      </w:r>
                    </w:p>
                  </w:txbxContent>
                </v:textbox>
              </v:rect>
            </w:pict>
          </mc:Fallback>
        </mc:AlternateContent>
      </w:r>
      <w:r w:rsidR="00A90A64">
        <w:rPr>
          <w:rFonts w:ascii="Arial" w:hAnsi="Arial" w:cs="Arial"/>
          <w:sz w:val="20"/>
          <w:szCs w:val="20"/>
        </w:rPr>
        <w:t>I</w:t>
      </w:r>
      <w:r w:rsidR="00A90A64" w:rsidRPr="00C9500D">
        <w:rPr>
          <w:rFonts w:ascii="Arial" w:hAnsi="Arial" w:cs="Arial"/>
          <w:sz w:val="20"/>
          <w:szCs w:val="20"/>
        </w:rPr>
        <w:t>t must indicate where the mark was used.</w:t>
      </w:r>
    </w:p>
    <w:p w14:paraId="4006AE11" w14:textId="77777777" w:rsidR="00A90A64" w:rsidRDefault="00A90A64" w:rsidP="00A90A64">
      <w:pPr>
        <w:spacing w:after="0" w:line="240" w:lineRule="auto"/>
        <w:jc w:val="both"/>
        <w:rPr>
          <w:rFonts w:ascii="Arial" w:hAnsi="Arial" w:cs="Arial"/>
          <w:b/>
          <w:sz w:val="20"/>
          <w:szCs w:val="20"/>
        </w:rPr>
      </w:pPr>
    </w:p>
    <w:p w14:paraId="5B50A71A" w14:textId="77777777" w:rsidR="00A90A64" w:rsidRPr="00205FB4" w:rsidRDefault="00A90A64" w:rsidP="00A90A64">
      <w:pPr>
        <w:spacing w:after="0" w:line="240" w:lineRule="auto"/>
        <w:jc w:val="both"/>
        <w:rPr>
          <w:rFonts w:ascii="Arial" w:eastAsia="Times New Roman" w:hAnsi="Arial" w:cs="Arial"/>
          <w:b/>
          <w:color w:val="0469BD"/>
          <w:sz w:val="20"/>
          <w:szCs w:val="20"/>
        </w:rPr>
      </w:pPr>
      <w:r>
        <w:rPr>
          <w:rFonts w:ascii="Arial" w:eastAsia="Times New Roman" w:hAnsi="Arial" w:cs="Arial"/>
          <w:b/>
          <w:color w:val="0469BD"/>
          <w:sz w:val="20"/>
          <w:szCs w:val="20"/>
        </w:rPr>
        <w:t>Maintaining</w:t>
      </w:r>
      <w:r w:rsidRPr="00205FB4">
        <w:rPr>
          <w:rFonts w:ascii="Arial" w:eastAsia="Times New Roman" w:hAnsi="Arial" w:cs="Arial"/>
          <w:b/>
          <w:color w:val="0469BD"/>
          <w:sz w:val="20"/>
          <w:szCs w:val="20"/>
        </w:rPr>
        <w:t xml:space="preserve"> trademark</w:t>
      </w:r>
      <w:r>
        <w:rPr>
          <w:rFonts w:ascii="Arial" w:eastAsia="Times New Roman" w:hAnsi="Arial" w:cs="Arial"/>
          <w:b/>
          <w:color w:val="0469BD"/>
          <w:sz w:val="20"/>
          <w:szCs w:val="20"/>
        </w:rPr>
        <w:t xml:space="preserve"> rights</w:t>
      </w:r>
      <w:r w:rsidRPr="00205FB4">
        <w:rPr>
          <w:rFonts w:ascii="Arial" w:eastAsia="Times New Roman" w:hAnsi="Arial" w:cs="Arial"/>
          <w:b/>
          <w:color w:val="0469BD"/>
          <w:sz w:val="20"/>
          <w:szCs w:val="20"/>
        </w:rPr>
        <w:t xml:space="preserve"> in Vietnam - 6 practical tips for trademark owners </w:t>
      </w:r>
    </w:p>
    <w:p w14:paraId="402783FC" w14:textId="77777777" w:rsidR="00A90A64" w:rsidRDefault="00A90A64" w:rsidP="00A90A64">
      <w:pPr>
        <w:spacing w:after="0" w:line="240" w:lineRule="auto"/>
        <w:jc w:val="both"/>
        <w:rPr>
          <w:rFonts w:ascii="Arial" w:hAnsi="Arial" w:cs="Arial"/>
          <w:b/>
          <w:sz w:val="20"/>
          <w:szCs w:val="20"/>
        </w:rPr>
      </w:pPr>
    </w:p>
    <w:tbl>
      <w:tblPr>
        <w:tblStyle w:val="TableGrid"/>
        <w:tblW w:w="0" w:type="auto"/>
        <w:tblBorders>
          <w:top w:val="single" w:sz="4" w:space="0" w:color="FF7D7D"/>
          <w:left w:val="single" w:sz="4" w:space="0" w:color="FF7D7D"/>
          <w:bottom w:val="single" w:sz="4" w:space="0" w:color="FF7D7D"/>
          <w:right w:val="single" w:sz="4" w:space="0" w:color="FF7D7D"/>
          <w:insideH w:val="single" w:sz="4" w:space="0" w:color="FF7D7D"/>
          <w:insideV w:val="single" w:sz="4" w:space="0" w:color="FF7D7D"/>
        </w:tblBorders>
        <w:shd w:val="clear" w:color="auto" w:fill="E2F0EE"/>
        <w:tblLook w:val="04A0" w:firstRow="1" w:lastRow="0" w:firstColumn="1" w:lastColumn="0" w:noHBand="0" w:noVBand="1"/>
      </w:tblPr>
      <w:tblGrid>
        <w:gridCol w:w="9629"/>
      </w:tblGrid>
      <w:tr w:rsidR="00A90A64" w14:paraId="7CDA8962" w14:textId="77777777" w:rsidTr="005B53C1">
        <w:tc>
          <w:tcPr>
            <w:tcW w:w="10188" w:type="dxa"/>
            <w:shd w:val="clear" w:color="auto" w:fill="E2F0EE"/>
          </w:tcPr>
          <w:p w14:paraId="46FF37D5" w14:textId="77777777" w:rsidR="00A90A64" w:rsidRPr="00222BDC" w:rsidRDefault="00A90A64" w:rsidP="005B53C1">
            <w:pPr>
              <w:pStyle w:val="ListParagraph"/>
              <w:ind w:left="450"/>
              <w:jc w:val="both"/>
              <w:rPr>
                <w:rFonts w:ascii="Arial" w:hAnsi="Arial" w:cs="Arial"/>
                <w:color w:val="C00000"/>
                <w:sz w:val="20"/>
                <w:szCs w:val="20"/>
              </w:rPr>
            </w:pPr>
          </w:p>
          <w:p w14:paraId="480DC5B0" w14:textId="77777777" w:rsidR="00A90A64" w:rsidRPr="00205FB4" w:rsidRDefault="00A90A64" w:rsidP="00A90A64">
            <w:pPr>
              <w:pStyle w:val="ListParagraph"/>
              <w:numPr>
                <w:ilvl w:val="0"/>
                <w:numId w:val="18"/>
              </w:numPr>
              <w:jc w:val="both"/>
              <w:rPr>
                <w:rFonts w:ascii="Arial" w:hAnsi="Arial" w:cs="Arial"/>
                <w:color w:val="C00000"/>
                <w:sz w:val="20"/>
                <w:szCs w:val="20"/>
              </w:rPr>
            </w:pPr>
            <w:r w:rsidRPr="00205FB4">
              <w:rPr>
                <w:rFonts w:ascii="Arial" w:hAnsi="Arial" w:cs="Arial"/>
                <w:color w:val="C00000"/>
                <w:sz w:val="20"/>
                <w:szCs w:val="20"/>
              </w:rPr>
              <w:t>Applying for a trademark registration after clearly defining the type of trademark (</w:t>
            </w:r>
            <w:r w:rsidRPr="00205FB4">
              <w:rPr>
                <w:rFonts w:ascii="Arial" w:hAnsi="Arial" w:cs="Arial"/>
                <w:i/>
                <w:iCs/>
                <w:color w:val="C00000"/>
                <w:sz w:val="20"/>
                <w:szCs w:val="20"/>
              </w:rPr>
              <w:t>common trademark, three-dimensional mark, collective mark, certification mark</w:t>
            </w:r>
            <w:r w:rsidRPr="00205FB4">
              <w:rPr>
                <w:rFonts w:ascii="Arial" w:hAnsi="Arial" w:cs="Arial"/>
                <w:color w:val="C00000"/>
                <w:sz w:val="20"/>
                <w:szCs w:val="20"/>
              </w:rPr>
              <w:t>), the types of goods/services to be used for trademark.</w:t>
            </w:r>
          </w:p>
          <w:p w14:paraId="5365CC93" w14:textId="77777777" w:rsidR="00A90A64" w:rsidRPr="00205FB4" w:rsidRDefault="00A90A64" w:rsidP="00A90A64">
            <w:pPr>
              <w:pStyle w:val="ListParagraph"/>
              <w:numPr>
                <w:ilvl w:val="0"/>
                <w:numId w:val="18"/>
              </w:numPr>
              <w:jc w:val="both"/>
              <w:rPr>
                <w:rFonts w:ascii="Arial" w:hAnsi="Arial" w:cs="Arial"/>
                <w:color w:val="C00000"/>
                <w:sz w:val="20"/>
                <w:szCs w:val="20"/>
              </w:rPr>
            </w:pPr>
            <w:r w:rsidRPr="00205FB4">
              <w:rPr>
                <w:rFonts w:ascii="Arial" w:hAnsi="Arial" w:cs="Arial"/>
                <w:color w:val="C00000"/>
                <w:sz w:val="20"/>
                <w:szCs w:val="20"/>
              </w:rPr>
              <w:t>Using the mark in accordance with the data submitted to IP VIETNAM (</w:t>
            </w:r>
            <w:r w:rsidRPr="00205FB4">
              <w:rPr>
                <w:rFonts w:ascii="Arial" w:hAnsi="Arial" w:cs="Arial"/>
                <w:i/>
                <w:iCs/>
                <w:color w:val="C00000"/>
                <w:sz w:val="20"/>
                <w:szCs w:val="20"/>
              </w:rPr>
              <w:t>graphic form of the mark, list of goods or services, name and address of the owner</w:t>
            </w:r>
            <w:r w:rsidRPr="00205FB4">
              <w:rPr>
                <w:rFonts w:ascii="Arial" w:hAnsi="Arial" w:cs="Arial"/>
                <w:color w:val="C00000"/>
                <w:sz w:val="20"/>
                <w:szCs w:val="20"/>
              </w:rPr>
              <w:t>).</w:t>
            </w:r>
          </w:p>
          <w:p w14:paraId="036602DD" w14:textId="77777777" w:rsidR="00A90A64" w:rsidRPr="00205FB4" w:rsidRDefault="00A90A64" w:rsidP="00A90A64">
            <w:pPr>
              <w:pStyle w:val="ListParagraph"/>
              <w:numPr>
                <w:ilvl w:val="0"/>
                <w:numId w:val="18"/>
              </w:numPr>
              <w:jc w:val="both"/>
              <w:rPr>
                <w:rFonts w:ascii="Arial" w:hAnsi="Arial" w:cs="Arial"/>
                <w:color w:val="C00000"/>
                <w:sz w:val="20"/>
                <w:szCs w:val="20"/>
              </w:rPr>
            </w:pPr>
            <w:r w:rsidRPr="00205FB4">
              <w:rPr>
                <w:rFonts w:ascii="Arial" w:hAnsi="Arial" w:cs="Arial"/>
                <w:color w:val="C00000"/>
                <w:sz w:val="20"/>
                <w:szCs w:val="20"/>
              </w:rPr>
              <w:t>Affixing trademarks onto products, also in company documents and correspondence with customers, like invoices or social media. This helps promote the brand and, if necessary, makes it easier to gather evidence of trademark use.</w:t>
            </w:r>
          </w:p>
          <w:p w14:paraId="7B889B7E" w14:textId="77777777" w:rsidR="00A90A64" w:rsidRPr="00205FB4" w:rsidRDefault="00A90A64" w:rsidP="00A90A64">
            <w:pPr>
              <w:pStyle w:val="ListParagraph"/>
              <w:numPr>
                <w:ilvl w:val="0"/>
                <w:numId w:val="18"/>
              </w:numPr>
              <w:jc w:val="both"/>
              <w:rPr>
                <w:rFonts w:ascii="Arial" w:hAnsi="Arial" w:cs="Arial"/>
                <w:color w:val="C00000"/>
                <w:sz w:val="20"/>
                <w:szCs w:val="20"/>
              </w:rPr>
            </w:pPr>
            <w:r w:rsidRPr="00205FB4">
              <w:rPr>
                <w:rFonts w:ascii="Arial" w:hAnsi="Arial" w:cs="Arial"/>
                <w:color w:val="C00000"/>
                <w:sz w:val="20"/>
                <w:szCs w:val="20"/>
              </w:rPr>
              <w:t>Periodically assessing if the mark's use has diverged from its original objective. If so, it should be considered to register new versions of the trademark.</w:t>
            </w:r>
          </w:p>
          <w:p w14:paraId="42C22E5A" w14:textId="77777777" w:rsidR="00A90A64" w:rsidRPr="00205FB4" w:rsidRDefault="00A90A64" w:rsidP="00A90A64">
            <w:pPr>
              <w:pStyle w:val="ListParagraph"/>
              <w:numPr>
                <w:ilvl w:val="0"/>
                <w:numId w:val="18"/>
              </w:numPr>
              <w:jc w:val="both"/>
              <w:rPr>
                <w:rFonts w:ascii="Arial" w:hAnsi="Arial" w:cs="Arial"/>
                <w:color w:val="C00000"/>
                <w:sz w:val="20"/>
                <w:szCs w:val="20"/>
              </w:rPr>
            </w:pPr>
            <w:r w:rsidRPr="00205FB4">
              <w:rPr>
                <w:rFonts w:ascii="Arial" w:hAnsi="Arial" w:cs="Arial"/>
                <w:color w:val="C00000"/>
                <w:sz w:val="20"/>
                <w:szCs w:val="20"/>
              </w:rPr>
              <w:t>Effectively managing unused trademarks by entering into arrangements to transfer the right to use such marks to third parties or transferring ownership of trademarks on advantageous terms.</w:t>
            </w:r>
          </w:p>
          <w:p w14:paraId="2E791D05" w14:textId="77777777" w:rsidR="00A90A64" w:rsidRPr="00205FB4" w:rsidRDefault="00A90A64" w:rsidP="00A90A64">
            <w:pPr>
              <w:pStyle w:val="ListParagraph"/>
              <w:numPr>
                <w:ilvl w:val="0"/>
                <w:numId w:val="18"/>
              </w:numPr>
              <w:ind w:right="191"/>
              <w:jc w:val="both"/>
              <w:rPr>
                <w:rFonts w:ascii="Arial" w:hAnsi="Arial" w:cs="Arial"/>
                <w:b/>
                <w:i/>
                <w:color w:val="C00000"/>
                <w:sz w:val="20"/>
                <w:szCs w:val="20"/>
              </w:rPr>
            </w:pPr>
            <w:r w:rsidRPr="00205FB4">
              <w:rPr>
                <w:rFonts w:ascii="Arial" w:hAnsi="Arial" w:cs="Arial"/>
                <w:color w:val="C00000"/>
                <w:sz w:val="20"/>
                <w:szCs w:val="20"/>
              </w:rPr>
              <w:t>Utilizing a professional intellectual property service is less costly in the long run than engaging in a fight or losing a registered trademark to a competitor.</w:t>
            </w:r>
          </w:p>
          <w:p w14:paraId="775B18FD" w14:textId="77777777" w:rsidR="00A90A64" w:rsidRDefault="00A90A64" w:rsidP="005B53C1">
            <w:pPr>
              <w:pStyle w:val="ListParagraph"/>
              <w:ind w:right="191"/>
              <w:jc w:val="both"/>
              <w:rPr>
                <w:rFonts w:ascii="Arial" w:eastAsia="Times New Roman" w:hAnsi="Arial" w:cs="Arial"/>
                <w:b/>
                <w:color w:val="0469BD"/>
                <w:sz w:val="20"/>
                <w:szCs w:val="20"/>
              </w:rPr>
            </w:pPr>
          </w:p>
        </w:tc>
      </w:tr>
    </w:tbl>
    <w:p w14:paraId="250E9EAC" w14:textId="77777777" w:rsidR="00A90A64" w:rsidRDefault="00A90A64" w:rsidP="00A90A64">
      <w:pPr>
        <w:spacing w:after="0" w:line="240" w:lineRule="auto"/>
        <w:jc w:val="both"/>
        <w:rPr>
          <w:rFonts w:ascii="Arial" w:hAnsi="Arial" w:cs="Arial"/>
          <w:b/>
          <w:sz w:val="20"/>
          <w:szCs w:val="20"/>
        </w:rPr>
      </w:pPr>
    </w:p>
    <w:p w14:paraId="68D8DE35" w14:textId="6B87D453" w:rsidR="0002156E" w:rsidRPr="00D03044" w:rsidRDefault="00A90A64" w:rsidP="00EB426A">
      <w:pPr>
        <w:spacing w:after="0" w:line="240" w:lineRule="auto"/>
        <w:jc w:val="right"/>
        <w:rPr>
          <w:rFonts w:ascii="Arial" w:hAnsi="Arial" w:cs="Arial"/>
          <w:b/>
          <w:sz w:val="20"/>
          <w:szCs w:val="20"/>
        </w:rPr>
      </w:pPr>
      <w:r>
        <w:rPr>
          <w:rFonts w:ascii="Arial" w:hAnsi="Arial" w:cs="Arial"/>
          <w:b/>
          <w:sz w:val="20"/>
          <w:szCs w:val="20"/>
        </w:rPr>
        <w:t xml:space="preserve">               </w:t>
      </w: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bookmarkStart w:id="0" w:name="_GoBack"/>
      <w:bookmarkEnd w:id="0"/>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2BCEE" w14:textId="77777777" w:rsidR="006908E9" w:rsidRDefault="006908E9">
      <w:pPr>
        <w:spacing w:after="0" w:line="240" w:lineRule="auto"/>
      </w:pPr>
      <w:r>
        <w:separator/>
      </w:r>
    </w:p>
  </w:endnote>
  <w:endnote w:type="continuationSeparator" w:id="0">
    <w:p w14:paraId="34AE1D6B" w14:textId="77777777" w:rsidR="006908E9" w:rsidRDefault="0069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908E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9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8B08" w14:textId="77777777" w:rsidR="006908E9" w:rsidRDefault="006908E9">
      <w:pPr>
        <w:spacing w:after="0" w:line="240" w:lineRule="auto"/>
      </w:pPr>
      <w:r>
        <w:separator/>
      </w:r>
    </w:p>
  </w:footnote>
  <w:footnote w:type="continuationSeparator" w:id="0">
    <w:p w14:paraId="6D3D8F9D" w14:textId="77777777" w:rsidR="006908E9" w:rsidRDefault="00690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529B"/>
    <w:multiLevelType w:val="hybridMultilevel"/>
    <w:tmpl w:val="3D9852F4"/>
    <w:lvl w:ilvl="0" w:tplc="8F5AFF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F56FB"/>
    <w:multiLevelType w:val="hybridMultilevel"/>
    <w:tmpl w:val="D654CCB8"/>
    <w:lvl w:ilvl="0" w:tplc="5AD8685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2"/>
  </w:num>
  <w:num w:numId="13">
    <w:abstractNumId w:val="10"/>
  </w:num>
  <w:num w:numId="14">
    <w:abstractNumId w:val="12"/>
  </w:num>
  <w:num w:numId="15">
    <w:abstractNumId w:val="7"/>
  </w:num>
  <w:num w:numId="16">
    <w:abstractNumId w:val="1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1515AA"/>
    <w:rsid w:val="001D1CDD"/>
    <w:rsid w:val="001E0868"/>
    <w:rsid w:val="00215B22"/>
    <w:rsid w:val="003D7C8C"/>
    <w:rsid w:val="004A1761"/>
    <w:rsid w:val="00531173"/>
    <w:rsid w:val="00675D62"/>
    <w:rsid w:val="006908E9"/>
    <w:rsid w:val="006C0389"/>
    <w:rsid w:val="006F1BC0"/>
    <w:rsid w:val="007F264A"/>
    <w:rsid w:val="00813493"/>
    <w:rsid w:val="00820E66"/>
    <w:rsid w:val="008416E5"/>
    <w:rsid w:val="00933532"/>
    <w:rsid w:val="00A4177F"/>
    <w:rsid w:val="00A90A64"/>
    <w:rsid w:val="00AC74F1"/>
    <w:rsid w:val="00AF0703"/>
    <w:rsid w:val="00BB2A34"/>
    <w:rsid w:val="00C13ACF"/>
    <w:rsid w:val="00CA3F97"/>
    <w:rsid w:val="00D02775"/>
    <w:rsid w:val="00D03044"/>
    <w:rsid w:val="00D04B4E"/>
    <w:rsid w:val="00D417C1"/>
    <w:rsid w:val="00D75958"/>
    <w:rsid w:val="00E02884"/>
    <w:rsid w:val="00EB426A"/>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2022-11-25T02:20:00Z</cp:lastPrinted>
  <dcterms:created xsi:type="dcterms:W3CDTF">2023-01-31T06:43:00Z</dcterms:created>
  <dcterms:modified xsi:type="dcterms:W3CDTF">2023-01-31T06:47:00Z</dcterms:modified>
</cp:coreProperties>
</file>