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FC678" w14:textId="77777777" w:rsidR="00404F64" w:rsidRPr="001B4277" w:rsidRDefault="00404F64" w:rsidP="00404F64">
      <w:pPr>
        <w:jc w:val="right"/>
        <w:rPr>
          <w:rFonts w:ascii="Cambria" w:hAnsi="Cambria"/>
          <w:b/>
          <w:noProof w:val="0"/>
          <w:sz w:val="22"/>
          <w:szCs w:val="22"/>
          <w:lang w:val="en-US"/>
        </w:rPr>
      </w:pPr>
      <w:r w:rsidRPr="001B4277">
        <w:rPr>
          <w:rFonts w:ascii="Cambria" w:hAnsi="Cambria"/>
          <w:b/>
          <w:noProof w:val="0"/>
          <w:sz w:val="22"/>
          <w:szCs w:val="22"/>
          <w:lang w:val="en-US"/>
        </w:rPr>
        <w:t xml:space="preserve">LEGAL UPDATES </w:t>
      </w:r>
    </w:p>
    <w:p w14:paraId="398DB2A6" w14:textId="06AA99F6" w:rsidR="00404F64" w:rsidRPr="001B4277" w:rsidRDefault="00404F64" w:rsidP="00404F64">
      <w:pPr>
        <w:jc w:val="right"/>
        <w:rPr>
          <w:rFonts w:ascii="Cambria" w:hAnsi="Cambria"/>
          <w:b/>
          <w:noProof w:val="0"/>
          <w:sz w:val="22"/>
          <w:szCs w:val="22"/>
          <w:lang w:val="en-US"/>
        </w:rPr>
      </w:pPr>
      <w:r w:rsidRPr="001B4277">
        <w:rPr>
          <w:rStyle w:val="Strong"/>
          <w:rFonts w:ascii="Cambria" w:hAnsi="Cambria"/>
          <w:noProof w:val="0"/>
          <w:color w:val="000000"/>
          <w:sz w:val="22"/>
          <w:szCs w:val="22"/>
          <w:lang w:val="en-US"/>
        </w:rPr>
        <w:t>VOL 4</w:t>
      </w:r>
      <w:r w:rsidR="00F40434" w:rsidRPr="001B4277">
        <w:rPr>
          <w:rStyle w:val="Strong"/>
          <w:rFonts w:ascii="Cambria" w:hAnsi="Cambria"/>
          <w:noProof w:val="0"/>
          <w:color w:val="000000"/>
          <w:sz w:val="22"/>
          <w:szCs w:val="22"/>
          <w:lang w:val="en-US"/>
        </w:rPr>
        <w:t>3</w:t>
      </w:r>
      <w:r w:rsidRPr="001B4277">
        <w:rPr>
          <w:rStyle w:val="Strong"/>
          <w:rFonts w:ascii="Cambria" w:hAnsi="Cambria"/>
          <w:noProof w:val="0"/>
          <w:color w:val="000000"/>
          <w:sz w:val="22"/>
          <w:szCs w:val="22"/>
          <w:lang w:val="en-US"/>
        </w:rPr>
        <w:t xml:space="preserve">, </w:t>
      </w:r>
      <w:r w:rsidR="00F40434" w:rsidRPr="001B4277">
        <w:rPr>
          <w:rStyle w:val="Strong"/>
          <w:rFonts w:ascii="Cambria" w:hAnsi="Cambria"/>
          <w:noProof w:val="0"/>
          <w:color w:val="000000"/>
          <w:sz w:val="22"/>
          <w:szCs w:val="22"/>
          <w:lang w:val="en-US"/>
        </w:rPr>
        <w:t>JUNE</w:t>
      </w:r>
      <w:r w:rsidRPr="001B4277">
        <w:rPr>
          <w:rStyle w:val="Strong"/>
          <w:rFonts w:ascii="Cambria" w:hAnsi="Cambria"/>
          <w:noProof w:val="0"/>
          <w:color w:val="000000"/>
          <w:sz w:val="22"/>
          <w:szCs w:val="22"/>
          <w:lang w:val="en-US"/>
        </w:rPr>
        <w:t xml:space="preserve"> 2022</w:t>
      </w:r>
    </w:p>
    <w:p w14:paraId="0C0B67F8" w14:textId="77777777" w:rsidR="00404F64" w:rsidRPr="001B4277" w:rsidRDefault="00404F64" w:rsidP="00404F64">
      <w:pPr>
        <w:jc w:val="right"/>
        <w:rPr>
          <w:rFonts w:ascii="Cambria" w:hAnsi="Cambria"/>
          <w:b/>
          <w:noProof w:val="0"/>
          <w:sz w:val="22"/>
          <w:szCs w:val="22"/>
          <w:lang w:val="en-US"/>
        </w:rPr>
      </w:pPr>
    </w:p>
    <w:p w14:paraId="3A4DF16D" w14:textId="77777777" w:rsidR="001B4277" w:rsidRDefault="001B4277" w:rsidP="00404F64">
      <w:pPr>
        <w:jc w:val="both"/>
        <w:rPr>
          <w:rFonts w:ascii="Cambria" w:hAnsi="Cambria"/>
          <w:b/>
          <w:noProof w:val="0"/>
          <w:sz w:val="22"/>
          <w:szCs w:val="22"/>
          <w:lang w:val="en-US"/>
        </w:rPr>
      </w:pPr>
    </w:p>
    <w:p w14:paraId="2CA04A85" w14:textId="78AA5A0F" w:rsidR="00404F64" w:rsidRPr="001B4277" w:rsidRDefault="00404F64" w:rsidP="00404F64">
      <w:pPr>
        <w:jc w:val="both"/>
        <w:rPr>
          <w:rFonts w:ascii="Cambria" w:hAnsi="Cambria"/>
          <w:b/>
          <w:noProof w:val="0"/>
          <w:sz w:val="22"/>
          <w:szCs w:val="22"/>
          <w:lang w:val="en-US"/>
        </w:rPr>
      </w:pPr>
      <w:r w:rsidRPr="001B4277">
        <w:rPr>
          <w:rFonts w:ascii="Cambria" w:hAnsi="Cambria"/>
          <w:b/>
          <w:noProof w:val="0"/>
          <w:sz w:val="22"/>
          <w:szCs w:val="22"/>
          <w:lang w:val="en-US"/>
        </w:rPr>
        <w:t>Dear Valued Clients and Partners,</w:t>
      </w:r>
    </w:p>
    <w:p w14:paraId="1C57975A" w14:textId="77777777" w:rsidR="00404F64" w:rsidRPr="001B4277" w:rsidRDefault="00404F64" w:rsidP="00404F64">
      <w:pPr>
        <w:jc w:val="both"/>
        <w:rPr>
          <w:rFonts w:ascii="Cambria" w:hAnsi="Cambria"/>
          <w:b/>
          <w:noProof w:val="0"/>
          <w:sz w:val="22"/>
          <w:szCs w:val="22"/>
          <w:lang w:val="en-US"/>
        </w:rPr>
      </w:pPr>
    </w:p>
    <w:p w14:paraId="675612A9" w14:textId="2B516168" w:rsidR="00404F64" w:rsidRPr="001B4277" w:rsidRDefault="00404F64" w:rsidP="00404F64">
      <w:pPr>
        <w:jc w:val="both"/>
        <w:rPr>
          <w:rFonts w:ascii="Cambria" w:hAnsi="Cambria"/>
          <w:noProof w:val="0"/>
          <w:sz w:val="22"/>
          <w:szCs w:val="22"/>
          <w:lang w:val="en-US"/>
        </w:rPr>
      </w:pPr>
      <w:r w:rsidRPr="001B4277">
        <w:rPr>
          <w:rFonts w:ascii="Cambria" w:hAnsi="Cambria"/>
          <w:noProof w:val="0"/>
          <w:color w:val="000000"/>
          <w:sz w:val="22"/>
          <w:szCs w:val="22"/>
          <w:lang w:val="en-US"/>
        </w:rPr>
        <w:t>ADK Vietnam Lawyers would like to introduce to you the Legal Updates, Vol 4</w:t>
      </w:r>
      <w:r w:rsidR="00F40434" w:rsidRPr="001B4277">
        <w:rPr>
          <w:rFonts w:ascii="Cambria" w:hAnsi="Cambria"/>
          <w:noProof w:val="0"/>
          <w:color w:val="000000"/>
          <w:sz w:val="22"/>
          <w:szCs w:val="22"/>
          <w:lang w:val="en-US"/>
        </w:rPr>
        <w:t>3</w:t>
      </w:r>
      <w:r w:rsidRPr="001B4277">
        <w:rPr>
          <w:rFonts w:ascii="Cambria" w:hAnsi="Cambria"/>
          <w:noProof w:val="0"/>
          <w:color w:val="000000"/>
          <w:sz w:val="22"/>
          <w:szCs w:val="22"/>
          <w:lang w:val="en-US"/>
        </w:rPr>
        <w:t xml:space="preserve"> of </w:t>
      </w:r>
      <w:r w:rsidR="00F40434" w:rsidRPr="001B4277">
        <w:rPr>
          <w:rFonts w:ascii="Cambria" w:hAnsi="Cambria"/>
          <w:noProof w:val="0"/>
          <w:color w:val="000000"/>
          <w:sz w:val="22"/>
          <w:szCs w:val="22"/>
          <w:lang w:val="en-US"/>
        </w:rPr>
        <w:t>June</w:t>
      </w:r>
      <w:r w:rsidRPr="001B4277">
        <w:rPr>
          <w:rFonts w:ascii="Cambria" w:hAnsi="Cambria"/>
          <w:noProof w:val="0"/>
          <w:color w:val="000000"/>
          <w:sz w:val="22"/>
          <w:szCs w:val="22"/>
          <w:lang w:val="en-US"/>
        </w:rPr>
        <w:t xml:space="preserve"> 2022 with new legal provisions with notable contents as follows</w:t>
      </w:r>
      <w:r w:rsidRPr="001B4277">
        <w:rPr>
          <w:rFonts w:ascii="Cambria" w:hAnsi="Cambria"/>
          <w:noProof w:val="0"/>
          <w:sz w:val="22"/>
          <w:szCs w:val="22"/>
          <w:lang w:val="en-US"/>
        </w:rPr>
        <w:t>:</w:t>
      </w:r>
    </w:p>
    <w:p w14:paraId="6C16DBB9" w14:textId="5B33C5BA" w:rsidR="00404F64" w:rsidRDefault="00404F64" w:rsidP="00404F64">
      <w:pPr>
        <w:jc w:val="both"/>
        <w:rPr>
          <w:rFonts w:ascii="Cambria" w:hAnsi="Cambria"/>
          <w:noProof w:val="0"/>
          <w:sz w:val="22"/>
          <w:szCs w:val="22"/>
          <w:lang w:val="en-US"/>
        </w:rPr>
      </w:pPr>
    </w:p>
    <w:p w14:paraId="6C355652" w14:textId="77777777" w:rsidR="001B4277" w:rsidRPr="001B4277" w:rsidRDefault="001B4277" w:rsidP="00404F64">
      <w:pPr>
        <w:jc w:val="both"/>
        <w:rPr>
          <w:rFonts w:ascii="Cambria" w:hAnsi="Cambria"/>
          <w:noProof w:val="0"/>
          <w:sz w:val="22"/>
          <w:szCs w:val="22"/>
          <w:lang w:val="en-US"/>
        </w:rPr>
      </w:pPr>
    </w:p>
    <w:p w14:paraId="666E30CC" w14:textId="26A1AAB9" w:rsidR="008C31BB" w:rsidRPr="001B4277" w:rsidRDefault="00C574CD" w:rsidP="008C31BB">
      <w:pPr>
        <w:pStyle w:val="ListParagraph"/>
        <w:numPr>
          <w:ilvl w:val="0"/>
          <w:numId w:val="1"/>
        </w:numPr>
        <w:ind w:hanging="720"/>
        <w:jc w:val="both"/>
        <w:rPr>
          <w:rFonts w:ascii="Cambria" w:hAnsi="Cambria"/>
          <w:b/>
          <w:bCs/>
          <w:noProof w:val="0"/>
          <w:sz w:val="22"/>
          <w:szCs w:val="22"/>
          <w:lang w:val="en-US"/>
        </w:rPr>
      </w:pPr>
      <w:r w:rsidRPr="001B4277">
        <w:rPr>
          <w:rFonts w:ascii="Cambria" w:hAnsi="Cambria"/>
          <w:b/>
          <w:noProof w:val="0"/>
          <w:sz w:val="22"/>
          <w:szCs w:val="22"/>
          <w:lang w:val="en-US"/>
        </w:rPr>
        <w:t xml:space="preserve">The Ministry of Construction clarifies the basis of the options </w:t>
      </w:r>
      <w:r w:rsidR="00154384" w:rsidRPr="001B4277">
        <w:rPr>
          <w:rFonts w:ascii="Cambria" w:hAnsi="Cambria"/>
          <w:b/>
          <w:bCs/>
          <w:noProof w:val="0"/>
          <w:sz w:val="22"/>
          <w:szCs w:val="22"/>
          <w:lang w:val="en-US"/>
        </w:rPr>
        <w:t>to stipulate the term of apartment ownership</w:t>
      </w:r>
    </w:p>
    <w:p w14:paraId="231F4144" w14:textId="77777777" w:rsidR="00C64B4B" w:rsidRPr="001B4277" w:rsidRDefault="00C64B4B" w:rsidP="00CA26FA">
      <w:pPr>
        <w:pStyle w:val="ListParagraph"/>
        <w:jc w:val="both"/>
        <w:rPr>
          <w:rFonts w:ascii="Cambria" w:hAnsi="Cambria"/>
          <w:b/>
          <w:bCs/>
          <w:noProof w:val="0"/>
          <w:sz w:val="22"/>
          <w:szCs w:val="22"/>
          <w:lang w:val="en-US"/>
        </w:rPr>
      </w:pPr>
    </w:p>
    <w:p w14:paraId="00A58D54" w14:textId="739788B5" w:rsidR="00FB67B0" w:rsidRPr="001B4277" w:rsidRDefault="00FB67B0" w:rsidP="008C31BB">
      <w:pPr>
        <w:ind w:left="720"/>
        <w:jc w:val="both"/>
        <w:rPr>
          <w:rFonts w:ascii="Cambria" w:hAnsi="Cambria"/>
          <w:noProof w:val="0"/>
          <w:sz w:val="22"/>
          <w:szCs w:val="22"/>
          <w:lang w:val="en-US"/>
        </w:rPr>
      </w:pPr>
      <w:r w:rsidRPr="001B4277">
        <w:rPr>
          <w:rFonts w:ascii="Cambria" w:hAnsi="Cambria"/>
          <w:noProof w:val="0"/>
          <w:sz w:val="22"/>
          <w:szCs w:val="22"/>
          <w:lang w:val="en-US"/>
        </w:rPr>
        <w:t>The Ministry of Construction has requested to add a new provision on the term of apartment ownership in the homeowner policy instead of the current long-term homeownership.</w:t>
      </w:r>
      <w:r w:rsidR="00AF2410" w:rsidRPr="001B4277">
        <w:rPr>
          <w:rFonts w:ascii="Cambria" w:hAnsi="Cambria"/>
          <w:noProof w:val="0"/>
          <w:sz w:val="22"/>
          <w:szCs w:val="22"/>
          <w:lang w:val="en-US"/>
        </w:rPr>
        <w:t xml:space="preserve"> Accordingly, the Ministry of Construction has proposed two options which has been approved by the Government and reported </w:t>
      </w:r>
      <w:r w:rsidR="00873146" w:rsidRPr="001B4277">
        <w:rPr>
          <w:rFonts w:ascii="Cambria" w:hAnsi="Cambria"/>
          <w:noProof w:val="0"/>
          <w:sz w:val="22"/>
          <w:szCs w:val="22"/>
          <w:lang w:val="en-US"/>
        </w:rPr>
        <w:t xml:space="preserve">to the National Assembly to request to be included in the National Assembly's Law-making Program in 2023 (Report No. 53/TTr-CP dated March 28, 2022). </w:t>
      </w:r>
      <w:r w:rsidR="00154384" w:rsidRPr="001B4277">
        <w:rPr>
          <w:rFonts w:ascii="Cambria" w:hAnsi="Cambria"/>
          <w:noProof w:val="0"/>
          <w:sz w:val="22"/>
          <w:szCs w:val="22"/>
          <w:lang w:val="en-US"/>
        </w:rPr>
        <w:t>The Department of Housing and Real Estate Market Management (Ministry of Construction) has just clarif</w:t>
      </w:r>
      <w:r w:rsidR="00C64B4B" w:rsidRPr="001B4277">
        <w:rPr>
          <w:rFonts w:ascii="Cambria" w:hAnsi="Cambria"/>
          <w:noProof w:val="0"/>
          <w:sz w:val="22"/>
          <w:szCs w:val="22"/>
          <w:lang w:val="en-US"/>
        </w:rPr>
        <w:t>ied</w:t>
      </w:r>
      <w:r w:rsidR="00154384" w:rsidRPr="001B4277">
        <w:rPr>
          <w:rFonts w:ascii="Cambria" w:hAnsi="Cambria"/>
          <w:noProof w:val="0"/>
          <w:sz w:val="22"/>
          <w:szCs w:val="22"/>
          <w:lang w:val="en-US"/>
        </w:rPr>
        <w:t xml:space="preserve"> the basis for the options to stipulate the term of apartment ownership</w:t>
      </w:r>
      <w:r w:rsidR="00C64B4B" w:rsidRPr="001B4277">
        <w:rPr>
          <w:rFonts w:ascii="Cambria" w:hAnsi="Cambria"/>
          <w:noProof w:val="0"/>
          <w:sz w:val="22"/>
          <w:szCs w:val="22"/>
          <w:lang w:val="en-US"/>
        </w:rPr>
        <w:t xml:space="preserve">, an issue that has attracted the attention of social commentary in recent times. </w:t>
      </w:r>
      <w:r w:rsidR="00E507C4" w:rsidRPr="001B4277">
        <w:rPr>
          <w:rFonts w:ascii="Cambria" w:hAnsi="Cambria"/>
          <w:noProof w:val="0"/>
          <w:sz w:val="22"/>
          <w:szCs w:val="22"/>
          <w:lang w:val="en-US"/>
        </w:rPr>
        <w:t xml:space="preserve">Specifically: </w:t>
      </w:r>
    </w:p>
    <w:p w14:paraId="17646C76" w14:textId="02A1A324" w:rsidR="00E507C4" w:rsidRPr="001B4277" w:rsidRDefault="00E507C4" w:rsidP="008C31BB">
      <w:pPr>
        <w:ind w:left="720"/>
        <w:jc w:val="both"/>
        <w:rPr>
          <w:rFonts w:ascii="Cambria" w:hAnsi="Cambria"/>
          <w:noProof w:val="0"/>
          <w:sz w:val="22"/>
          <w:szCs w:val="22"/>
          <w:lang w:val="en-US"/>
        </w:rPr>
      </w:pPr>
    </w:p>
    <w:p w14:paraId="0DFC5F5E" w14:textId="646C52AC" w:rsidR="00E507C4" w:rsidRPr="001B4277" w:rsidRDefault="00E507C4" w:rsidP="008C31BB">
      <w:pPr>
        <w:ind w:left="720"/>
        <w:jc w:val="both"/>
        <w:rPr>
          <w:rFonts w:ascii="Cambria" w:hAnsi="Cambria"/>
          <w:noProof w:val="0"/>
          <w:sz w:val="22"/>
          <w:szCs w:val="22"/>
          <w:lang w:val="en-US"/>
        </w:rPr>
      </w:pPr>
      <w:r w:rsidRPr="001B4277">
        <w:rPr>
          <w:rFonts w:ascii="Cambria" w:hAnsi="Cambria"/>
          <w:b/>
          <w:bCs/>
          <w:noProof w:val="0"/>
          <w:sz w:val="22"/>
          <w:szCs w:val="22"/>
          <w:lang w:val="en-US"/>
        </w:rPr>
        <w:t>Option 1:</w:t>
      </w:r>
      <w:r w:rsidRPr="001B4277">
        <w:rPr>
          <w:rFonts w:ascii="Cambria" w:hAnsi="Cambria"/>
          <w:noProof w:val="0"/>
          <w:sz w:val="22"/>
          <w:szCs w:val="22"/>
          <w:lang w:val="en-US"/>
        </w:rPr>
        <w:t xml:space="preserve"> The Ministry of Construction proposes that the term of apartment ownership is determined according to the useful life of the </w:t>
      </w:r>
      <w:r w:rsidR="003F4431" w:rsidRPr="001B4277">
        <w:rPr>
          <w:rFonts w:ascii="Cambria" w:hAnsi="Cambria"/>
          <w:noProof w:val="0"/>
          <w:sz w:val="22"/>
          <w:szCs w:val="22"/>
          <w:lang w:val="en-US"/>
        </w:rPr>
        <w:t>construction work</w:t>
      </w:r>
      <w:r w:rsidRPr="001B4277">
        <w:rPr>
          <w:rFonts w:ascii="Cambria" w:hAnsi="Cambria"/>
          <w:noProof w:val="0"/>
          <w:sz w:val="22"/>
          <w:szCs w:val="22"/>
          <w:lang w:val="en-US"/>
        </w:rPr>
        <w:t xml:space="preserve"> based on some of the following bases: </w:t>
      </w:r>
    </w:p>
    <w:p w14:paraId="3AF915D3" w14:textId="0BFB6FCB" w:rsidR="00E507C4" w:rsidRPr="001B4277" w:rsidRDefault="00E507C4" w:rsidP="008C31BB">
      <w:pPr>
        <w:ind w:left="720"/>
        <w:jc w:val="both"/>
        <w:rPr>
          <w:rFonts w:ascii="Cambria" w:hAnsi="Cambria"/>
          <w:noProof w:val="0"/>
          <w:sz w:val="22"/>
          <w:szCs w:val="22"/>
          <w:lang w:val="en-US"/>
        </w:rPr>
      </w:pPr>
    </w:p>
    <w:p w14:paraId="47FC687B" w14:textId="4D8F7BBB" w:rsidR="00E507C4" w:rsidRPr="001B4277" w:rsidRDefault="00527D28" w:rsidP="00E507C4">
      <w:pPr>
        <w:pStyle w:val="ListParagraph"/>
        <w:numPr>
          <w:ilvl w:val="0"/>
          <w:numId w:val="10"/>
        </w:numPr>
        <w:jc w:val="both"/>
        <w:rPr>
          <w:rFonts w:ascii="Cambria" w:hAnsi="Cambria"/>
          <w:noProof w:val="0"/>
          <w:sz w:val="22"/>
          <w:szCs w:val="22"/>
          <w:lang w:val="en-US"/>
        </w:rPr>
      </w:pPr>
      <w:r w:rsidRPr="001B4277">
        <w:rPr>
          <w:rFonts w:ascii="Cambria" w:hAnsi="Cambria"/>
          <w:noProof w:val="0"/>
          <w:sz w:val="22"/>
          <w:szCs w:val="22"/>
          <w:lang w:val="en-US"/>
        </w:rPr>
        <w:t>The characteristics of apartment buildings are large-scale constructions, with many people living, over time, the building will be degraded, no longer ensuring safety during uselife.</w:t>
      </w:r>
      <w:r w:rsidR="00CF338C" w:rsidRPr="001B4277">
        <w:rPr>
          <w:noProof w:val="0"/>
          <w:lang w:val="en-US"/>
        </w:rPr>
        <w:t xml:space="preserve"> </w:t>
      </w:r>
      <w:r w:rsidR="00CF338C" w:rsidRPr="001B4277">
        <w:rPr>
          <w:rFonts w:ascii="Cambria" w:hAnsi="Cambria"/>
          <w:noProof w:val="0"/>
          <w:sz w:val="22"/>
          <w:szCs w:val="22"/>
          <w:lang w:val="en-US"/>
        </w:rPr>
        <w:t>When the useful life is expired according to the provisions of the law on construction or the construction has not expired but it is degraded</w:t>
      </w:r>
      <w:r w:rsidR="00CF338C" w:rsidRPr="001B4277">
        <w:rPr>
          <w:noProof w:val="0"/>
          <w:lang w:val="en-US"/>
        </w:rPr>
        <w:t xml:space="preserve"> </w:t>
      </w:r>
      <w:r w:rsidR="00CF338C" w:rsidRPr="001B4277">
        <w:rPr>
          <w:rFonts w:ascii="Cambria" w:hAnsi="Cambria"/>
          <w:noProof w:val="0"/>
          <w:sz w:val="22"/>
          <w:szCs w:val="22"/>
          <w:lang w:val="en-US"/>
        </w:rPr>
        <w:t>the competent authority will assess the quality.</w:t>
      </w:r>
      <w:r w:rsidR="00126805" w:rsidRPr="001B4277">
        <w:rPr>
          <w:noProof w:val="0"/>
          <w:lang w:val="en-US"/>
        </w:rPr>
        <w:t xml:space="preserve"> </w:t>
      </w:r>
      <w:r w:rsidR="00126805" w:rsidRPr="001B4277">
        <w:rPr>
          <w:rFonts w:ascii="Cambria" w:hAnsi="Cambria"/>
          <w:noProof w:val="0"/>
          <w:sz w:val="22"/>
          <w:szCs w:val="22"/>
          <w:lang w:val="en-US"/>
        </w:rPr>
        <w:t>In case the building can still be used, it will continue to be allowed to use or if it is not safe, it will have to be dismantled for rebuilding.</w:t>
      </w:r>
    </w:p>
    <w:p w14:paraId="148A96F1" w14:textId="77777777" w:rsidR="00126805" w:rsidRPr="001B4277" w:rsidRDefault="00126805" w:rsidP="00126805">
      <w:pPr>
        <w:jc w:val="both"/>
        <w:rPr>
          <w:rFonts w:ascii="Cambria" w:hAnsi="Cambria"/>
          <w:noProof w:val="0"/>
          <w:sz w:val="22"/>
          <w:szCs w:val="22"/>
          <w:lang w:val="en-US"/>
        </w:rPr>
      </w:pPr>
    </w:p>
    <w:p w14:paraId="2C52DFEC" w14:textId="616DD42D" w:rsidR="009607C0" w:rsidRPr="001B4277" w:rsidRDefault="00126805" w:rsidP="00126805">
      <w:pPr>
        <w:ind w:left="1440"/>
        <w:jc w:val="both"/>
        <w:rPr>
          <w:rFonts w:ascii="Cambria" w:hAnsi="Cambria"/>
          <w:noProof w:val="0"/>
          <w:sz w:val="22"/>
          <w:szCs w:val="22"/>
          <w:lang w:val="en-US"/>
        </w:rPr>
      </w:pPr>
      <w:r w:rsidRPr="001B4277">
        <w:rPr>
          <w:rFonts w:ascii="Cambria" w:hAnsi="Cambria"/>
          <w:noProof w:val="0"/>
          <w:sz w:val="22"/>
          <w:szCs w:val="22"/>
          <w:lang w:val="en-US"/>
        </w:rPr>
        <w:t xml:space="preserve">The above provision is also suitable for </w:t>
      </w:r>
      <w:r w:rsidR="002C15B4" w:rsidRPr="001B4277">
        <w:rPr>
          <w:rFonts w:ascii="Cambria" w:hAnsi="Cambria"/>
          <w:noProof w:val="0"/>
          <w:sz w:val="22"/>
          <w:szCs w:val="22"/>
          <w:lang w:val="en-US"/>
        </w:rPr>
        <w:t>the provisions of civil law. Accordingly, property ownership right will be terminated when the property is destroyed or terminated in accordance with law.</w:t>
      </w:r>
    </w:p>
    <w:p w14:paraId="4D71BAD5" w14:textId="1F195A38" w:rsidR="002C15B4" w:rsidRPr="001B4277" w:rsidRDefault="002C15B4" w:rsidP="00126805">
      <w:pPr>
        <w:ind w:left="1440"/>
        <w:jc w:val="both"/>
        <w:rPr>
          <w:rFonts w:ascii="Cambria" w:hAnsi="Cambria"/>
          <w:noProof w:val="0"/>
          <w:sz w:val="22"/>
          <w:szCs w:val="22"/>
          <w:lang w:val="en-US"/>
        </w:rPr>
      </w:pPr>
    </w:p>
    <w:p w14:paraId="2AA6CBD8" w14:textId="14D710FE" w:rsidR="002C15B4" w:rsidRPr="001B4277" w:rsidRDefault="002C15B4" w:rsidP="002C15B4">
      <w:pPr>
        <w:pStyle w:val="ListParagraph"/>
        <w:numPr>
          <w:ilvl w:val="0"/>
          <w:numId w:val="10"/>
        </w:numPr>
        <w:jc w:val="both"/>
        <w:rPr>
          <w:rFonts w:ascii="Cambria" w:hAnsi="Cambria"/>
          <w:noProof w:val="0"/>
          <w:sz w:val="22"/>
          <w:szCs w:val="22"/>
          <w:lang w:val="en-US"/>
        </w:rPr>
      </w:pPr>
      <w:r w:rsidRPr="001B4277">
        <w:rPr>
          <w:rFonts w:ascii="Cambria" w:hAnsi="Cambria"/>
          <w:noProof w:val="0"/>
          <w:sz w:val="22"/>
          <w:szCs w:val="22"/>
          <w:lang w:val="en-US"/>
        </w:rPr>
        <w:t xml:space="preserve">It is necessary for the addition of regulations on the term of ownership of apartment building according to the </w:t>
      </w:r>
      <w:r w:rsidR="00E23942" w:rsidRPr="001B4277">
        <w:rPr>
          <w:rFonts w:ascii="Cambria" w:hAnsi="Cambria"/>
          <w:noProof w:val="0"/>
          <w:sz w:val="22"/>
          <w:szCs w:val="22"/>
          <w:lang w:val="en-US"/>
        </w:rPr>
        <w:t xml:space="preserve">useful life of the </w:t>
      </w:r>
      <w:r w:rsidR="003F4431" w:rsidRPr="001B4277">
        <w:rPr>
          <w:rFonts w:ascii="Cambria" w:hAnsi="Cambria"/>
          <w:noProof w:val="0"/>
          <w:sz w:val="22"/>
          <w:szCs w:val="22"/>
          <w:lang w:val="en-US"/>
        </w:rPr>
        <w:t>construction work</w:t>
      </w:r>
      <w:r w:rsidR="00E23942" w:rsidRPr="001B4277">
        <w:rPr>
          <w:noProof w:val="0"/>
          <w:lang w:val="en-US"/>
        </w:rPr>
        <w:t xml:space="preserve"> </w:t>
      </w:r>
      <w:r w:rsidR="00E23942" w:rsidRPr="001B4277">
        <w:rPr>
          <w:rFonts w:ascii="Cambria" w:hAnsi="Cambria"/>
          <w:noProof w:val="0"/>
          <w:sz w:val="22"/>
          <w:szCs w:val="22"/>
          <w:lang w:val="en-US"/>
        </w:rPr>
        <w:t xml:space="preserve">to have legal basis to overcome the difficulties and problems in the renovation and reconstruction of high buildings and acilitate urban embellishment. </w:t>
      </w:r>
    </w:p>
    <w:p w14:paraId="60B07322" w14:textId="3D3AA5D6" w:rsidR="00E23942" w:rsidRPr="001B4277" w:rsidRDefault="00E23942" w:rsidP="00E23942">
      <w:pPr>
        <w:jc w:val="both"/>
        <w:rPr>
          <w:rFonts w:ascii="Cambria" w:hAnsi="Cambria"/>
          <w:noProof w:val="0"/>
          <w:sz w:val="22"/>
          <w:szCs w:val="22"/>
          <w:lang w:val="en-US"/>
        </w:rPr>
      </w:pPr>
    </w:p>
    <w:p w14:paraId="0DF8CE33" w14:textId="68010346" w:rsidR="00E23942" w:rsidRPr="001B4277" w:rsidRDefault="00E23942" w:rsidP="00E23942">
      <w:pPr>
        <w:pStyle w:val="ListParagraph"/>
        <w:numPr>
          <w:ilvl w:val="0"/>
          <w:numId w:val="10"/>
        </w:numPr>
        <w:jc w:val="both"/>
        <w:rPr>
          <w:rFonts w:ascii="Cambria" w:hAnsi="Cambria"/>
          <w:noProof w:val="0"/>
          <w:sz w:val="22"/>
          <w:szCs w:val="22"/>
          <w:lang w:val="en-US"/>
        </w:rPr>
      </w:pPr>
      <w:r w:rsidRPr="001B4277">
        <w:rPr>
          <w:rFonts w:ascii="Cambria" w:hAnsi="Cambria"/>
          <w:noProof w:val="0"/>
          <w:sz w:val="22"/>
          <w:szCs w:val="22"/>
          <w:lang w:val="en-US"/>
        </w:rPr>
        <w:t>This option still ensures the rights of people living in those apartment</w:t>
      </w:r>
      <w:r w:rsidR="00D813EC" w:rsidRPr="001B4277">
        <w:rPr>
          <w:rFonts w:ascii="Cambria" w:hAnsi="Cambria"/>
          <w:noProof w:val="0"/>
          <w:sz w:val="22"/>
          <w:szCs w:val="22"/>
          <w:lang w:val="en-US"/>
        </w:rPr>
        <w:t xml:space="preserve"> buildings</w:t>
      </w:r>
      <w:r w:rsidRPr="001B4277">
        <w:rPr>
          <w:rFonts w:ascii="Cambria" w:hAnsi="Cambria"/>
          <w:noProof w:val="0"/>
          <w:sz w:val="22"/>
          <w:szCs w:val="22"/>
          <w:lang w:val="en-US"/>
        </w:rPr>
        <w:t>.</w:t>
      </w:r>
      <w:r w:rsidR="00A165E0" w:rsidRPr="001B4277">
        <w:rPr>
          <w:rFonts w:ascii="Cambria" w:hAnsi="Cambria"/>
          <w:noProof w:val="0"/>
          <w:sz w:val="22"/>
          <w:szCs w:val="22"/>
          <w:lang w:val="en-US"/>
        </w:rPr>
        <w:t xml:space="preserve"> In addition to the rights of the property owners -</w:t>
      </w:r>
      <w:r w:rsidR="00A165E0" w:rsidRPr="001B4277">
        <w:rPr>
          <w:noProof w:val="0"/>
          <w:lang w:val="en-US"/>
        </w:rPr>
        <w:t xml:space="preserve"> </w:t>
      </w:r>
      <w:r w:rsidR="00A165E0" w:rsidRPr="001B4277">
        <w:rPr>
          <w:rFonts w:ascii="Cambria" w:hAnsi="Cambria"/>
          <w:noProof w:val="0"/>
          <w:sz w:val="22"/>
          <w:szCs w:val="22"/>
          <w:lang w:val="en-US"/>
        </w:rPr>
        <w:t>during the ownership term, the owners of the apartment</w:t>
      </w:r>
      <w:r w:rsidR="00155CD7" w:rsidRPr="001B4277">
        <w:rPr>
          <w:rFonts w:ascii="Cambria" w:hAnsi="Cambria"/>
          <w:noProof w:val="0"/>
          <w:sz w:val="22"/>
          <w:szCs w:val="22"/>
          <w:lang w:val="en-US"/>
        </w:rPr>
        <w:t xml:space="preserve"> - in the event of demolition when the safety conditions are not satisfied - still have the right to be relocated on the same location without moving to another one or to be relocated </w:t>
      </w:r>
      <w:r w:rsidR="00D813EC" w:rsidRPr="001B4277">
        <w:rPr>
          <w:rFonts w:ascii="Cambria" w:hAnsi="Cambria"/>
          <w:noProof w:val="0"/>
          <w:sz w:val="22"/>
          <w:szCs w:val="22"/>
          <w:lang w:val="en-US"/>
        </w:rPr>
        <w:t xml:space="preserve">on another location according to the Government’s relocation policy. </w:t>
      </w:r>
    </w:p>
    <w:p w14:paraId="0F4475D1" w14:textId="77777777" w:rsidR="00D813EC" w:rsidRPr="001B4277" w:rsidRDefault="00D813EC" w:rsidP="00D813EC">
      <w:pPr>
        <w:pStyle w:val="ListParagraph"/>
        <w:rPr>
          <w:rFonts w:ascii="Cambria" w:hAnsi="Cambria"/>
          <w:noProof w:val="0"/>
          <w:sz w:val="22"/>
          <w:szCs w:val="22"/>
          <w:lang w:val="en-US"/>
        </w:rPr>
      </w:pPr>
    </w:p>
    <w:p w14:paraId="09E77371" w14:textId="5529E75B" w:rsidR="00D813EC" w:rsidRPr="001B4277" w:rsidRDefault="00D813EC" w:rsidP="00E23942">
      <w:pPr>
        <w:pStyle w:val="ListParagraph"/>
        <w:numPr>
          <w:ilvl w:val="0"/>
          <w:numId w:val="10"/>
        </w:numPr>
        <w:jc w:val="both"/>
        <w:rPr>
          <w:rFonts w:ascii="Cambria" w:hAnsi="Cambria"/>
          <w:noProof w:val="0"/>
          <w:sz w:val="22"/>
          <w:szCs w:val="22"/>
          <w:lang w:val="en-US"/>
        </w:rPr>
      </w:pPr>
      <w:r w:rsidRPr="001B4277">
        <w:rPr>
          <w:rFonts w:ascii="Cambria" w:hAnsi="Cambria"/>
          <w:noProof w:val="0"/>
          <w:sz w:val="22"/>
          <w:szCs w:val="22"/>
          <w:lang w:val="en-US"/>
        </w:rPr>
        <w:t>The ownership term of an apartment building</w:t>
      </w:r>
      <w:r w:rsidR="003F4431" w:rsidRPr="001B4277">
        <w:rPr>
          <w:rFonts w:ascii="Cambria" w:hAnsi="Cambria"/>
          <w:noProof w:val="0"/>
          <w:sz w:val="22"/>
          <w:szCs w:val="22"/>
          <w:lang w:val="en-US"/>
        </w:rPr>
        <w:t xml:space="preserve"> may be 50 years, 70 years or longer depending on the quality of the construction work. Currently, according to the provisions of the law on construction, the useful life of the construction work is determined</w:t>
      </w:r>
      <w:r w:rsidR="003F4431" w:rsidRPr="001B4277">
        <w:rPr>
          <w:noProof w:val="0"/>
          <w:lang w:val="en-US"/>
        </w:rPr>
        <w:t xml:space="preserve"> </w:t>
      </w:r>
      <w:r w:rsidR="003F4431" w:rsidRPr="001B4277">
        <w:rPr>
          <w:rFonts w:ascii="Cambria" w:hAnsi="Cambria"/>
          <w:noProof w:val="0"/>
          <w:sz w:val="22"/>
          <w:szCs w:val="22"/>
          <w:lang w:val="en-US"/>
        </w:rPr>
        <w:t>according to the construction design documents (design life) and the actual use term.</w:t>
      </w:r>
    </w:p>
    <w:p w14:paraId="090F2F93" w14:textId="77777777" w:rsidR="003F4431" w:rsidRPr="001B4277" w:rsidRDefault="003F4431" w:rsidP="003F4431">
      <w:pPr>
        <w:pStyle w:val="ListParagraph"/>
        <w:rPr>
          <w:rFonts w:ascii="Cambria" w:hAnsi="Cambria"/>
          <w:noProof w:val="0"/>
          <w:sz w:val="22"/>
          <w:szCs w:val="22"/>
          <w:lang w:val="en-US"/>
        </w:rPr>
      </w:pPr>
    </w:p>
    <w:p w14:paraId="439D6A98" w14:textId="0A21A8F8" w:rsidR="003F4431" w:rsidRPr="001B4277" w:rsidRDefault="003F4431" w:rsidP="00E23942">
      <w:pPr>
        <w:pStyle w:val="ListParagraph"/>
        <w:numPr>
          <w:ilvl w:val="0"/>
          <w:numId w:val="10"/>
        </w:numPr>
        <w:jc w:val="both"/>
        <w:rPr>
          <w:rFonts w:ascii="Cambria" w:hAnsi="Cambria"/>
          <w:noProof w:val="0"/>
          <w:sz w:val="22"/>
          <w:szCs w:val="22"/>
          <w:lang w:val="en-US"/>
        </w:rPr>
      </w:pPr>
      <w:r w:rsidRPr="001B4277">
        <w:rPr>
          <w:rFonts w:ascii="Cambria" w:hAnsi="Cambria"/>
          <w:noProof w:val="0"/>
          <w:sz w:val="22"/>
          <w:szCs w:val="22"/>
          <w:lang w:val="en-US"/>
        </w:rPr>
        <w:t xml:space="preserve">This option </w:t>
      </w:r>
      <w:r w:rsidR="007D63FD" w:rsidRPr="001B4277">
        <w:rPr>
          <w:rFonts w:ascii="Cambria" w:hAnsi="Cambria"/>
          <w:noProof w:val="0"/>
          <w:sz w:val="22"/>
          <w:szCs w:val="22"/>
          <w:lang w:val="en-US"/>
        </w:rPr>
        <w:t>is based on the experience of many countries around the world</w:t>
      </w:r>
      <w:r w:rsidR="00CB66BC" w:rsidRPr="001B4277">
        <w:rPr>
          <w:rFonts w:ascii="Cambria" w:hAnsi="Cambria"/>
          <w:noProof w:val="0"/>
          <w:sz w:val="22"/>
          <w:szCs w:val="22"/>
          <w:lang w:val="en-US"/>
        </w:rPr>
        <w:t xml:space="preserve"> (such as China stipulates the ownership term from 50 to 70 years; Thailand stipulates the ownership term of 30 years and can be extended; Singapore and the United State stipulate the maximum ownership term of 99 years and in case of extension, the owner must pay a certain fee</w:t>
      </w:r>
      <w:r w:rsidR="00C85480" w:rsidRPr="001B4277">
        <w:rPr>
          <w:rFonts w:ascii="Cambria" w:hAnsi="Cambria"/>
          <w:noProof w:val="0"/>
          <w:sz w:val="22"/>
          <w:szCs w:val="22"/>
          <w:lang w:val="en-US"/>
        </w:rPr>
        <w:t xml:space="preserve"> etc.</w:t>
      </w:r>
      <w:r w:rsidR="00CB66BC" w:rsidRPr="001B4277">
        <w:rPr>
          <w:rFonts w:ascii="Cambria" w:hAnsi="Cambria"/>
          <w:noProof w:val="0"/>
          <w:sz w:val="22"/>
          <w:szCs w:val="22"/>
          <w:lang w:val="en-US"/>
        </w:rPr>
        <w:t>). When the apartment building's useful life expires, the ownership period will terminate (unless it is extended) and demolition, reconstruction and urban embellishment will be carried out.</w:t>
      </w:r>
    </w:p>
    <w:p w14:paraId="0346778D" w14:textId="77777777" w:rsidR="00CB66BC" w:rsidRPr="001B4277" w:rsidRDefault="00CB66BC" w:rsidP="00CB66BC">
      <w:pPr>
        <w:pStyle w:val="ListParagraph"/>
        <w:rPr>
          <w:rFonts w:ascii="Cambria" w:hAnsi="Cambria"/>
          <w:noProof w:val="0"/>
          <w:sz w:val="22"/>
          <w:szCs w:val="22"/>
          <w:lang w:val="en-US"/>
        </w:rPr>
      </w:pPr>
    </w:p>
    <w:p w14:paraId="38ED7EED" w14:textId="77777777" w:rsidR="00303E0A" w:rsidRPr="001B4277" w:rsidRDefault="00CB66BC" w:rsidP="00E23942">
      <w:pPr>
        <w:pStyle w:val="ListParagraph"/>
        <w:numPr>
          <w:ilvl w:val="0"/>
          <w:numId w:val="10"/>
        </w:numPr>
        <w:jc w:val="both"/>
        <w:rPr>
          <w:rFonts w:ascii="Cambria" w:hAnsi="Cambria"/>
          <w:noProof w:val="0"/>
          <w:sz w:val="22"/>
          <w:szCs w:val="22"/>
          <w:lang w:val="en-US"/>
        </w:rPr>
      </w:pPr>
      <w:r w:rsidRPr="001B4277">
        <w:rPr>
          <w:rFonts w:ascii="Cambria" w:hAnsi="Cambria"/>
          <w:noProof w:val="0"/>
          <w:sz w:val="22"/>
          <w:szCs w:val="22"/>
          <w:lang w:val="en-US"/>
        </w:rPr>
        <w:t xml:space="preserve">The Ministry of Construction believes that investment in construction of apartment buildings is still a future trend in urban areas, especially in large urban areas, which require saving land. </w:t>
      </w:r>
    </w:p>
    <w:p w14:paraId="0A2B0D63" w14:textId="77777777" w:rsidR="00303E0A" w:rsidRPr="001B4277" w:rsidRDefault="00303E0A" w:rsidP="00303E0A">
      <w:pPr>
        <w:pStyle w:val="ListParagraph"/>
        <w:rPr>
          <w:rFonts w:ascii="Cambria" w:hAnsi="Cambria"/>
          <w:noProof w:val="0"/>
          <w:sz w:val="22"/>
          <w:szCs w:val="22"/>
          <w:lang w:val="en-US"/>
        </w:rPr>
      </w:pPr>
    </w:p>
    <w:p w14:paraId="64BEB584" w14:textId="0DD9179E" w:rsidR="00CB66BC" w:rsidRPr="001B4277" w:rsidRDefault="00303E0A" w:rsidP="00303E0A">
      <w:pPr>
        <w:ind w:left="720"/>
        <w:jc w:val="both"/>
        <w:rPr>
          <w:rFonts w:ascii="Cambria" w:hAnsi="Cambria"/>
          <w:noProof w:val="0"/>
          <w:sz w:val="22"/>
          <w:szCs w:val="22"/>
          <w:lang w:val="en-US"/>
        </w:rPr>
      </w:pPr>
      <w:r w:rsidRPr="001B4277">
        <w:rPr>
          <w:rFonts w:ascii="Cambria" w:hAnsi="Cambria"/>
          <w:noProof w:val="0"/>
          <w:sz w:val="22"/>
          <w:szCs w:val="22"/>
          <w:lang w:val="en-US"/>
        </w:rPr>
        <w:t xml:space="preserve">After being approved and </w:t>
      </w:r>
      <w:r w:rsidR="00B153E5" w:rsidRPr="001B4277">
        <w:rPr>
          <w:rFonts w:ascii="Cambria" w:hAnsi="Cambria"/>
          <w:noProof w:val="0"/>
          <w:sz w:val="22"/>
          <w:szCs w:val="22"/>
          <w:lang w:val="en-US"/>
        </w:rPr>
        <w:t xml:space="preserve">included in the Law-making Program by the National Assembly, the Ministry of Construction will draft the specific content to consult the experts, scientists and people. </w:t>
      </w:r>
      <w:r w:rsidR="00936A9B" w:rsidRPr="001B4277">
        <w:rPr>
          <w:rFonts w:ascii="Cambria" w:hAnsi="Cambria"/>
          <w:noProof w:val="0"/>
          <w:sz w:val="22"/>
          <w:szCs w:val="22"/>
          <w:lang w:val="en-US"/>
        </w:rPr>
        <w:t>The National Assembly will also consider, discuss carefully and assess the overall impacts of this policy before deciding.</w:t>
      </w:r>
    </w:p>
    <w:p w14:paraId="21A91738" w14:textId="6EEC858D" w:rsidR="00936A9B" w:rsidRPr="001B4277" w:rsidRDefault="00936A9B" w:rsidP="00303E0A">
      <w:pPr>
        <w:ind w:left="720"/>
        <w:jc w:val="both"/>
        <w:rPr>
          <w:rFonts w:ascii="Cambria" w:hAnsi="Cambria"/>
          <w:noProof w:val="0"/>
          <w:sz w:val="22"/>
          <w:szCs w:val="22"/>
          <w:lang w:val="en-US"/>
        </w:rPr>
      </w:pPr>
    </w:p>
    <w:p w14:paraId="02CC53A2" w14:textId="1B392002" w:rsidR="00936A9B" w:rsidRPr="001B4277" w:rsidRDefault="00936A9B" w:rsidP="00303E0A">
      <w:pPr>
        <w:ind w:left="720"/>
        <w:jc w:val="both"/>
        <w:rPr>
          <w:rFonts w:ascii="Cambria" w:hAnsi="Cambria"/>
          <w:noProof w:val="0"/>
          <w:sz w:val="22"/>
          <w:szCs w:val="22"/>
          <w:lang w:val="en-US"/>
        </w:rPr>
      </w:pPr>
      <w:r w:rsidRPr="001B4277">
        <w:rPr>
          <w:rFonts w:ascii="Cambria" w:hAnsi="Cambria"/>
          <w:b/>
          <w:bCs/>
          <w:noProof w:val="0"/>
          <w:sz w:val="22"/>
          <w:szCs w:val="22"/>
          <w:lang w:val="en-US"/>
        </w:rPr>
        <w:t>Option 2:</w:t>
      </w:r>
      <w:r w:rsidRPr="001B4277">
        <w:rPr>
          <w:rFonts w:ascii="Cambria" w:hAnsi="Cambria"/>
          <w:noProof w:val="0"/>
          <w:sz w:val="22"/>
          <w:szCs w:val="22"/>
          <w:lang w:val="en-US"/>
        </w:rPr>
        <w:t xml:space="preserve"> The Ministry of Construction proposes that the apartment building ownership term is determined according to the land use term in accordance with the law on land. According to the Department of Housing and Real Estate Market Management, there will be 2 situations: </w:t>
      </w:r>
    </w:p>
    <w:p w14:paraId="798DBC26" w14:textId="4D77EC53" w:rsidR="00936A9B" w:rsidRPr="001B4277" w:rsidRDefault="00936A9B" w:rsidP="00303E0A">
      <w:pPr>
        <w:ind w:left="720"/>
        <w:jc w:val="both"/>
        <w:rPr>
          <w:rFonts w:ascii="Cambria" w:hAnsi="Cambria"/>
          <w:noProof w:val="0"/>
          <w:sz w:val="22"/>
          <w:szCs w:val="22"/>
          <w:lang w:val="en-US"/>
        </w:rPr>
      </w:pPr>
    </w:p>
    <w:p w14:paraId="0CB202FF" w14:textId="6BBA7A2B" w:rsidR="00936A9B" w:rsidRPr="001B4277" w:rsidRDefault="006266AB" w:rsidP="00936A9B">
      <w:pPr>
        <w:pStyle w:val="ListParagraph"/>
        <w:numPr>
          <w:ilvl w:val="0"/>
          <w:numId w:val="11"/>
        </w:numPr>
        <w:jc w:val="both"/>
        <w:rPr>
          <w:rFonts w:ascii="Cambria" w:hAnsi="Cambria"/>
          <w:noProof w:val="0"/>
          <w:sz w:val="22"/>
          <w:szCs w:val="22"/>
          <w:lang w:val="en-US"/>
        </w:rPr>
      </w:pPr>
      <w:r w:rsidRPr="001B4277">
        <w:rPr>
          <w:rFonts w:ascii="Cambria" w:hAnsi="Cambria"/>
          <w:noProof w:val="0"/>
          <w:sz w:val="22"/>
          <w:szCs w:val="22"/>
          <w:lang w:val="en-US"/>
        </w:rPr>
        <w:t xml:space="preserve">The Law on Land (amended) </w:t>
      </w:r>
      <w:r w:rsidR="003B5889" w:rsidRPr="001B4277">
        <w:rPr>
          <w:rFonts w:ascii="Cambria" w:hAnsi="Cambria"/>
          <w:noProof w:val="0"/>
          <w:sz w:val="22"/>
          <w:szCs w:val="22"/>
          <w:lang w:val="en-US"/>
        </w:rPr>
        <w:t>remains</w:t>
      </w:r>
      <w:r w:rsidRPr="001B4277">
        <w:rPr>
          <w:rFonts w:ascii="Cambria" w:hAnsi="Cambria"/>
          <w:noProof w:val="0"/>
          <w:sz w:val="22"/>
          <w:szCs w:val="22"/>
          <w:lang w:val="en-US"/>
        </w:rPr>
        <w:t xml:space="preserve"> the regulations on long and stable land use term as the current law,</w:t>
      </w:r>
      <w:r w:rsidR="00C36D07" w:rsidRPr="001B4277">
        <w:rPr>
          <w:rFonts w:ascii="Cambria" w:hAnsi="Cambria"/>
          <w:noProof w:val="0"/>
          <w:sz w:val="22"/>
          <w:szCs w:val="22"/>
          <w:lang w:val="en-US"/>
        </w:rPr>
        <w:t xml:space="preserve"> the long-term apartment ownership will remain as the current Law on Housing. Therefore, </w:t>
      </w:r>
      <w:r w:rsidR="006E7104" w:rsidRPr="001B4277">
        <w:rPr>
          <w:rFonts w:ascii="Cambria" w:hAnsi="Cambria"/>
          <w:noProof w:val="0"/>
          <w:sz w:val="22"/>
          <w:szCs w:val="22"/>
          <w:lang w:val="en-US"/>
        </w:rPr>
        <w:t>the handling of old and expired apartment buildings will still have the same difficulties and problems current</w:t>
      </w:r>
      <w:r w:rsidR="003B5889" w:rsidRPr="001B4277">
        <w:rPr>
          <w:rFonts w:ascii="Cambria" w:hAnsi="Cambria"/>
          <w:noProof w:val="0"/>
          <w:sz w:val="22"/>
          <w:szCs w:val="22"/>
          <w:lang w:val="en-US"/>
        </w:rPr>
        <w:t>ly</w:t>
      </w:r>
      <w:r w:rsidR="006E7104" w:rsidRPr="001B4277">
        <w:rPr>
          <w:rFonts w:ascii="Cambria" w:hAnsi="Cambria"/>
          <w:noProof w:val="0"/>
          <w:sz w:val="22"/>
          <w:szCs w:val="22"/>
          <w:lang w:val="en-US"/>
        </w:rPr>
        <w:t xml:space="preserve">. </w:t>
      </w:r>
    </w:p>
    <w:p w14:paraId="6BEDAB2B" w14:textId="17CC9206" w:rsidR="003B5889" w:rsidRPr="001B4277" w:rsidRDefault="003B5889" w:rsidP="003B5889">
      <w:pPr>
        <w:pStyle w:val="ListParagraph"/>
        <w:ind w:left="1440"/>
        <w:jc w:val="both"/>
        <w:rPr>
          <w:rFonts w:ascii="Cambria" w:hAnsi="Cambria"/>
          <w:noProof w:val="0"/>
          <w:sz w:val="22"/>
          <w:szCs w:val="22"/>
          <w:lang w:val="en-US"/>
        </w:rPr>
      </w:pPr>
    </w:p>
    <w:p w14:paraId="1E0ABE55" w14:textId="61489186" w:rsidR="003B5889" w:rsidRPr="001B4277" w:rsidRDefault="003B5889" w:rsidP="003B5889">
      <w:pPr>
        <w:pStyle w:val="ListParagraph"/>
        <w:numPr>
          <w:ilvl w:val="0"/>
          <w:numId w:val="11"/>
        </w:numPr>
        <w:jc w:val="both"/>
        <w:rPr>
          <w:rFonts w:ascii="Cambria" w:hAnsi="Cambria"/>
          <w:noProof w:val="0"/>
          <w:sz w:val="22"/>
          <w:szCs w:val="22"/>
          <w:lang w:val="en-US"/>
        </w:rPr>
      </w:pPr>
      <w:r w:rsidRPr="001B4277">
        <w:rPr>
          <w:rFonts w:ascii="Cambria" w:hAnsi="Cambria"/>
          <w:noProof w:val="0"/>
          <w:sz w:val="22"/>
          <w:szCs w:val="22"/>
          <w:lang w:val="en-US"/>
        </w:rPr>
        <w:t xml:space="preserve">The Law on Land (amended) stipulates the term of land use for the construction of apartment buildings, the term of ownership of the apartment building will also be determined according to the land use term. </w:t>
      </w:r>
      <w:r w:rsidR="00747928" w:rsidRPr="001B4277">
        <w:rPr>
          <w:rFonts w:ascii="Cambria" w:hAnsi="Cambria"/>
          <w:noProof w:val="0"/>
          <w:sz w:val="22"/>
          <w:szCs w:val="22"/>
          <w:lang w:val="en-US"/>
        </w:rPr>
        <w:t xml:space="preserve">When the land use term is expired, the Government will base on the provisions in the Law on Land (amended) to handle apartment buildings that </w:t>
      </w:r>
      <w:r w:rsidR="00985626" w:rsidRPr="001B4277">
        <w:rPr>
          <w:rFonts w:ascii="Cambria" w:hAnsi="Cambria"/>
          <w:noProof w:val="0"/>
          <w:sz w:val="22"/>
          <w:szCs w:val="22"/>
          <w:lang w:val="en-US"/>
        </w:rPr>
        <w:t>have expired or no longer ensures the quality.</w:t>
      </w:r>
    </w:p>
    <w:p w14:paraId="6858DBDE" w14:textId="33F7BDD3" w:rsidR="00C36D07" w:rsidRPr="001B4277" w:rsidRDefault="00C36D07" w:rsidP="00C36D07">
      <w:pPr>
        <w:pStyle w:val="ListParagraph"/>
        <w:ind w:left="1440"/>
        <w:jc w:val="both"/>
        <w:rPr>
          <w:rFonts w:ascii="Cambria" w:hAnsi="Cambria"/>
          <w:noProof w:val="0"/>
          <w:sz w:val="22"/>
          <w:szCs w:val="22"/>
          <w:lang w:val="en-US"/>
        </w:rPr>
      </w:pPr>
    </w:p>
    <w:p w14:paraId="423A09E4" w14:textId="078DCD6B" w:rsidR="00C36D07" w:rsidRPr="001B4277" w:rsidRDefault="00985626" w:rsidP="00985626">
      <w:pPr>
        <w:ind w:left="720"/>
        <w:jc w:val="both"/>
        <w:rPr>
          <w:rFonts w:ascii="Cambria" w:hAnsi="Cambria"/>
          <w:noProof w:val="0"/>
          <w:sz w:val="22"/>
          <w:szCs w:val="22"/>
          <w:lang w:val="en-US"/>
        </w:rPr>
      </w:pPr>
      <w:r w:rsidRPr="001B4277">
        <w:rPr>
          <w:rFonts w:ascii="Cambria" w:hAnsi="Cambria"/>
          <w:noProof w:val="0"/>
          <w:sz w:val="22"/>
          <w:szCs w:val="22"/>
          <w:lang w:val="en-US"/>
        </w:rPr>
        <w:t>According to the Department of Housing and Real Estate Market Management (Ministry of Construction), the proposals to stipulate the term of apartment ownership start from the actual basis of difficulties and problems in the implementation of the current policy of renovation and reconstruction of apartment buildings.</w:t>
      </w:r>
    </w:p>
    <w:p w14:paraId="660E3D83" w14:textId="4B5ABAE8" w:rsidR="00985626" w:rsidRPr="001B4277" w:rsidRDefault="00985626" w:rsidP="00985626">
      <w:pPr>
        <w:ind w:left="720"/>
        <w:jc w:val="both"/>
        <w:rPr>
          <w:rFonts w:ascii="Cambria" w:hAnsi="Cambria"/>
          <w:noProof w:val="0"/>
          <w:sz w:val="22"/>
          <w:szCs w:val="22"/>
          <w:lang w:val="en-US"/>
        </w:rPr>
      </w:pPr>
    </w:p>
    <w:p w14:paraId="0761B8EE" w14:textId="47C9B5B5" w:rsidR="002C15B4" w:rsidRPr="001B4277" w:rsidRDefault="002749C1" w:rsidP="002749C1">
      <w:pPr>
        <w:spacing w:line="252" w:lineRule="auto"/>
        <w:ind w:left="720"/>
        <w:jc w:val="both"/>
        <w:rPr>
          <w:rFonts w:ascii="Cambria" w:hAnsi="Cambria"/>
          <w:noProof w:val="0"/>
          <w:sz w:val="22"/>
          <w:szCs w:val="22"/>
          <w:lang w:val="en-US"/>
        </w:rPr>
      </w:pPr>
      <w:r w:rsidRPr="001B4277">
        <w:rPr>
          <w:rFonts w:ascii="Cambria" w:hAnsi="Cambria"/>
          <w:noProof w:val="0"/>
          <w:sz w:val="22"/>
          <w:szCs w:val="22"/>
          <w:lang w:val="en-US"/>
        </w:rPr>
        <w:t xml:space="preserve">The news related to the term of apartment ownership is still receiving a lot of public attention at the moment. </w:t>
      </w:r>
    </w:p>
    <w:p w14:paraId="204CBB45" w14:textId="553D7B41" w:rsidR="002749C1" w:rsidRDefault="002749C1" w:rsidP="002749C1">
      <w:pPr>
        <w:spacing w:line="252" w:lineRule="auto"/>
        <w:ind w:left="720"/>
        <w:jc w:val="both"/>
        <w:rPr>
          <w:rFonts w:ascii="Cambria" w:hAnsi="Cambria"/>
          <w:noProof w:val="0"/>
          <w:sz w:val="22"/>
          <w:szCs w:val="22"/>
          <w:lang w:val="en-US"/>
        </w:rPr>
      </w:pPr>
    </w:p>
    <w:p w14:paraId="32AE4302" w14:textId="77777777" w:rsidR="001B4277" w:rsidRPr="001B4277" w:rsidRDefault="001B4277" w:rsidP="002749C1">
      <w:pPr>
        <w:spacing w:line="252" w:lineRule="auto"/>
        <w:ind w:left="720"/>
        <w:jc w:val="both"/>
        <w:rPr>
          <w:rFonts w:ascii="Cambria" w:hAnsi="Cambria"/>
          <w:noProof w:val="0"/>
          <w:sz w:val="22"/>
          <w:szCs w:val="22"/>
          <w:lang w:val="en-US"/>
        </w:rPr>
      </w:pPr>
    </w:p>
    <w:p w14:paraId="7D2691DE" w14:textId="624D67C2" w:rsidR="00404F64" w:rsidRPr="001B4277" w:rsidRDefault="00CA26FA" w:rsidP="00404F64">
      <w:pPr>
        <w:pStyle w:val="ListParagraph"/>
        <w:numPr>
          <w:ilvl w:val="0"/>
          <w:numId w:val="1"/>
        </w:numPr>
        <w:ind w:hanging="720"/>
        <w:jc w:val="both"/>
        <w:rPr>
          <w:rFonts w:ascii="Cambria" w:hAnsi="Cambria"/>
          <w:b/>
          <w:noProof w:val="0"/>
          <w:sz w:val="22"/>
          <w:szCs w:val="22"/>
          <w:lang w:val="en-US"/>
        </w:rPr>
      </w:pPr>
      <w:r w:rsidRPr="001B4277">
        <w:rPr>
          <w:rFonts w:ascii="Cambria" w:hAnsi="Cambria"/>
          <w:b/>
          <w:noProof w:val="0"/>
          <w:sz w:val="22"/>
          <w:szCs w:val="22"/>
          <w:lang w:val="en-US"/>
        </w:rPr>
        <w:lastRenderedPageBreak/>
        <w:t>Consider reducing fees and charges due to increased fuel prices</w:t>
      </w:r>
    </w:p>
    <w:p w14:paraId="2AC46B72" w14:textId="78342B05" w:rsidR="00404F64" w:rsidRPr="001B4277" w:rsidRDefault="00404F64" w:rsidP="00CA26FA">
      <w:pPr>
        <w:ind w:left="720"/>
        <w:jc w:val="both"/>
        <w:rPr>
          <w:rFonts w:ascii="Cambria" w:hAnsi="Cambria"/>
          <w:noProof w:val="0"/>
          <w:sz w:val="22"/>
          <w:szCs w:val="22"/>
          <w:lang w:val="en-US"/>
        </w:rPr>
      </w:pPr>
    </w:p>
    <w:p w14:paraId="0463628B" w14:textId="66D525B4" w:rsidR="00CA26FA" w:rsidRPr="001B4277" w:rsidRDefault="00CA26FA" w:rsidP="00CA26FA">
      <w:pPr>
        <w:ind w:left="720"/>
        <w:jc w:val="both"/>
        <w:rPr>
          <w:rFonts w:ascii="Cambria" w:hAnsi="Cambria"/>
          <w:noProof w:val="0"/>
          <w:sz w:val="22"/>
          <w:szCs w:val="22"/>
          <w:lang w:val="en-US"/>
        </w:rPr>
      </w:pPr>
      <w:r w:rsidRPr="001B4277">
        <w:rPr>
          <w:rFonts w:ascii="Cambria" w:hAnsi="Cambria"/>
          <w:noProof w:val="0"/>
          <w:sz w:val="22"/>
          <w:szCs w:val="22"/>
          <w:lang w:val="en-US"/>
        </w:rPr>
        <w:t xml:space="preserve">The Ministry of Transport has received the The Ministry of Transport has received an official letter from the Ministry of Finance on the reduction of taxes, fees and charges in the field of transportation. </w:t>
      </w:r>
      <w:r w:rsidR="00985A58" w:rsidRPr="001B4277">
        <w:rPr>
          <w:rFonts w:ascii="Cambria" w:hAnsi="Cambria"/>
          <w:noProof w:val="0"/>
          <w:sz w:val="22"/>
          <w:szCs w:val="22"/>
          <w:lang w:val="en-US"/>
        </w:rPr>
        <w:t xml:space="preserve">Accordingly, the Ministry of Transport has just sent a written request to the Departments: Vietnam Railways, Vietnam Maritime Administration and Vietnam Inland Waterways to grasp the official letter of the Ministry of Finance and propose </w:t>
      </w:r>
      <w:r w:rsidR="00FA07FA" w:rsidRPr="001B4277">
        <w:rPr>
          <w:rFonts w:ascii="Cambria" w:hAnsi="Cambria"/>
          <w:noProof w:val="0"/>
          <w:sz w:val="22"/>
          <w:szCs w:val="22"/>
          <w:lang w:val="en-US"/>
        </w:rPr>
        <w:t>to reduce fees and charges in the fields under their management due to the impact of increased fuel prices.</w:t>
      </w:r>
    </w:p>
    <w:p w14:paraId="1A1449A1" w14:textId="175953CC" w:rsidR="00FA07FA" w:rsidRPr="001B4277" w:rsidRDefault="00FA07FA" w:rsidP="00CA26FA">
      <w:pPr>
        <w:ind w:left="720"/>
        <w:jc w:val="both"/>
        <w:rPr>
          <w:rFonts w:ascii="Cambria" w:hAnsi="Cambria"/>
          <w:noProof w:val="0"/>
          <w:sz w:val="22"/>
          <w:szCs w:val="22"/>
          <w:lang w:val="en-US"/>
        </w:rPr>
      </w:pPr>
    </w:p>
    <w:p w14:paraId="1C89458D" w14:textId="573ACEAB" w:rsidR="001A7F71" w:rsidRPr="001B4277" w:rsidRDefault="00FA07FA" w:rsidP="00CA26FA">
      <w:pPr>
        <w:ind w:left="720"/>
        <w:jc w:val="both"/>
        <w:rPr>
          <w:noProof w:val="0"/>
          <w:lang w:val="en-US"/>
        </w:rPr>
      </w:pPr>
      <w:r w:rsidRPr="001B4277">
        <w:rPr>
          <w:rFonts w:ascii="Cambria" w:hAnsi="Cambria"/>
          <w:noProof w:val="0"/>
          <w:sz w:val="22"/>
          <w:szCs w:val="22"/>
          <w:lang w:val="en-US"/>
        </w:rPr>
        <w:t xml:space="preserve">Previously, the Ministry of Finance issued an official letter on consideration and decision on the policy of exemption and reduction of fees for using railway infrastructure; fees for entry and exit of water ports and inland waterway ports; </w:t>
      </w:r>
      <w:r w:rsidR="00420184" w:rsidRPr="001B4277">
        <w:rPr>
          <w:rFonts w:ascii="Cambria" w:hAnsi="Cambria"/>
          <w:noProof w:val="0"/>
          <w:sz w:val="22"/>
          <w:szCs w:val="22"/>
          <w:lang w:val="en-US"/>
        </w:rPr>
        <w:t xml:space="preserve">propose to continue reducing VAT for transportation services; </w:t>
      </w:r>
      <w:r w:rsidR="001A7F71" w:rsidRPr="001B4277">
        <w:rPr>
          <w:rFonts w:ascii="Cambria" w:hAnsi="Cambria"/>
          <w:noProof w:val="0"/>
          <w:sz w:val="22"/>
          <w:szCs w:val="22"/>
          <w:lang w:val="en-US"/>
        </w:rPr>
        <w:t>reduce corporate income tax under the direction of the Prime Minister. Currently, fees and charges such as: Fees for using railway infrastructure; Fees for entry and exit from ports and inland waterway ports are being implemented in accordance with the promulgated regulations of law.</w:t>
      </w:r>
      <w:r w:rsidR="001A7F71" w:rsidRPr="001B4277">
        <w:rPr>
          <w:noProof w:val="0"/>
          <w:lang w:val="en-US"/>
        </w:rPr>
        <w:t xml:space="preserve"> </w:t>
      </w:r>
    </w:p>
    <w:p w14:paraId="35FDFD12" w14:textId="77777777" w:rsidR="001A7F71" w:rsidRPr="001B4277" w:rsidRDefault="001A7F71" w:rsidP="00CA26FA">
      <w:pPr>
        <w:ind w:left="720"/>
        <w:jc w:val="both"/>
        <w:rPr>
          <w:noProof w:val="0"/>
          <w:lang w:val="en-US"/>
        </w:rPr>
      </w:pPr>
    </w:p>
    <w:p w14:paraId="58F07653" w14:textId="13A855C2" w:rsidR="00FA07FA" w:rsidRPr="001B4277" w:rsidRDefault="001A7F71" w:rsidP="00CA26FA">
      <w:pPr>
        <w:ind w:left="720"/>
        <w:jc w:val="both"/>
        <w:rPr>
          <w:rFonts w:ascii="Cambria" w:hAnsi="Cambria"/>
          <w:noProof w:val="0"/>
          <w:sz w:val="22"/>
          <w:szCs w:val="22"/>
          <w:lang w:val="en-US"/>
        </w:rPr>
      </w:pPr>
      <w:r w:rsidRPr="001B4277">
        <w:rPr>
          <w:rFonts w:ascii="Cambria" w:hAnsi="Cambria"/>
          <w:noProof w:val="0"/>
          <w:sz w:val="22"/>
          <w:szCs w:val="22"/>
          <w:lang w:val="en-US"/>
        </w:rPr>
        <w:t xml:space="preserve">In which, the fee for using railway infrastructure is regulated to be reduced by 50% (reducing the fee from 8% to 4% of railway transport business revenue) from February 8, 2021 to the end of June 2022 in order to reduce difficulties for </w:t>
      </w:r>
      <w:r w:rsidR="00E216E3" w:rsidRPr="001B4277">
        <w:rPr>
          <w:rFonts w:ascii="Cambria" w:hAnsi="Cambria"/>
          <w:noProof w:val="0"/>
          <w:sz w:val="22"/>
          <w:szCs w:val="22"/>
          <w:lang w:val="en-US"/>
        </w:rPr>
        <w:t>subjects</w:t>
      </w:r>
      <w:r w:rsidRPr="001B4277">
        <w:rPr>
          <w:rFonts w:ascii="Cambria" w:hAnsi="Cambria"/>
          <w:noProof w:val="0"/>
          <w:sz w:val="22"/>
          <w:szCs w:val="22"/>
          <w:lang w:val="en-US"/>
        </w:rPr>
        <w:t xml:space="preserve"> affected by COVID-19.</w:t>
      </w:r>
    </w:p>
    <w:p w14:paraId="3BEE9E1D" w14:textId="4C347F93" w:rsidR="00E216E3" w:rsidRPr="001B4277" w:rsidRDefault="00E216E3" w:rsidP="00CA26FA">
      <w:pPr>
        <w:ind w:left="720"/>
        <w:jc w:val="both"/>
        <w:rPr>
          <w:rFonts w:ascii="Cambria" w:hAnsi="Cambria"/>
          <w:noProof w:val="0"/>
          <w:sz w:val="22"/>
          <w:szCs w:val="22"/>
          <w:lang w:val="en-US"/>
        </w:rPr>
      </w:pPr>
    </w:p>
    <w:p w14:paraId="7B35723F" w14:textId="3881C717" w:rsidR="00CA26FA" w:rsidRPr="001B4277" w:rsidRDefault="00E216E3" w:rsidP="00CA26FA">
      <w:pPr>
        <w:ind w:left="720"/>
        <w:jc w:val="both"/>
        <w:rPr>
          <w:rFonts w:ascii="Cambria" w:hAnsi="Cambria"/>
          <w:noProof w:val="0"/>
          <w:sz w:val="22"/>
          <w:szCs w:val="22"/>
          <w:lang w:val="en-US"/>
        </w:rPr>
      </w:pPr>
      <w:r w:rsidRPr="001B4277">
        <w:rPr>
          <w:rFonts w:ascii="Cambria" w:hAnsi="Cambria"/>
          <w:noProof w:val="0"/>
          <w:sz w:val="22"/>
          <w:szCs w:val="22"/>
          <w:lang w:val="en-US"/>
        </w:rPr>
        <w:t xml:space="preserve">The charges </w:t>
      </w:r>
      <w:r w:rsidR="00612AA8" w:rsidRPr="001B4277">
        <w:rPr>
          <w:rFonts w:ascii="Cambria" w:hAnsi="Cambria"/>
          <w:noProof w:val="0"/>
          <w:sz w:val="22"/>
          <w:szCs w:val="22"/>
          <w:lang w:val="en-US"/>
        </w:rPr>
        <w:t>for entry and exit from the port are from 5-50 USD/time depending on the vessel's capacity. The fee for entering and leaving inland waterway ports is from 5,000 to 50,000 VND/trip according to the tonnage of cargo vehicles/tugboats.</w:t>
      </w:r>
    </w:p>
    <w:p w14:paraId="65BF96D1" w14:textId="0209CB7D" w:rsidR="00612AA8" w:rsidRPr="001B4277" w:rsidRDefault="00612AA8" w:rsidP="00CA26FA">
      <w:pPr>
        <w:ind w:left="720"/>
        <w:jc w:val="both"/>
        <w:rPr>
          <w:rFonts w:ascii="Cambria" w:hAnsi="Cambria"/>
          <w:noProof w:val="0"/>
          <w:sz w:val="22"/>
          <w:szCs w:val="22"/>
          <w:lang w:val="en-US"/>
        </w:rPr>
      </w:pPr>
    </w:p>
    <w:p w14:paraId="4CD01BAE" w14:textId="738ADBA1" w:rsidR="00612AA8" w:rsidRPr="001B4277" w:rsidRDefault="00612AA8" w:rsidP="00CA26FA">
      <w:pPr>
        <w:ind w:left="720"/>
        <w:jc w:val="both"/>
        <w:rPr>
          <w:rFonts w:ascii="Cambria" w:hAnsi="Cambria"/>
          <w:noProof w:val="0"/>
          <w:sz w:val="22"/>
          <w:szCs w:val="22"/>
          <w:lang w:val="en-US"/>
        </w:rPr>
      </w:pPr>
      <w:r w:rsidRPr="001B4277">
        <w:rPr>
          <w:rFonts w:ascii="Cambria" w:hAnsi="Cambria"/>
          <w:noProof w:val="0"/>
          <w:sz w:val="22"/>
          <w:szCs w:val="22"/>
          <w:lang w:val="en-US"/>
        </w:rPr>
        <w:t xml:space="preserve">These fees and charges make up a small proportion of the transportation cost. During the implementation process, the Ministry of Finance did not receive any feedback on problems related to the payment of these fees and charges. </w:t>
      </w:r>
    </w:p>
    <w:p w14:paraId="3118AA4C" w14:textId="1A49F45D" w:rsidR="00612AA8" w:rsidRPr="001B4277" w:rsidRDefault="00612AA8" w:rsidP="00CA26FA">
      <w:pPr>
        <w:ind w:left="720"/>
        <w:jc w:val="both"/>
        <w:rPr>
          <w:rFonts w:ascii="Cambria" w:hAnsi="Cambria"/>
          <w:noProof w:val="0"/>
          <w:sz w:val="22"/>
          <w:szCs w:val="22"/>
          <w:lang w:val="en-US"/>
        </w:rPr>
      </w:pPr>
    </w:p>
    <w:p w14:paraId="22304397" w14:textId="4E927AFB" w:rsidR="00612AA8" w:rsidRPr="001B4277" w:rsidRDefault="001B4277" w:rsidP="00CA26FA">
      <w:pPr>
        <w:ind w:left="720"/>
        <w:jc w:val="both"/>
        <w:rPr>
          <w:rFonts w:ascii="Cambria" w:hAnsi="Cambria"/>
          <w:noProof w:val="0"/>
          <w:sz w:val="22"/>
          <w:szCs w:val="22"/>
          <w:lang w:val="en-US"/>
        </w:rPr>
      </w:pPr>
      <w:r>
        <w:rPr>
          <w:rFonts w:ascii="Cambria" w:hAnsi="Cambria"/>
          <w:noProof w:val="0"/>
          <w:sz w:val="22"/>
          <w:szCs w:val="22"/>
          <w:lang w:val="en-US"/>
        </w:rPr>
        <w:t>T</w:t>
      </w:r>
      <w:bookmarkStart w:id="0" w:name="_GoBack"/>
      <w:bookmarkEnd w:id="0"/>
      <w:r w:rsidR="009D2B7D" w:rsidRPr="001B4277">
        <w:rPr>
          <w:rFonts w:ascii="Cambria" w:hAnsi="Cambria"/>
          <w:noProof w:val="0"/>
          <w:sz w:val="22"/>
          <w:szCs w:val="22"/>
          <w:lang w:val="en-US"/>
        </w:rPr>
        <w:t xml:space="preserve">herefore, the Ministry of Finance proposes the Ministry of Transport to urgently assess the impact of the reduction of fees and charges on the payers of fees and charges to the State budget, from which, propose a reduction in the amount of each item, send to the Ministry of Finance to consider, issue the Circular in accordance with the competence and order of law. </w:t>
      </w:r>
    </w:p>
    <w:p w14:paraId="18D7D4E8" w14:textId="77777777" w:rsidR="009D2B7D" w:rsidRPr="001B4277" w:rsidRDefault="009D2B7D" w:rsidP="00CA26FA">
      <w:pPr>
        <w:ind w:left="720"/>
        <w:jc w:val="both"/>
        <w:rPr>
          <w:rFonts w:ascii="Cambria" w:hAnsi="Cambria"/>
          <w:noProof w:val="0"/>
          <w:sz w:val="22"/>
          <w:szCs w:val="22"/>
          <w:lang w:val="en-US"/>
        </w:rPr>
      </w:pPr>
    </w:p>
    <w:p w14:paraId="4C5ACF74" w14:textId="2FEF2F13" w:rsidR="00404F64" w:rsidRPr="001B4277" w:rsidRDefault="00837B53" w:rsidP="007F6ED0">
      <w:pPr>
        <w:pStyle w:val="ListParagraph"/>
        <w:numPr>
          <w:ilvl w:val="0"/>
          <w:numId w:val="1"/>
        </w:numPr>
        <w:jc w:val="both"/>
        <w:rPr>
          <w:rFonts w:ascii="Cambria" w:hAnsi="Cambria"/>
          <w:b/>
          <w:noProof w:val="0"/>
          <w:sz w:val="22"/>
          <w:szCs w:val="22"/>
          <w:lang w:val="en-US"/>
        </w:rPr>
      </w:pPr>
      <w:r w:rsidRPr="001B4277">
        <w:rPr>
          <w:rFonts w:ascii="Cambria" w:hAnsi="Cambria"/>
          <w:b/>
          <w:noProof w:val="0"/>
          <w:sz w:val="22"/>
          <w:szCs w:val="22"/>
          <w:lang w:val="en-US"/>
        </w:rPr>
        <w:t>Maternal leave, sickness are still supported with rent</w:t>
      </w:r>
      <w:r w:rsidR="00711E19" w:rsidRPr="001B4277">
        <w:rPr>
          <w:rFonts w:ascii="Cambria" w:hAnsi="Cambria"/>
          <w:b/>
          <w:noProof w:val="0"/>
          <w:sz w:val="22"/>
          <w:szCs w:val="22"/>
          <w:lang w:val="en-US"/>
        </w:rPr>
        <w:t xml:space="preserve"> </w:t>
      </w:r>
    </w:p>
    <w:p w14:paraId="52D56337" w14:textId="77777777" w:rsidR="00404F64" w:rsidRPr="001B4277" w:rsidRDefault="00404F64" w:rsidP="00404F64">
      <w:pPr>
        <w:pStyle w:val="ListParagraph"/>
        <w:jc w:val="both"/>
        <w:rPr>
          <w:rFonts w:ascii="Cambria" w:hAnsi="Cambria"/>
          <w:noProof w:val="0"/>
          <w:sz w:val="22"/>
          <w:szCs w:val="22"/>
          <w:lang w:val="en-US"/>
        </w:rPr>
      </w:pPr>
    </w:p>
    <w:p w14:paraId="1AAE922C" w14:textId="16CA79B4" w:rsidR="009F0B62" w:rsidRPr="001B4277" w:rsidRDefault="00837B53" w:rsidP="00837B53">
      <w:pPr>
        <w:ind w:left="720"/>
        <w:jc w:val="both"/>
        <w:rPr>
          <w:rFonts w:ascii="Cambria" w:hAnsi="Cambria"/>
          <w:noProof w:val="0"/>
          <w:sz w:val="22"/>
          <w:szCs w:val="22"/>
          <w:lang w:val="en-US"/>
        </w:rPr>
      </w:pPr>
      <w:r w:rsidRPr="001B4277">
        <w:rPr>
          <w:rFonts w:ascii="Cambria" w:hAnsi="Cambria"/>
          <w:noProof w:val="0"/>
          <w:sz w:val="22"/>
          <w:szCs w:val="22"/>
          <w:lang w:val="en-US"/>
        </w:rPr>
        <w:t>This issue is guided in Official Letter 410/CVL-TTLD dated June 8, 2022 of the Department of Employment on the implementation of the policy of housing rent support for employees under Decision 08/2022/QD-TTg of the Prime Minister.</w:t>
      </w:r>
      <w:r w:rsidR="00B43BF6" w:rsidRPr="001B4277">
        <w:rPr>
          <w:rFonts w:ascii="Cambria" w:hAnsi="Cambria"/>
          <w:noProof w:val="0"/>
          <w:sz w:val="22"/>
          <w:szCs w:val="22"/>
          <w:lang w:val="en-US"/>
        </w:rPr>
        <w:t xml:space="preserve"> The highlights of this content are as follow: </w:t>
      </w:r>
    </w:p>
    <w:p w14:paraId="01E3208E" w14:textId="01649166" w:rsidR="00837B53" w:rsidRPr="001B4277" w:rsidRDefault="00837B53" w:rsidP="00837B53">
      <w:pPr>
        <w:ind w:left="720"/>
        <w:jc w:val="both"/>
        <w:rPr>
          <w:rFonts w:ascii="Cambria" w:hAnsi="Cambria"/>
          <w:noProof w:val="0"/>
          <w:sz w:val="22"/>
          <w:szCs w:val="22"/>
          <w:lang w:val="en-US"/>
        </w:rPr>
      </w:pPr>
    </w:p>
    <w:p w14:paraId="0A2AB72C" w14:textId="6CE8C03A" w:rsidR="00837B53" w:rsidRPr="001B4277" w:rsidRDefault="00B43BF6" w:rsidP="00837B53">
      <w:pPr>
        <w:ind w:left="720"/>
        <w:jc w:val="both"/>
        <w:rPr>
          <w:rFonts w:ascii="Cambria" w:hAnsi="Cambria"/>
          <w:noProof w:val="0"/>
          <w:sz w:val="22"/>
          <w:szCs w:val="22"/>
          <w:lang w:val="en-US"/>
        </w:rPr>
      </w:pPr>
      <w:r w:rsidRPr="001B4277">
        <w:rPr>
          <w:rFonts w:ascii="Cambria" w:hAnsi="Cambria"/>
          <w:noProof w:val="0"/>
          <w:sz w:val="22"/>
          <w:szCs w:val="22"/>
          <w:lang w:val="en-US"/>
        </w:rPr>
        <w:t>The supported subjects according to the provisions of Section 1 of Official Letter 410/CVL-TTLD:</w:t>
      </w:r>
    </w:p>
    <w:p w14:paraId="20993864" w14:textId="31150DB9" w:rsidR="00B43BF6" w:rsidRPr="001B4277" w:rsidRDefault="00B43BF6" w:rsidP="00837B53">
      <w:pPr>
        <w:ind w:left="720"/>
        <w:jc w:val="both"/>
        <w:rPr>
          <w:rFonts w:ascii="Cambria" w:hAnsi="Cambria"/>
          <w:noProof w:val="0"/>
          <w:sz w:val="22"/>
          <w:szCs w:val="22"/>
          <w:lang w:val="en-US"/>
        </w:rPr>
      </w:pPr>
    </w:p>
    <w:p w14:paraId="0FBC514B" w14:textId="048438CC" w:rsidR="00B43BF6" w:rsidRPr="001B4277" w:rsidRDefault="00B43BF6" w:rsidP="00B43BF6">
      <w:pPr>
        <w:pStyle w:val="ListParagraph"/>
        <w:numPr>
          <w:ilvl w:val="0"/>
          <w:numId w:val="12"/>
        </w:numPr>
        <w:jc w:val="both"/>
        <w:rPr>
          <w:rFonts w:ascii="Cambria" w:hAnsi="Cambria"/>
          <w:noProof w:val="0"/>
          <w:sz w:val="22"/>
          <w:szCs w:val="22"/>
          <w:lang w:val="en-US"/>
        </w:rPr>
      </w:pPr>
      <w:r w:rsidRPr="001B4277">
        <w:rPr>
          <w:rFonts w:ascii="Cambria" w:hAnsi="Cambria"/>
          <w:noProof w:val="0"/>
          <w:sz w:val="22"/>
          <w:szCs w:val="22"/>
          <w:lang w:val="en-US"/>
        </w:rPr>
        <w:t>Employees who have labor relation</w:t>
      </w:r>
      <w:r w:rsidR="00C9789C" w:rsidRPr="001B4277">
        <w:rPr>
          <w:rFonts w:ascii="Cambria" w:hAnsi="Cambria"/>
          <w:noProof w:val="0"/>
          <w:sz w:val="22"/>
          <w:szCs w:val="22"/>
          <w:lang w:val="en-US"/>
        </w:rPr>
        <w:t>, are renting, staying in accommodation, working in enterprises, cooperatives, business households with business registration are eligible for support of Decision No. 08/2022/QD- TTg.</w:t>
      </w:r>
    </w:p>
    <w:p w14:paraId="5F83A467" w14:textId="5846E965" w:rsidR="00C9789C" w:rsidRPr="001B4277" w:rsidRDefault="00C9789C" w:rsidP="00C9789C">
      <w:pPr>
        <w:pStyle w:val="ListParagraph"/>
        <w:ind w:left="1440"/>
        <w:jc w:val="both"/>
        <w:rPr>
          <w:rFonts w:ascii="Cambria" w:hAnsi="Cambria"/>
          <w:noProof w:val="0"/>
          <w:sz w:val="22"/>
          <w:szCs w:val="22"/>
          <w:lang w:val="en-US"/>
        </w:rPr>
      </w:pPr>
    </w:p>
    <w:p w14:paraId="3374A9B3" w14:textId="5282B181" w:rsidR="00C9789C" w:rsidRPr="001B4277" w:rsidRDefault="00C9789C" w:rsidP="00C9789C">
      <w:pPr>
        <w:pStyle w:val="ListParagraph"/>
        <w:numPr>
          <w:ilvl w:val="0"/>
          <w:numId w:val="12"/>
        </w:numPr>
        <w:jc w:val="both"/>
        <w:rPr>
          <w:rFonts w:ascii="Cambria" w:hAnsi="Cambria"/>
          <w:noProof w:val="0"/>
          <w:sz w:val="22"/>
          <w:szCs w:val="22"/>
          <w:lang w:val="en-US"/>
        </w:rPr>
      </w:pPr>
      <w:r w:rsidRPr="001B4277">
        <w:rPr>
          <w:rFonts w:ascii="Cambria" w:hAnsi="Cambria"/>
          <w:noProof w:val="0"/>
          <w:sz w:val="22"/>
          <w:szCs w:val="22"/>
          <w:lang w:val="en-US"/>
        </w:rPr>
        <w:lastRenderedPageBreak/>
        <w:t>Employees who leave work with maternity allowance, employees who leave work with sickness regime are eligible for rent policy support if they satisfy all conditions according to Decision No. 08/2022/QD-TTg.</w:t>
      </w:r>
    </w:p>
    <w:p w14:paraId="11EDAEF2" w14:textId="77777777" w:rsidR="003A4D25" w:rsidRPr="001B4277" w:rsidRDefault="003A4D25" w:rsidP="003A4D25">
      <w:pPr>
        <w:pStyle w:val="ListParagraph"/>
        <w:rPr>
          <w:rFonts w:ascii="Cambria" w:hAnsi="Cambria"/>
          <w:noProof w:val="0"/>
          <w:sz w:val="22"/>
          <w:szCs w:val="22"/>
          <w:lang w:val="en-US"/>
        </w:rPr>
      </w:pPr>
    </w:p>
    <w:p w14:paraId="7AE08225" w14:textId="2241CA32" w:rsidR="003A4D25" w:rsidRPr="001B4277" w:rsidRDefault="003A4D25" w:rsidP="00C9789C">
      <w:pPr>
        <w:pStyle w:val="ListParagraph"/>
        <w:numPr>
          <w:ilvl w:val="0"/>
          <w:numId w:val="12"/>
        </w:numPr>
        <w:jc w:val="both"/>
        <w:rPr>
          <w:rFonts w:ascii="Cambria" w:hAnsi="Cambria"/>
          <w:noProof w:val="0"/>
          <w:sz w:val="22"/>
          <w:szCs w:val="22"/>
          <w:lang w:val="en-US"/>
        </w:rPr>
      </w:pPr>
      <w:r w:rsidRPr="001B4277">
        <w:rPr>
          <w:rFonts w:ascii="Cambria" w:hAnsi="Cambria"/>
          <w:noProof w:val="0"/>
          <w:sz w:val="22"/>
          <w:szCs w:val="22"/>
          <w:lang w:val="en-US"/>
        </w:rPr>
        <w:t>Regardless of Vietnamese or foreigners.</w:t>
      </w:r>
    </w:p>
    <w:p w14:paraId="20A45411" w14:textId="77777777" w:rsidR="003A4D25" w:rsidRPr="001B4277" w:rsidRDefault="003A4D25" w:rsidP="003A4D25">
      <w:pPr>
        <w:pStyle w:val="ListParagraph"/>
        <w:rPr>
          <w:rFonts w:ascii="Cambria" w:hAnsi="Cambria"/>
          <w:noProof w:val="0"/>
          <w:sz w:val="22"/>
          <w:szCs w:val="22"/>
          <w:lang w:val="en-US"/>
        </w:rPr>
      </w:pPr>
    </w:p>
    <w:p w14:paraId="50F6A1A7" w14:textId="5CA220C6" w:rsidR="003A4D25" w:rsidRPr="001B4277" w:rsidRDefault="003A4D25" w:rsidP="003A4D25">
      <w:pPr>
        <w:ind w:left="720"/>
        <w:jc w:val="both"/>
        <w:rPr>
          <w:rFonts w:ascii="Cambria" w:hAnsi="Cambria"/>
          <w:noProof w:val="0"/>
          <w:sz w:val="22"/>
          <w:szCs w:val="22"/>
          <w:lang w:val="en-US"/>
        </w:rPr>
      </w:pPr>
      <w:r w:rsidRPr="001B4277">
        <w:rPr>
          <w:rFonts w:ascii="Cambria" w:hAnsi="Cambria"/>
          <w:noProof w:val="0"/>
          <w:sz w:val="22"/>
          <w:szCs w:val="22"/>
          <w:lang w:val="en-US"/>
        </w:rPr>
        <w:t xml:space="preserve">Section 2 of Official Letter 410/CVL-TTLD stipulates the term for requesting support starting from February 2022. </w:t>
      </w:r>
    </w:p>
    <w:p w14:paraId="52D029F7" w14:textId="16E6C100" w:rsidR="003A4D25" w:rsidRPr="001B4277" w:rsidRDefault="003A4D25" w:rsidP="003A4D25">
      <w:pPr>
        <w:ind w:left="720"/>
        <w:jc w:val="both"/>
        <w:rPr>
          <w:rFonts w:ascii="Cambria" w:hAnsi="Cambria"/>
          <w:noProof w:val="0"/>
          <w:sz w:val="22"/>
          <w:szCs w:val="22"/>
          <w:lang w:val="en-US"/>
        </w:rPr>
      </w:pPr>
    </w:p>
    <w:p w14:paraId="2D86CF6E" w14:textId="2F946E4F" w:rsidR="003A4D25" w:rsidRPr="001B4277" w:rsidRDefault="003A4D25" w:rsidP="003A4D25">
      <w:pPr>
        <w:ind w:left="720"/>
        <w:jc w:val="both"/>
        <w:rPr>
          <w:rFonts w:ascii="Cambria" w:hAnsi="Cambria"/>
          <w:noProof w:val="0"/>
          <w:sz w:val="22"/>
          <w:szCs w:val="22"/>
          <w:lang w:val="en-US"/>
        </w:rPr>
      </w:pPr>
      <w:r w:rsidRPr="001B4277">
        <w:rPr>
          <w:rFonts w:ascii="Cambria" w:hAnsi="Cambria"/>
          <w:noProof w:val="0"/>
          <w:sz w:val="22"/>
          <w:szCs w:val="22"/>
          <w:lang w:val="en-US"/>
        </w:rPr>
        <w:t xml:space="preserve">Support amount, support duration, and support method are specified in Article 9 of Decision 08/2022/QD-TTg: </w:t>
      </w:r>
    </w:p>
    <w:p w14:paraId="6C5887BE" w14:textId="1B5C62F6" w:rsidR="003A4D25" w:rsidRPr="001B4277" w:rsidRDefault="003A4D25" w:rsidP="003A4D25">
      <w:pPr>
        <w:ind w:left="720"/>
        <w:jc w:val="both"/>
        <w:rPr>
          <w:rFonts w:ascii="Cambria" w:hAnsi="Cambria"/>
          <w:noProof w:val="0"/>
          <w:sz w:val="22"/>
          <w:szCs w:val="22"/>
          <w:lang w:val="en-US"/>
        </w:rPr>
      </w:pPr>
    </w:p>
    <w:p w14:paraId="424D303D" w14:textId="1E48AFEE" w:rsidR="003A4D25" w:rsidRPr="001B4277" w:rsidRDefault="00A85F2C" w:rsidP="00A85F2C">
      <w:pPr>
        <w:pStyle w:val="ListParagraph"/>
        <w:numPr>
          <w:ilvl w:val="0"/>
          <w:numId w:val="13"/>
        </w:numPr>
        <w:jc w:val="both"/>
        <w:rPr>
          <w:rFonts w:ascii="Cambria" w:hAnsi="Cambria"/>
          <w:noProof w:val="0"/>
          <w:sz w:val="22"/>
          <w:szCs w:val="22"/>
          <w:lang w:val="en-US"/>
        </w:rPr>
      </w:pPr>
      <w:r w:rsidRPr="001B4277">
        <w:rPr>
          <w:rFonts w:ascii="Cambria" w:hAnsi="Cambria"/>
          <w:noProof w:val="0"/>
          <w:sz w:val="22"/>
          <w:szCs w:val="22"/>
          <w:lang w:val="en-US"/>
        </w:rPr>
        <w:t>Support amount: 1.000.000 VND/person/month.</w:t>
      </w:r>
    </w:p>
    <w:p w14:paraId="6591FD26" w14:textId="2CA983C8" w:rsidR="00A85F2C" w:rsidRPr="001B4277" w:rsidRDefault="00A85F2C" w:rsidP="00A85F2C">
      <w:pPr>
        <w:pStyle w:val="ListParagraph"/>
        <w:ind w:left="1440"/>
        <w:jc w:val="both"/>
        <w:rPr>
          <w:rFonts w:ascii="Cambria" w:hAnsi="Cambria"/>
          <w:noProof w:val="0"/>
          <w:sz w:val="22"/>
          <w:szCs w:val="22"/>
          <w:lang w:val="en-US"/>
        </w:rPr>
      </w:pPr>
    </w:p>
    <w:p w14:paraId="7E31557C" w14:textId="2B8E7E4A" w:rsidR="00A85F2C" w:rsidRPr="001B4277" w:rsidRDefault="00A85F2C" w:rsidP="00A85F2C">
      <w:pPr>
        <w:pStyle w:val="ListParagraph"/>
        <w:numPr>
          <w:ilvl w:val="0"/>
          <w:numId w:val="13"/>
        </w:numPr>
        <w:jc w:val="both"/>
        <w:rPr>
          <w:rFonts w:ascii="Cambria" w:hAnsi="Cambria"/>
          <w:noProof w:val="0"/>
          <w:sz w:val="22"/>
          <w:szCs w:val="22"/>
          <w:lang w:val="en-US"/>
        </w:rPr>
      </w:pPr>
      <w:r w:rsidRPr="001B4277">
        <w:rPr>
          <w:rFonts w:ascii="Cambria" w:hAnsi="Cambria"/>
          <w:noProof w:val="0"/>
          <w:sz w:val="22"/>
          <w:szCs w:val="22"/>
          <w:lang w:val="en-US"/>
        </w:rPr>
        <w:t>Duration: Up to 3 months.</w:t>
      </w:r>
    </w:p>
    <w:p w14:paraId="658D4978" w14:textId="77777777" w:rsidR="00A85F2C" w:rsidRPr="001B4277" w:rsidRDefault="00A85F2C" w:rsidP="00A85F2C">
      <w:pPr>
        <w:pStyle w:val="ListParagraph"/>
        <w:rPr>
          <w:rFonts w:ascii="Cambria" w:hAnsi="Cambria"/>
          <w:noProof w:val="0"/>
          <w:sz w:val="22"/>
          <w:szCs w:val="22"/>
          <w:lang w:val="en-US"/>
        </w:rPr>
      </w:pPr>
    </w:p>
    <w:p w14:paraId="148FA3D8" w14:textId="06607DC1" w:rsidR="00A85F2C" w:rsidRPr="001B4277" w:rsidRDefault="00A85F2C" w:rsidP="00A85F2C">
      <w:pPr>
        <w:pStyle w:val="ListParagraph"/>
        <w:numPr>
          <w:ilvl w:val="0"/>
          <w:numId w:val="13"/>
        </w:numPr>
        <w:jc w:val="both"/>
        <w:rPr>
          <w:rFonts w:ascii="Cambria" w:hAnsi="Cambria"/>
          <w:noProof w:val="0"/>
          <w:sz w:val="22"/>
          <w:szCs w:val="22"/>
          <w:lang w:val="en-US"/>
        </w:rPr>
      </w:pPr>
      <w:r w:rsidRPr="001B4277">
        <w:rPr>
          <w:rFonts w:ascii="Cambria" w:hAnsi="Cambria"/>
          <w:noProof w:val="0"/>
          <w:sz w:val="22"/>
          <w:szCs w:val="22"/>
          <w:lang w:val="en-US"/>
        </w:rPr>
        <w:t>Support will be provided monthly.</w:t>
      </w:r>
    </w:p>
    <w:p w14:paraId="70877AA1" w14:textId="30415F1B" w:rsidR="00A85F2C" w:rsidRPr="001B4277" w:rsidRDefault="00A85F2C" w:rsidP="00A85F2C">
      <w:pPr>
        <w:ind w:left="720"/>
        <w:jc w:val="both"/>
        <w:rPr>
          <w:rFonts w:ascii="Cambria" w:hAnsi="Cambria"/>
          <w:noProof w:val="0"/>
          <w:sz w:val="22"/>
          <w:szCs w:val="22"/>
          <w:lang w:val="en-US"/>
        </w:rPr>
      </w:pPr>
    </w:p>
    <w:p w14:paraId="56EA51E7" w14:textId="48CBFB86" w:rsidR="00A85F2C" w:rsidRPr="001B4277" w:rsidRDefault="00A85F2C" w:rsidP="00A85F2C">
      <w:pPr>
        <w:ind w:left="720"/>
        <w:jc w:val="both"/>
        <w:rPr>
          <w:rFonts w:ascii="Cambria" w:hAnsi="Cambria"/>
          <w:noProof w:val="0"/>
          <w:sz w:val="22"/>
          <w:szCs w:val="22"/>
          <w:lang w:val="en-US"/>
        </w:rPr>
      </w:pPr>
      <w:r w:rsidRPr="001B4277">
        <w:rPr>
          <w:rFonts w:ascii="Cambria" w:hAnsi="Cambria"/>
          <w:noProof w:val="0"/>
          <w:sz w:val="22"/>
          <w:szCs w:val="22"/>
          <w:lang w:val="en-US"/>
        </w:rPr>
        <w:t>In addition, the Official Letter 410/CVL-TTLD also guides the time to start the labor contract, the duration of rental and accommodation, how to combine the number of months to request support and where to submit the application for consideration and approval for support.</w:t>
      </w:r>
    </w:p>
    <w:p w14:paraId="547D295B" w14:textId="77777777" w:rsidR="00A85F2C" w:rsidRPr="001B4277" w:rsidRDefault="00A85F2C" w:rsidP="00A85F2C">
      <w:pPr>
        <w:ind w:left="720"/>
        <w:jc w:val="both"/>
        <w:rPr>
          <w:rFonts w:ascii="Cambria" w:hAnsi="Cambria"/>
          <w:noProof w:val="0"/>
          <w:sz w:val="22"/>
          <w:szCs w:val="22"/>
          <w:lang w:val="en-US"/>
        </w:rPr>
      </w:pPr>
    </w:p>
    <w:p w14:paraId="362A6040" w14:textId="77777777" w:rsidR="00404F64" w:rsidRPr="001B4277" w:rsidRDefault="00404F64" w:rsidP="00404F64">
      <w:pPr>
        <w:pStyle w:val="NormalWeb"/>
        <w:shd w:val="clear" w:color="auto" w:fill="FFFFFF"/>
        <w:spacing w:before="0" w:beforeAutospacing="0" w:after="0" w:afterAutospacing="0" w:line="259" w:lineRule="auto"/>
        <w:contextualSpacing/>
        <w:jc w:val="both"/>
        <w:rPr>
          <w:rFonts w:ascii="Cambria" w:hAnsi="Cambria"/>
          <w:noProof w:val="0"/>
          <w:color w:val="000000"/>
          <w:sz w:val="22"/>
          <w:szCs w:val="22"/>
          <w:lang w:val="en-US"/>
        </w:rPr>
      </w:pPr>
      <w:r w:rsidRPr="001B4277">
        <w:rPr>
          <w:rFonts w:ascii="Cambria" w:hAnsi="Cambria"/>
          <w:noProof w:val="0"/>
          <w:color w:val="000000"/>
          <w:sz w:val="22"/>
          <w:szCs w:val="22"/>
          <w:lang w:val="en-US"/>
        </w:rPr>
        <w:t>We hope you found this brief legal update informative.</w:t>
      </w:r>
    </w:p>
    <w:p w14:paraId="12BB4EEB" w14:textId="77777777" w:rsidR="00404F64" w:rsidRPr="001B4277" w:rsidRDefault="00404F64" w:rsidP="00404F64">
      <w:pPr>
        <w:pStyle w:val="NormalWeb"/>
        <w:shd w:val="clear" w:color="auto" w:fill="FFFFFF"/>
        <w:spacing w:before="0" w:beforeAutospacing="0" w:after="0" w:afterAutospacing="0" w:line="259" w:lineRule="auto"/>
        <w:ind w:left="1418" w:hanging="90"/>
        <w:contextualSpacing/>
        <w:jc w:val="both"/>
        <w:rPr>
          <w:rFonts w:ascii="Cambria" w:hAnsi="Cambria"/>
          <w:noProof w:val="0"/>
          <w:color w:val="000000"/>
          <w:sz w:val="22"/>
          <w:szCs w:val="22"/>
          <w:lang w:val="en-US"/>
        </w:rPr>
      </w:pPr>
      <w:r w:rsidRPr="001B4277">
        <w:rPr>
          <w:rFonts w:ascii="Cambria" w:hAnsi="Cambria"/>
          <w:noProof w:val="0"/>
          <w:color w:val="000000"/>
          <w:sz w:val="22"/>
          <w:szCs w:val="22"/>
          <w:lang w:val="en-US"/>
        </w:rPr>
        <w:t> </w:t>
      </w:r>
    </w:p>
    <w:p w14:paraId="36CF54C7" w14:textId="77777777" w:rsidR="00404F64" w:rsidRPr="001B4277" w:rsidRDefault="00404F64" w:rsidP="00404F64">
      <w:pPr>
        <w:jc w:val="both"/>
        <w:rPr>
          <w:rFonts w:ascii="Cambria" w:hAnsi="Cambria"/>
          <w:noProof w:val="0"/>
          <w:sz w:val="22"/>
          <w:szCs w:val="22"/>
          <w:lang w:val="en-US"/>
        </w:rPr>
      </w:pPr>
      <w:r w:rsidRPr="001B4277">
        <w:rPr>
          <w:rFonts w:ascii="Cambria" w:hAnsi="Cambria"/>
          <w:noProof w:val="0"/>
          <w:color w:val="000000"/>
          <w:sz w:val="22"/>
          <w:szCs w:val="22"/>
          <w:lang w:val="en-US"/>
        </w:rPr>
        <w:t>Kind regards</w:t>
      </w:r>
      <w:r w:rsidRPr="001B4277">
        <w:rPr>
          <w:rFonts w:ascii="Cambria" w:hAnsi="Cambria"/>
          <w:noProof w:val="0"/>
          <w:sz w:val="22"/>
          <w:szCs w:val="22"/>
          <w:lang w:val="en-US"/>
        </w:rPr>
        <w:t>./.</w:t>
      </w:r>
    </w:p>
    <w:p w14:paraId="4AF4341A" w14:textId="77777777" w:rsidR="00404F64" w:rsidRPr="001B4277" w:rsidRDefault="00404F64" w:rsidP="00404F64">
      <w:pPr>
        <w:ind w:left="720"/>
        <w:jc w:val="both"/>
        <w:rPr>
          <w:rFonts w:ascii="Cambria" w:hAnsi="Cambria"/>
          <w:noProof w:val="0"/>
          <w:sz w:val="22"/>
          <w:szCs w:val="22"/>
          <w:lang w:val="en-US"/>
        </w:rPr>
      </w:pPr>
    </w:p>
    <w:p w14:paraId="157FB32C" w14:textId="77777777" w:rsidR="00404F64" w:rsidRPr="001B4277" w:rsidRDefault="00404F64" w:rsidP="00404F64">
      <w:pPr>
        <w:spacing w:after="160" w:line="259" w:lineRule="auto"/>
        <w:jc w:val="both"/>
        <w:rPr>
          <w:rFonts w:ascii="Cambria" w:hAnsi="Cambria"/>
          <w:noProof w:val="0"/>
          <w:sz w:val="22"/>
          <w:szCs w:val="22"/>
          <w:lang w:val="en-US"/>
        </w:rPr>
      </w:pPr>
      <w:r w:rsidRPr="001B4277">
        <w:rPr>
          <w:rFonts w:ascii="Cambria" w:hAnsi="Cambria"/>
          <w:noProof w:val="0"/>
          <w:sz w:val="22"/>
          <w:szCs w:val="22"/>
          <w:lang w:val="en-US"/>
        </w:rPr>
        <w:br w:type="page"/>
      </w: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404F64" w:rsidRPr="001B4277" w14:paraId="5F91174E" w14:textId="77777777" w:rsidTr="0000271E">
        <w:trPr>
          <w:trHeight w:val="4343"/>
        </w:trPr>
        <w:tc>
          <w:tcPr>
            <w:tcW w:w="20" w:type="dxa"/>
            <w:tcBorders>
              <w:top w:val="nil"/>
              <w:left w:val="nil"/>
              <w:right w:val="nil"/>
            </w:tcBorders>
          </w:tcPr>
          <w:p w14:paraId="5F095DC6" w14:textId="77777777" w:rsidR="00404F64" w:rsidRPr="001B4277" w:rsidRDefault="00404F64" w:rsidP="0000271E">
            <w:pPr>
              <w:jc w:val="both"/>
              <w:rPr>
                <w:rFonts w:ascii="Cambria" w:hAnsi="Cambria"/>
                <w:noProof w:val="0"/>
                <w:color w:val="000000" w:themeColor="text1"/>
                <w:sz w:val="22"/>
                <w:szCs w:val="22"/>
                <w:lang w:val="en-US"/>
              </w:rPr>
            </w:pPr>
            <w:bookmarkStart w:id="1" w:name="_Hlk75963262"/>
          </w:p>
        </w:tc>
        <w:tc>
          <w:tcPr>
            <w:tcW w:w="8391" w:type="dxa"/>
            <w:tcBorders>
              <w:top w:val="double" w:sz="1" w:space="0" w:color="000000"/>
              <w:left w:val="nil"/>
              <w:right w:val="nil"/>
            </w:tcBorders>
            <w:shd w:val="clear" w:color="auto" w:fill="D9E1F3"/>
          </w:tcPr>
          <w:p w14:paraId="055F5704" w14:textId="77777777" w:rsidR="00404F64" w:rsidRPr="001B4277" w:rsidRDefault="00404F64" w:rsidP="0000271E">
            <w:pPr>
              <w:jc w:val="both"/>
              <w:rPr>
                <w:rFonts w:ascii="Cambria" w:hAnsi="Cambria"/>
                <w:b/>
                <w:noProof w:val="0"/>
                <w:color w:val="000000" w:themeColor="text1"/>
                <w:sz w:val="22"/>
                <w:szCs w:val="22"/>
                <w:lang w:val="en-US"/>
              </w:rPr>
            </w:pPr>
          </w:p>
          <w:p w14:paraId="3599DF03" w14:textId="77777777" w:rsidR="00404F64" w:rsidRPr="001B4277" w:rsidRDefault="00404F64" w:rsidP="0000271E">
            <w:pPr>
              <w:widowControl w:val="0"/>
              <w:autoSpaceDE w:val="0"/>
              <w:autoSpaceDN w:val="0"/>
              <w:ind w:left="68" w:right="102" w:hanging="17"/>
              <w:contextualSpacing/>
              <w:jc w:val="both"/>
              <w:rPr>
                <w:rFonts w:ascii="Cambria" w:hAnsi="Cambria" w:cs="Arial"/>
                <w:noProof w:val="0"/>
                <w:lang w:val="en-US" w:eastAsia="en-GB"/>
              </w:rPr>
            </w:pPr>
            <w:r w:rsidRPr="001B4277">
              <w:rPr>
                <w:rFonts w:ascii="Cambria" w:hAnsi="Cambria" w:cs="Arial"/>
                <w:noProof w:val="0"/>
                <w:lang w:val="en-US" w:eastAsia="en-GB"/>
              </w:rPr>
              <w:t>This document has been only prepared for general</w:t>
            </w:r>
            <w:r w:rsidRPr="001B4277">
              <w:rPr>
                <w:rFonts w:ascii="Cambria" w:hAnsi="Cambria"/>
                <w:noProof w:val="0"/>
                <w:lang w:val="en-US"/>
              </w:rPr>
              <w:t xml:space="preserve"> </w:t>
            </w:r>
            <w:r w:rsidRPr="001B4277">
              <w:rPr>
                <w:rFonts w:ascii="Cambria" w:hAnsi="Cambria" w:cs="Arial"/>
                <w:noProof w:val="0"/>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6B0D5685" w14:textId="77777777" w:rsidR="00404F64" w:rsidRPr="001B4277" w:rsidRDefault="00404F64" w:rsidP="0000271E">
            <w:pPr>
              <w:widowControl w:val="0"/>
              <w:autoSpaceDE w:val="0"/>
              <w:autoSpaceDN w:val="0"/>
              <w:ind w:left="68" w:right="102" w:hanging="17"/>
              <w:contextualSpacing/>
              <w:jc w:val="both"/>
              <w:rPr>
                <w:rFonts w:ascii="Cambria" w:hAnsi="Cambria" w:cs="Arial"/>
                <w:noProof w:val="0"/>
                <w:lang w:val="en-US" w:eastAsia="en-GB"/>
              </w:rPr>
            </w:pPr>
          </w:p>
          <w:p w14:paraId="79BD23C0" w14:textId="77777777" w:rsidR="00404F64" w:rsidRPr="001B4277" w:rsidRDefault="00404F64" w:rsidP="0000271E">
            <w:pPr>
              <w:widowControl w:val="0"/>
              <w:autoSpaceDE w:val="0"/>
              <w:autoSpaceDN w:val="0"/>
              <w:ind w:left="68" w:right="102" w:hanging="17"/>
              <w:contextualSpacing/>
              <w:jc w:val="both"/>
              <w:rPr>
                <w:rFonts w:ascii="Cambria" w:hAnsi="Cambria" w:cs="Arial"/>
                <w:noProof w:val="0"/>
                <w:lang w:val="en-US" w:eastAsia="en-GB"/>
              </w:rPr>
            </w:pPr>
            <w:r w:rsidRPr="001B4277">
              <w:rPr>
                <w:rFonts w:ascii="Cambria" w:hAnsi="Cambria" w:cs="Arial"/>
                <w:noProof w:val="0"/>
                <w:lang w:val="en-US" w:eastAsia="en-GB"/>
              </w:rPr>
              <w:t>If you have or suspect that you may have a particular problem, you should contact us or your lawyer for specific advice on the matter.</w:t>
            </w:r>
          </w:p>
          <w:p w14:paraId="68116B44" w14:textId="77777777" w:rsidR="00404F64" w:rsidRPr="001B4277" w:rsidRDefault="00404F64" w:rsidP="0000271E">
            <w:pPr>
              <w:widowControl w:val="0"/>
              <w:autoSpaceDE w:val="0"/>
              <w:autoSpaceDN w:val="0"/>
              <w:ind w:left="68" w:right="102" w:hanging="17"/>
              <w:contextualSpacing/>
              <w:jc w:val="both"/>
              <w:rPr>
                <w:rFonts w:ascii="Cambria" w:hAnsi="Cambria" w:cs="Arial"/>
                <w:noProof w:val="0"/>
                <w:lang w:val="en-US" w:eastAsia="en-GB"/>
              </w:rPr>
            </w:pPr>
          </w:p>
          <w:p w14:paraId="7F4D0CE8" w14:textId="77777777" w:rsidR="00404F64" w:rsidRPr="001B4277" w:rsidRDefault="00404F64" w:rsidP="0000271E">
            <w:pPr>
              <w:widowControl w:val="0"/>
              <w:autoSpaceDE w:val="0"/>
              <w:autoSpaceDN w:val="0"/>
              <w:ind w:left="68" w:right="102" w:hanging="17"/>
              <w:contextualSpacing/>
              <w:jc w:val="both"/>
              <w:rPr>
                <w:rFonts w:ascii="Cambria" w:hAnsi="Cambria" w:cs="Arial"/>
                <w:b/>
                <w:bCs/>
                <w:noProof w:val="0"/>
                <w:lang w:val="en-US" w:eastAsia="en-GB"/>
              </w:rPr>
            </w:pPr>
            <w:r w:rsidRPr="001B4277">
              <w:rPr>
                <w:rFonts w:ascii="Cambria" w:hAnsi="Cambria" w:cs="Arial"/>
                <w:b/>
                <w:bCs/>
                <w:noProof w:val="0"/>
                <w:lang w:val="en-US" w:eastAsia="en-GB"/>
              </w:rPr>
              <w:t>ADK VIET NAM LAWYERS</w:t>
            </w:r>
          </w:p>
          <w:p w14:paraId="49F50E20" w14:textId="77777777" w:rsidR="00404F64" w:rsidRPr="001B4277" w:rsidRDefault="00404F64" w:rsidP="0000271E">
            <w:pPr>
              <w:widowControl w:val="0"/>
              <w:autoSpaceDE w:val="0"/>
              <w:autoSpaceDN w:val="0"/>
              <w:ind w:left="68" w:right="102" w:hanging="17"/>
              <w:contextualSpacing/>
              <w:jc w:val="both"/>
              <w:rPr>
                <w:rFonts w:ascii="Cambria" w:hAnsi="Cambria" w:cs="Arial"/>
                <w:b/>
                <w:bCs/>
                <w:noProof w:val="0"/>
                <w:lang w:val="en-US" w:eastAsia="en-GB"/>
              </w:rPr>
            </w:pPr>
          </w:p>
          <w:p w14:paraId="592BC68D" w14:textId="77777777" w:rsidR="00404F64" w:rsidRPr="001B4277" w:rsidRDefault="00404F64" w:rsidP="0000271E">
            <w:pPr>
              <w:jc w:val="both"/>
              <w:rPr>
                <w:rFonts w:ascii="Cambria" w:hAnsi="Cambria"/>
                <w:noProof w:val="0"/>
                <w:color w:val="000000"/>
                <w:lang w:val="en-US"/>
              </w:rPr>
            </w:pPr>
            <w:r w:rsidRPr="001B4277">
              <w:rPr>
                <w:rFonts w:ascii="Cambria" w:hAnsi="Cambria"/>
                <w:b/>
                <w:bCs/>
                <w:noProof w:val="0"/>
                <w:color w:val="000000"/>
                <w:lang w:val="en-US"/>
              </w:rPr>
              <w:t>Ho Chi Minh Office</w:t>
            </w:r>
            <w:r w:rsidRPr="001B4277">
              <w:rPr>
                <w:rFonts w:ascii="Cambria" w:hAnsi="Cambria"/>
                <w:noProof w:val="0"/>
                <w:color w:val="000000"/>
                <w:lang w:val="en-US"/>
              </w:rPr>
              <w:t>: Ground Fl. HBT Tower, 456-458 Hai Ba Trung Str., Tan Dinh Ward, District 1, HCM City, VN</w:t>
            </w:r>
          </w:p>
          <w:p w14:paraId="7F6D02C2" w14:textId="77777777" w:rsidR="00404F64" w:rsidRPr="001B4277" w:rsidRDefault="00404F64" w:rsidP="0000271E">
            <w:pPr>
              <w:jc w:val="both"/>
              <w:rPr>
                <w:rFonts w:ascii="Cambria" w:hAnsi="Cambria"/>
                <w:noProof w:val="0"/>
                <w:color w:val="000000"/>
                <w:lang w:val="en-US"/>
              </w:rPr>
            </w:pPr>
            <w:r w:rsidRPr="001B4277">
              <w:rPr>
                <w:rFonts w:ascii="Cambria" w:hAnsi="Cambria"/>
                <w:b/>
                <w:bCs/>
                <w:noProof w:val="0"/>
                <w:color w:val="000000"/>
                <w:lang w:val="en-US"/>
              </w:rPr>
              <w:t>Ha Noi Office</w:t>
            </w:r>
            <w:r w:rsidRPr="001B4277">
              <w:rPr>
                <w:rFonts w:ascii="Cambria" w:hAnsi="Cambria"/>
                <w:noProof w:val="0"/>
                <w:color w:val="000000"/>
                <w:lang w:val="en-US"/>
              </w:rPr>
              <w:t>: </w:t>
            </w:r>
            <w:r w:rsidRPr="001B4277">
              <w:rPr>
                <w:rFonts w:ascii="Cambria" w:hAnsi="Cambria"/>
                <w:noProof w:val="0"/>
                <w:color w:val="333333"/>
                <w:lang w:val="en-US"/>
              </w:rPr>
              <w:t>Ground Fl. Pax Sky Building, 63-65 Ngo Thi Nham Str., Pham Dinh Ho Ward, Hai Ba Trung District, Hanoi City, VN</w:t>
            </w:r>
            <w:r w:rsidRPr="001B4277">
              <w:rPr>
                <w:rFonts w:ascii="Cambria" w:hAnsi="Cambria"/>
                <w:noProof w:val="0"/>
                <w:color w:val="000000"/>
                <w:lang w:val="en-US"/>
              </w:rPr>
              <w:t>    </w:t>
            </w:r>
          </w:p>
          <w:p w14:paraId="140FD021" w14:textId="77777777" w:rsidR="00404F64" w:rsidRPr="001B4277" w:rsidRDefault="00404F64" w:rsidP="0000271E">
            <w:pPr>
              <w:pStyle w:val="ListParagraph"/>
              <w:spacing w:line="264" w:lineRule="auto"/>
              <w:ind w:left="0"/>
              <w:jc w:val="both"/>
              <w:rPr>
                <w:rFonts w:ascii="Cambria" w:hAnsi="Cambria" w:cs="Arial"/>
                <w:noProof w:val="0"/>
                <w:lang w:val="en-US" w:eastAsia="en-GB"/>
              </w:rPr>
            </w:pPr>
            <w:r w:rsidRPr="001B4277">
              <w:rPr>
                <w:rFonts w:ascii="Cambria" w:hAnsi="Cambria" w:cs="Arial"/>
                <w:noProof w:val="0"/>
                <w:lang w:val="en-US" w:eastAsia="en-GB"/>
              </w:rPr>
              <w:t>Hotline: (+84) 28 66 79 79 66 or (+84) 939 107 387</w:t>
            </w:r>
          </w:p>
          <w:p w14:paraId="3DB03B02" w14:textId="77777777" w:rsidR="00404F64" w:rsidRPr="001B4277" w:rsidRDefault="00404F64" w:rsidP="0000271E">
            <w:pPr>
              <w:widowControl w:val="0"/>
              <w:autoSpaceDE w:val="0"/>
              <w:autoSpaceDN w:val="0"/>
              <w:ind w:left="68" w:right="102" w:hanging="17"/>
              <w:contextualSpacing/>
              <w:jc w:val="both"/>
              <w:rPr>
                <w:rFonts w:ascii="Cambria" w:hAnsi="Cambria" w:cs="Arial"/>
                <w:noProof w:val="0"/>
                <w:color w:val="0000FF"/>
                <w:u w:val="single"/>
                <w:lang w:val="en-US" w:eastAsia="en-GB"/>
              </w:rPr>
            </w:pPr>
            <w:r w:rsidRPr="001B4277">
              <w:rPr>
                <w:rFonts w:ascii="Cambria" w:hAnsi="Cambria" w:cs="Arial"/>
                <w:noProof w:val="0"/>
                <w:lang w:val="en-US" w:eastAsia="en-GB"/>
              </w:rPr>
              <w:t xml:space="preserve">Email: </w:t>
            </w:r>
            <w:hyperlink r:id="rId7" w:history="1">
              <w:r w:rsidRPr="001B4277">
                <w:rPr>
                  <w:rFonts w:ascii="Cambria" w:hAnsi="Cambria" w:cs="Arial"/>
                  <w:noProof w:val="0"/>
                  <w:color w:val="0000FF"/>
                  <w:u w:val="single"/>
                  <w:lang w:val="en-US" w:eastAsia="en-GB"/>
                </w:rPr>
                <w:t>info@adk-lawyers.com</w:t>
              </w:r>
            </w:hyperlink>
          </w:p>
          <w:p w14:paraId="2CD49E55" w14:textId="77777777" w:rsidR="00404F64" w:rsidRPr="001B4277" w:rsidRDefault="00404F64" w:rsidP="0000271E">
            <w:pPr>
              <w:widowControl w:val="0"/>
              <w:autoSpaceDE w:val="0"/>
              <w:autoSpaceDN w:val="0"/>
              <w:ind w:left="68" w:right="102" w:hanging="17"/>
              <w:contextualSpacing/>
              <w:jc w:val="both"/>
              <w:rPr>
                <w:rFonts w:ascii="Cambria" w:hAnsi="Cambria" w:cs="Arial"/>
                <w:noProof w:val="0"/>
                <w:lang w:val="en-US" w:eastAsia="en-GB"/>
              </w:rPr>
            </w:pPr>
            <w:r w:rsidRPr="001B4277">
              <w:rPr>
                <w:rFonts w:ascii="Cambria" w:hAnsi="Cambria" w:cs="Arial"/>
                <w:noProof w:val="0"/>
                <w:lang w:val="en-US" w:eastAsia="en-GB"/>
              </w:rPr>
              <w:t>W</w:t>
            </w:r>
            <w:r w:rsidRPr="001B4277">
              <w:rPr>
                <w:rFonts w:ascii="Cambria" w:hAnsi="Cambria" w:cs="Arial"/>
                <w:noProof w:val="0"/>
                <w:lang w:val="en-US"/>
              </w:rPr>
              <w:t xml:space="preserve">ebsite: </w:t>
            </w:r>
            <w:hyperlink r:id="rId8" w:history="1">
              <w:r w:rsidRPr="001B4277">
                <w:rPr>
                  <w:rFonts w:ascii="Cambria" w:hAnsi="Cambria" w:cs="Arial"/>
                  <w:noProof w:val="0"/>
                  <w:color w:val="0000FF"/>
                  <w:u w:val="single"/>
                  <w:lang w:val="en-US"/>
                </w:rPr>
                <w:t>www.adk-lawyers.com</w:t>
              </w:r>
            </w:hyperlink>
            <w:r w:rsidRPr="001B4277">
              <w:rPr>
                <w:rFonts w:ascii="Cambria" w:hAnsi="Cambria" w:cs="Arial"/>
                <w:noProof w:val="0"/>
                <w:lang w:val="en-US"/>
              </w:rPr>
              <w:t xml:space="preserve">  </w:t>
            </w:r>
          </w:p>
          <w:p w14:paraId="73CAFE37" w14:textId="77777777" w:rsidR="00404F64" w:rsidRPr="001B4277" w:rsidRDefault="00404F64" w:rsidP="0000271E">
            <w:pPr>
              <w:jc w:val="both"/>
              <w:rPr>
                <w:rFonts w:ascii="Cambria" w:hAnsi="Cambria"/>
                <w:noProof w:val="0"/>
                <w:color w:val="000000" w:themeColor="text1"/>
                <w:sz w:val="22"/>
                <w:szCs w:val="22"/>
                <w:lang w:val="en-US"/>
              </w:rPr>
            </w:pPr>
          </w:p>
        </w:tc>
        <w:tc>
          <w:tcPr>
            <w:tcW w:w="20" w:type="dxa"/>
            <w:tcBorders>
              <w:top w:val="nil"/>
              <w:left w:val="nil"/>
              <w:bottom w:val="single" w:sz="4" w:space="0" w:color="000000"/>
              <w:right w:val="nil"/>
            </w:tcBorders>
          </w:tcPr>
          <w:p w14:paraId="4D876DEE" w14:textId="77777777" w:rsidR="00404F64" w:rsidRPr="001B4277" w:rsidRDefault="00404F64" w:rsidP="0000271E">
            <w:pPr>
              <w:jc w:val="both"/>
              <w:rPr>
                <w:rFonts w:ascii="Cambria" w:hAnsi="Cambria"/>
                <w:noProof w:val="0"/>
                <w:color w:val="000000" w:themeColor="text1"/>
                <w:lang w:val="en-US"/>
              </w:rPr>
            </w:pPr>
          </w:p>
        </w:tc>
      </w:tr>
      <w:bookmarkEnd w:id="1"/>
    </w:tbl>
    <w:p w14:paraId="5C37EEFD" w14:textId="77777777" w:rsidR="00404F64" w:rsidRPr="001B4277" w:rsidRDefault="00404F64" w:rsidP="00404F64">
      <w:pPr>
        <w:jc w:val="both"/>
        <w:rPr>
          <w:rFonts w:ascii="Cambria" w:hAnsi="Cambria"/>
          <w:noProof w:val="0"/>
          <w:lang w:val="en-US"/>
        </w:rPr>
      </w:pPr>
    </w:p>
    <w:p w14:paraId="68D85013" w14:textId="77777777" w:rsidR="00404F64" w:rsidRPr="001B4277" w:rsidRDefault="00404F64" w:rsidP="00404F64">
      <w:pPr>
        <w:jc w:val="both"/>
        <w:rPr>
          <w:rFonts w:ascii="Cambria" w:hAnsi="Cambria"/>
          <w:noProof w:val="0"/>
          <w:lang w:val="en-US"/>
        </w:rPr>
      </w:pPr>
    </w:p>
    <w:p w14:paraId="4D84E5E2" w14:textId="77777777" w:rsidR="00404F64" w:rsidRPr="001B4277" w:rsidRDefault="00404F64" w:rsidP="00404F64">
      <w:pPr>
        <w:spacing w:line="252" w:lineRule="auto"/>
        <w:jc w:val="both"/>
        <w:rPr>
          <w:rFonts w:ascii="Cambria" w:hAnsi="Cambria"/>
          <w:noProof w:val="0"/>
          <w:lang w:val="en-US"/>
        </w:rPr>
      </w:pPr>
    </w:p>
    <w:p w14:paraId="7E73E80A" w14:textId="77777777" w:rsidR="00404F64" w:rsidRPr="001B4277" w:rsidRDefault="00404F64" w:rsidP="00404F64">
      <w:pPr>
        <w:jc w:val="both"/>
        <w:rPr>
          <w:rFonts w:ascii="Cambria" w:hAnsi="Cambria"/>
          <w:noProof w:val="0"/>
          <w:lang w:val="en-US"/>
        </w:rPr>
      </w:pPr>
    </w:p>
    <w:p w14:paraId="3F99B8C6" w14:textId="77777777" w:rsidR="00267564" w:rsidRPr="001B4277" w:rsidRDefault="00267564" w:rsidP="00404F64">
      <w:pPr>
        <w:spacing w:line="252" w:lineRule="auto"/>
        <w:jc w:val="both"/>
        <w:rPr>
          <w:rFonts w:ascii="Cambria" w:hAnsi="Cambria"/>
          <w:noProof w:val="0"/>
          <w:lang w:val="en-US"/>
        </w:rPr>
      </w:pPr>
    </w:p>
    <w:sectPr w:rsidR="00267564" w:rsidRPr="001B4277" w:rsidSect="001D07CD">
      <w:headerReference w:type="default" r:id="rId9"/>
      <w:footerReference w:type="default" r:id="rId10"/>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49482" w14:textId="77777777" w:rsidR="002802B9" w:rsidRDefault="002802B9">
      <w:r>
        <w:separator/>
      </w:r>
    </w:p>
  </w:endnote>
  <w:endnote w:type="continuationSeparator" w:id="0">
    <w:p w14:paraId="7B685C4A" w14:textId="77777777" w:rsidR="002802B9" w:rsidRDefault="0028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64577D85" w14:textId="77777777" w:rsidR="00112037" w:rsidRPr="00591F1C" w:rsidRDefault="00627A63"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14:paraId="0B77332F" w14:textId="77777777" w:rsidR="00112037" w:rsidRDefault="002802B9"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627A63" w:rsidRPr="00D644F3">
            <w:rPr>
              <w:rStyle w:val="Hyperlink"/>
              <w:rFonts w:ascii="Palatino Linotype" w:hAnsi="Palatino Linotype"/>
              <w:sz w:val="18"/>
              <w:szCs w:val="18"/>
            </w:rPr>
            <w:t>www.adk-lawyers.com</w:t>
          </w:r>
        </w:hyperlink>
      </w:p>
      <w:p w14:paraId="76F339B5" w14:textId="77777777" w:rsidR="00112037" w:rsidRDefault="002802B9" w:rsidP="00387487">
        <w:pPr>
          <w:pStyle w:val="Footer"/>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8DD73" w14:textId="77777777" w:rsidR="002802B9" w:rsidRDefault="002802B9">
      <w:r>
        <w:separator/>
      </w:r>
    </w:p>
  </w:footnote>
  <w:footnote w:type="continuationSeparator" w:id="0">
    <w:p w14:paraId="62565886" w14:textId="77777777" w:rsidR="002802B9" w:rsidRDefault="002802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7B1C" w14:textId="77777777" w:rsidR="00112037" w:rsidRDefault="00627A63" w:rsidP="00CA0056">
    <w:pPr>
      <w:pStyle w:val="Header"/>
      <w:ind w:left="-1440"/>
    </w:pPr>
    <w:r>
      <w:rPr>
        <w:lang w:val="en-US"/>
      </w:rPr>
      <w:drawing>
        <wp:inline distT="0" distB="0" distL="0" distR="0" wp14:anchorId="1D613F65" wp14:editId="36C9C575">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B31"/>
    <w:multiLevelType w:val="hybridMultilevel"/>
    <w:tmpl w:val="FF86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52EB2"/>
    <w:multiLevelType w:val="hybridMultilevel"/>
    <w:tmpl w:val="CCA0B1D2"/>
    <w:lvl w:ilvl="0" w:tplc="E780B1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074A3B"/>
    <w:multiLevelType w:val="hybridMultilevel"/>
    <w:tmpl w:val="350ECA30"/>
    <w:lvl w:ilvl="0" w:tplc="7C1C9E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471E9C"/>
    <w:multiLevelType w:val="hybridMultilevel"/>
    <w:tmpl w:val="33441B42"/>
    <w:lvl w:ilvl="0" w:tplc="6B9E0C54">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361191"/>
    <w:multiLevelType w:val="hybridMultilevel"/>
    <w:tmpl w:val="6A44197E"/>
    <w:lvl w:ilvl="0" w:tplc="C45CA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612883"/>
    <w:multiLevelType w:val="hybridMultilevel"/>
    <w:tmpl w:val="DEECB81C"/>
    <w:lvl w:ilvl="0" w:tplc="C1124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472A55"/>
    <w:multiLevelType w:val="hybridMultilevel"/>
    <w:tmpl w:val="2F4A8FE4"/>
    <w:lvl w:ilvl="0" w:tplc="488805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BD259E"/>
    <w:multiLevelType w:val="hybridMultilevel"/>
    <w:tmpl w:val="4AD66F90"/>
    <w:lvl w:ilvl="0" w:tplc="D6DEB4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CF7ACA"/>
    <w:multiLevelType w:val="hybridMultilevel"/>
    <w:tmpl w:val="E7B4632A"/>
    <w:lvl w:ilvl="0" w:tplc="697410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7B4856"/>
    <w:multiLevelType w:val="hybridMultilevel"/>
    <w:tmpl w:val="71483084"/>
    <w:lvl w:ilvl="0" w:tplc="7354BD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161247"/>
    <w:multiLevelType w:val="hybridMultilevel"/>
    <w:tmpl w:val="88CC71EA"/>
    <w:lvl w:ilvl="0" w:tplc="E36C48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B1428D"/>
    <w:multiLevelType w:val="hybridMultilevel"/>
    <w:tmpl w:val="FE2684C0"/>
    <w:lvl w:ilvl="0" w:tplc="9F4A6F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A4F6DD4"/>
    <w:multiLevelType w:val="hybridMultilevel"/>
    <w:tmpl w:val="857E9D62"/>
    <w:lvl w:ilvl="0" w:tplc="1E6C6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2"/>
  </w:num>
  <w:num w:numId="3">
    <w:abstractNumId w:val="3"/>
  </w:num>
  <w:num w:numId="4">
    <w:abstractNumId w:val="2"/>
  </w:num>
  <w:num w:numId="5">
    <w:abstractNumId w:val="10"/>
  </w:num>
  <w:num w:numId="6">
    <w:abstractNumId w:val="11"/>
  </w:num>
  <w:num w:numId="7">
    <w:abstractNumId w:val="4"/>
  </w:num>
  <w:num w:numId="8">
    <w:abstractNumId w:val="5"/>
  </w:num>
  <w:num w:numId="9">
    <w:abstractNumId w:val="8"/>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64"/>
    <w:rsid w:val="00096653"/>
    <w:rsid w:val="000C642D"/>
    <w:rsid w:val="00126805"/>
    <w:rsid w:val="00154384"/>
    <w:rsid w:val="00155CD7"/>
    <w:rsid w:val="001A7F71"/>
    <w:rsid w:val="001B4277"/>
    <w:rsid w:val="001E46D5"/>
    <w:rsid w:val="00267564"/>
    <w:rsid w:val="002749C1"/>
    <w:rsid w:val="002802B9"/>
    <w:rsid w:val="002C15B4"/>
    <w:rsid w:val="00303E0A"/>
    <w:rsid w:val="00352014"/>
    <w:rsid w:val="003A4D25"/>
    <w:rsid w:val="003B5889"/>
    <w:rsid w:val="003F0068"/>
    <w:rsid w:val="003F4431"/>
    <w:rsid w:val="00404F64"/>
    <w:rsid w:val="00420184"/>
    <w:rsid w:val="004F78BC"/>
    <w:rsid w:val="0052048A"/>
    <w:rsid w:val="00526696"/>
    <w:rsid w:val="00527D28"/>
    <w:rsid w:val="00551F07"/>
    <w:rsid w:val="00556259"/>
    <w:rsid w:val="00590522"/>
    <w:rsid w:val="005A4DF3"/>
    <w:rsid w:val="00612AA8"/>
    <w:rsid w:val="006266AB"/>
    <w:rsid w:val="00627717"/>
    <w:rsid w:val="00627A63"/>
    <w:rsid w:val="006940FA"/>
    <w:rsid w:val="006A7CA3"/>
    <w:rsid w:val="006E16D6"/>
    <w:rsid w:val="006E7104"/>
    <w:rsid w:val="00711E19"/>
    <w:rsid w:val="00747928"/>
    <w:rsid w:val="007C46B3"/>
    <w:rsid w:val="007D63FD"/>
    <w:rsid w:val="007F6ED0"/>
    <w:rsid w:val="00837B53"/>
    <w:rsid w:val="00861903"/>
    <w:rsid w:val="00873146"/>
    <w:rsid w:val="008918F5"/>
    <w:rsid w:val="008931C0"/>
    <w:rsid w:val="008C31BB"/>
    <w:rsid w:val="008D6010"/>
    <w:rsid w:val="00903989"/>
    <w:rsid w:val="00936A9B"/>
    <w:rsid w:val="009607C0"/>
    <w:rsid w:val="00985626"/>
    <w:rsid w:val="00985A58"/>
    <w:rsid w:val="009D2B7D"/>
    <w:rsid w:val="009E2355"/>
    <w:rsid w:val="009F0B62"/>
    <w:rsid w:val="00A165E0"/>
    <w:rsid w:val="00A85F2C"/>
    <w:rsid w:val="00AF2410"/>
    <w:rsid w:val="00B153E5"/>
    <w:rsid w:val="00B43BF6"/>
    <w:rsid w:val="00BC715F"/>
    <w:rsid w:val="00C36D07"/>
    <w:rsid w:val="00C574CD"/>
    <w:rsid w:val="00C64B4B"/>
    <w:rsid w:val="00C6709A"/>
    <w:rsid w:val="00C85480"/>
    <w:rsid w:val="00C9789C"/>
    <w:rsid w:val="00CA26FA"/>
    <w:rsid w:val="00CB66BC"/>
    <w:rsid w:val="00CF338C"/>
    <w:rsid w:val="00D76EAC"/>
    <w:rsid w:val="00D813EC"/>
    <w:rsid w:val="00E05A15"/>
    <w:rsid w:val="00E216E3"/>
    <w:rsid w:val="00E23942"/>
    <w:rsid w:val="00E30EF0"/>
    <w:rsid w:val="00E507C4"/>
    <w:rsid w:val="00EB0FE2"/>
    <w:rsid w:val="00EB444A"/>
    <w:rsid w:val="00F03372"/>
    <w:rsid w:val="00F0398C"/>
    <w:rsid w:val="00F40434"/>
    <w:rsid w:val="00F743F3"/>
    <w:rsid w:val="00FA07FA"/>
    <w:rsid w:val="00FB4A9A"/>
    <w:rsid w:val="00FB67B0"/>
    <w:rsid w:val="00FB79DF"/>
    <w:rsid w:val="00FE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84B4"/>
  <w15:docId w15:val="{BF353173-CC06-411C-B516-B21DD009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64"/>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4F64"/>
    <w:rPr>
      <w:noProof/>
      <w:lang w:val="vi-VN"/>
    </w:rPr>
  </w:style>
  <w:style w:type="paragraph" w:styleId="Footer">
    <w:name w:val="footer"/>
    <w:basedOn w:val="Normal"/>
    <w:link w:val="Foot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4F64"/>
    <w:rPr>
      <w:noProof/>
      <w:lang w:val="vi-VN"/>
    </w:rPr>
  </w:style>
  <w:style w:type="character" w:styleId="Strong">
    <w:name w:val="Strong"/>
    <w:basedOn w:val="DefaultParagraphFont"/>
    <w:uiPriority w:val="22"/>
    <w:qFormat/>
    <w:rsid w:val="00404F64"/>
    <w:rPr>
      <w:b/>
      <w:bCs/>
    </w:rPr>
  </w:style>
  <w:style w:type="paragraph" w:styleId="NormalWeb">
    <w:name w:val="Normal (Web)"/>
    <w:basedOn w:val="Normal"/>
    <w:uiPriority w:val="99"/>
    <w:unhideWhenUsed/>
    <w:rsid w:val="00404F64"/>
    <w:pPr>
      <w:spacing w:before="100" w:beforeAutospacing="1" w:after="100" w:afterAutospacing="1"/>
    </w:pPr>
  </w:style>
  <w:style w:type="character" w:styleId="Hyperlink">
    <w:name w:val="Hyperlink"/>
    <w:basedOn w:val="DefaultParagraphFont"/>
    <w:uiPriority w:val="99"/>
    <w:unhideWhenUsed/>
    <w:rsid w:val="00404F64"/>
    <w:rPr>
      <w:color w:val="0000FF"/>
      <w:u w:val="single"/>
    </w:rPr>
  </w:style>
  <w:style w:type="paragraph" w:styleId="ListParagraph">
    <w:name w:val="List Paragraph"/>
    <w:basedOn w:val="Normal"/>
    <w:link w:val="ListParagraphChar"/>
    <w:uiPriority w:val="34"/>
    <w:qFormat/>
    <w:rsid w:val="00404F64"/>
    <w:pPr>
      <w:ind w:left="720"/>
      <w:contextualSpacing/>
    </w:pPr>
  </w:style>
  <w:style w:type="character" w:customStyle="1" w:styleId="ListParagraphChar">
    <w:name w:val="List Paragraph Char"/>
    <w:link w:val="ListParagraph"/>
    <w:uiPriority w:val="34"/>
    <w:locked/>
    <w:rsid w:val="00404F64"/>
    <w:rPr>
      <w:rFonts w:ascii="Times New Roman" w:eastAsia="Times New Roman" w:hAnsi="Times New Roman" w:cs="Times New Roman"/>
      <w:noProof/>
      <w:sz w:val="24"/>
      <w:szCs w:val="24"/>
      <w:lang w:val="vi-VN"/>
    </w:rPr>
  </w:style>
  <w:style w:type="paragraph" w:styleId="BalloonText">
    <w:name w:val="Balloon Text"/>
    <w:basedOn w:val="Normal"/>
    <w:link w:val="BalloonTextChar"/>
    <w:uiPriority w:val="99"/>
    <w:semiHidden/>
    <w:unhideWhenUsed/>
    <w:rsid w:val="00404F64"/>
    <w:rPr>
      <w:rFonts w:ascii="Tahoma" w:hAnsi="Tahoma" w:cs="Tahoma"/>
      <w:sz w:val="16"/>
      <w:szCs w:val="16"/>
    </w:rPr>
  </w:style>
  <w:style w:type="character" w:customStyle="1" w:styleId="BalloonTextChar">
    <w:name w:val="Balloon Text Char"/>
    <w:basedOn w:val="DefaultParagraphFont"/>
    <w:link w:val="BalloonText"/>
    <w:uiPriority w:val="99"/>
    <w:semiHidden/>
    <w:rsid w:val="00404F64"/>
    <w:rPr>
      <w:rFonts w:ascii="Tahoma" w:eastAsia="Times New Roman"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ADK-012</dc:creator>
  <cp:lastModifiedBy>ADK-003</cp:lastModifiedBy>
  <cp:revision>12</cp:revision>
  <dcterms:created xsi:type="dcterms:W3CDTF">2022-06-14T10:23:00Z</dcterms:created>
  <dcterms:modified xsi:type="dcterms:W3CDTF">2022-06-15T10:08:00Z</dcterms:modified>
</cp:coreProperties>
</file>