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34" w:rsidRPr="009A7034" w:rsidRDefault="009A7034" w:rsidP="009A7034">
      <w:pPr>
        <w:pStyle w:val="ListParagraph"/>
        <w:jc w:val="center"/>
        <w:rPr>
          <w:rFonts w:ascii="Cambria" w:hAnsi="Cambria"/>
          <w:b/>
          <w:caps/>
          <w:noProof w:val="0"/>
          <w:sz w:val="22"/>
          <w:szCs w:val="22"/>
          <w:lang w:val="en-US"/>
        </w:rPr>
      </w:pPr>
      <w:bookmarkStart w:id="0" w:name="_GoBack"/>
      <w:bookmarkEnd w:id="0"/>
      <w:r w:rsidRPr="009A7034">
        <w:rPr>
          <w:rFonts w:ascii="Cambria" w:hAnsi="Cambria"/>
          <w:b/>
          <w:caps/>
          <w:noProof w:val="0"/>
          <w:sz w:val="22"/>
          <w:szCs w:val="22"/>
          <w:lang w:val="en-US"/>
        </w:rPr>
        <w:t>Preventing tax loss in real estate transfer</w:t>
      </w:r>
    </w:p>
    <w:p w:rsidR="009A7034" w:rsidRDefault="009A7034" w:rsidP="009A7034">
      <w:pPr>
        <w:pStyle w:val="ListParagraph"/>
        <w:jc w:val="both"/>
        <w:rPr>
          <w:rFonts w:ascii="Cambria" w:hAnsi="Cambria"/>
          <w:b/>
          <w:noProof w:val="0"/>
          <w:sz w:val="22"/>
          <w:szCs w:val="22"/>
          <w:lang w:val="en-US"/>
        </w:rPr>
      </w:pPr>
    </w:p>
    <w:p w:rsidR="009A7034" w:rsidRDefault="009A7034" w:rsidP="009A7034">
      <w:pPr>
        <w:pStyle w:val="ListParagraph"/>
        <w:ind w:left="0"/>
        <w:jc w:val="both"/>
        <w:rPr>
          <w:rFonts w:ascii="Cambria" w:hAnsi="Cambria"/>
          <w:noProof w:val="0"/>
          <w:sz w:val="22"/>
          <w:szCs w:val="22"/>
          <w:lang w:val="en-US"/>
        </w:rPr>
      </w:pPr>
      <w:r w:rsidRPr="002D0663">
        <w:rPr>
          <w:rFonts w:ascii="Cambria" w:hAnsi="Cambria"/>
          <w:noProof w:val="0"/>
          <w:sz w:val="22"/>
          <w:szCs w:val="22"/>
          <w:lang w:val="en-US"/>
        </w:rPr>
        <w:t xml:space="preserve">Ministry of Finance has recently issued Official Letter No. 3849/BTC-TCT regarding preventing tax loss in real estate business and transfer. </w:t>
      </w:r>
    </w:p>
    <w:p w:rsidR="009A7034" w:rsidRDefault="009A7034" w:rsidP="009A7034">
      <w:pPr>
        <w:pStyle w:val="ListParagraph"/>
        <w:ind w:left="0"/>
        <w:jc w:val="both"/>
        <w:rPr>
          <w:rFonts w:ascii="Cambria" w:hAnsi="Cambria"/>
          <w:noProof w:val="0"/>
          <w:sz w:val="22"/>
          <w:szCs w:val="22"/>
          <w:lang w:val="en-US"/>
        </w:rPr>
      </w:pPr>
    </w:p>
    <w:p w:rsidR="009A7034" w:rsidRDefault="009A7034" w:rsidP="009A7034">
      <w:pPr>
        <w:pStyle w:val="ListParagraph"/>
        <w:ind w:left="0"/>
        <w:jc w:val="both"/>
        <w:rPr>
          <w:rFonts w:ascii="Cambria" w:hAnsi="Cambria"/>
          <w:noProof w:val="0"/>
          <w:sz w:val="22"/>
          <w:szCs w:val="22"/>
          <w:lang w:val="en-US"/>
        </w:rPr>
      </w:pPr>
      <w:r w:rsidRPr="002D0663">
        <w:rPr>
          <w:rFonts w:ascii="Cambria" w:hAnsi="Cambria"/>
          <w:noProof w:val="0"/>
          <w:sz w:val="22"/>
          <w:szCs w:val="22"/>
          <w:lang w:val="en-US"/>
        </w:rPr>
        <w:t>Accordingly, for resolving several obstacles causing problems in an affair of preventing tax loss from real estate business and transfer, the Ministry of Finance enacted guidelines to addre</w:t>
      </w:r>
      <w:r>
        <w:rPr>
          <w:rFonts w:ascii="Cambria" w:hAnsi="Cambria"/>
          <w:noProof w:val="0"/>
          <w:sz w:val="22"/>
          <w:szCs w:val="22"/>
          <w:lang w:val="en-US"/>
        </w:rPr>
        <w:t>ss specific problems as follows:</w:t>
      </w:r>
    </w:p>
    <w:p w:rsidR="009A7034" w:rsidRDefault="009A7034" w:rsidP="009A7034">
      <w:pPr>
        <w:pStyle w:val="ListParagraph"/>
        <w:ind w:left="0"/>
        <w:jc w:val="both"/>
        <w:rPr>
          <w:rFonts w:ascii="Cambria" w:hAnsi="Cambria"/>
          <w:noProof w:val="0"/>
          <w:sz w:val="22"/>
          <w:szCs w:val="22"/>
          <w:lang w:val="en-US"/>
        </w:rPr>
      </w:pPr>
      <w:r w:rsidRPr="002D0663">
        <w:rPr>
          <w:rFonts w:ascii="Cambria" w:hAnsi="Cambria"/>
          <w:noProof w:val="0"/>
          <w:sz w:val="22"/>
          <w:szCs w:val="22"/>
          <w:lang w:val="en-US"/>
        </w:rPr>
        <w:t>Pursuant to Article 2.11 of Decree No. 12/2015/ND-CP and Article 17 of Circular No. 92/2015/TT-BTC, a land price table regulated by the Provincial People's Committee is the basis of tax calculation for cases of non-prices on the transfer contract or prices on the transfer contract are lower than the land price prescribed by the Provincial People's Committee at the time of transfer.</w:t>
      </w:r>
    </w:p>
    <w:p w:rsidR="009A7034" w:rsidRDefault="009A7034" w:rsidP="009A7034">
      <w:pPr>
        <w:pStyle w:val="ListParagraph"/>
        <w:ind w:left="0"/>
        <w:jc w:val="both"/>
        <w:rPr>
          <w:rFonts w:ascii="Cambria" w:hAnsi="Cambria"/>
          <w:noProof w:val="0"/>
          <w:sz w:val="22"/>
          <w:szCs w:val="22"/>
          <w:lang w:val="en-US"/>
        </w:rPr>
      </w:pPr>
    </w:p>
    <w:p w:rsidR="009A7034" w:rsidRDefault="009A7034" w:rsidP="009A7034">
      <w:pPr>
        <w:pStyle w:val="ListParagraph"/>
        <w:ind w:left="0"/>
        <w:jc w:val="both"/>
        <w:rPr>
          <w:rFonts w:ascii="Cambria" w:hAnsi="Cambria"/>
          <w:noProof w:val="0"/>
          <w:sz w:val="22"/>
          <w:szCs w:val="22"/>
          <w:lang w:val="en-US"/>
        </w:rPr>
      </w:pPr>
      <w:r w:rsidRPr="002D0663">
        <w:rPr>
          <w:rFonts w:ascii="Cambria" w:hAnsi="Cambria"/>
          <w:noProof w:val="0"/>
          <w:sz w:val="22"/>
          <w:szCs w:val="22"/>
          <w:lang w:val="en-US"/>
        </w:rPr>
        <w:t>According to Land Law 2013, the People's Committee of the Province enacted the Land Price Table every 5 years and a land price adjustment annually. For ensuring publicity and transparency in the affair of management of real estate business and transfer, requiring the People's Committees of Provinces and Cities to take care and provide th</w:t>
      </w:r>
      <w:r>
        <w:rPr>
          <w:rFonts w:ascii="Cambria" w:hAnsi="Cambria"/>
          <w:noProof w:val="0"/>
          <w:sz w:val="22"/>
          <w:szCs w:val="22"/>
          <w:lang w:val="en-US"/>
        </w:rPr>
        <w:t>e following noticeable contents:</w:t>
      </w:r>
    </w:p>
    <w:p w:rsidR="009A7034" w:rsidRDefault="009A7034" w:rsidP="009A7034">
      <w:pPr>
        <w:pStyle w:val="ListParagraph"/>
        <w:jc w:val="both"/>
        <w:rPr>
          <w:rFonts w:ascii="Cambria" w:hAnsi="Cambria"/>
          <w:noProof w:val="0"/>
          <w:sz w:val="22"/>
          <w:szCs w:val="22"/>
          <w:lang w:val="en-US"/>
        </w:rPr>
      </w:pPr>
    </w:p>
    <w:p w:rsidR="009A7034" w:rsidRPr="002D0663" w:rsidRDefault="009A7034" w:rsidP="009A7034">
      <w:pPr>
        <w:pStyle w:val="ListParagraph"/>
        <w:numPr>
          <w:ilvl w:val="0"/>
          <w:numId w:val="3"/>
        </w:numPr>
        <w:ind w:left="709"/>
        <w:jc w:val="both"/>
        <w:rPr>
          <w:rFonts w:ascii="Cambria" w:hAnsi="Cambria"/>
          <w:b/>
          <w:noProof w:val="0"/>
          <w:sz w:val="22"/>
          <w:szCs w:val="22"/>
          <w:lang w:val="en-US"/>
        </w:rPr>
      </w:pPr>
      <w:r w:rsidRPr="002D0663">
        <w:rPr>
          <w:rFonts w:ascii="Cambria" w:hAnsi="Cambria"/>
          <w:noProof w:val="0"/>
          <w:sz w:val="22"/>
          <w:szCs w:val="22"/>
          <w:lang w:val="en-US"/>
        </w:rPr>
        <w:t>In regards to land locations, road sections, and roads that had prices pursuant to Land Price Table and land price adjustment coefficient issued by the Provincial People's Committee: the Provincial People's Committee is required to issue the Price Land Table (including land price adjustment coefficient) in order to facilitate tax calculation according to the above-mentioned regulations.</w:t>
      </w:r>
    </w:p>
    <w:p w:rsidR="009A7034" w:rsidRPr="002D0663" w:rsidRDefault="009A7034" w:rsidP="009A7034">
      <w:pPr>
        <w:pStyle w:val="ListParagraph"/>
        <w:ind w:left="709"/>
        <w:jc w:val="both"/>
        <w:rPr>
          <w:rFonts w:ascii="Cambria" w:hAnsi="Cambria"/>
          <w:b/>
          <w:noProof w:val="0"/>
          <w:sz w:val="22"/>
          <w:szCs w:val="22"/>
          <w:lang w:val="en-US"/>
        </w:rPr>
      </w:pPr>
    </w:p>
    <w:p w:rsidR="009A7034" w:rsidRPr="002D0663" w:rsidRDefault="009A7034" w:rsidP="009A7034">
      <w:pPr>
        <w:pStyle w:val="ListParagraph"/>
        <w:numPr>
          <w:ilvl w:val="0"/>
          <w:numId w:val="3"/>
        </w:numPr>
        <w:ind w:left="709"/>
        <w:jc w:val="both"/>
        <w:rPr>
          <w:rFonts w:ascii="Cambria" w:hAnsi="Cambria"/>
          <w:b/>
          <w:noProof w:val="0"/>
          <w:sz w:val="22"/>
          <w:szCs w:val="22"/>
          <w:lang w:val="en-US"/>
        </w:rPr>
      </w:pPr>
      <w:r w:rsidRPr="002D0663">
        <w:rPr>
          <w:rFonts w:ascii="Cambria" w:hAnsi="Cambria"/>
          <w:noProof w:val="0"/>
          <w:sz w:val="22"/>
          <w:szCs w:val="22"/>
          <w:lang w:val="en-US"/>
        </w:rPr>
        <w:t>In regards to land locations, road sections, and roads have not had prices comply with the Land Price Table issued by the People's Committee of the province: the Provincial People's Committee is required to command the Department of Natural Resources and Environment to cooperate with the equivalent agencies to review for advising the Provincial People's Committee to immediately enact the Decision on adjustment and supplement Land Price Table for each location being complied with the real transaction price on the market and the selling price of investor. In cases of non-issuing it, investors are required to publicize the selling prices and notify the equivalent individuals and organizations when proceeding with transactions on real estate formed in the future as well as performing financial obligations regarding real estate transfers.</w:t>
      </w:r>
    </w:p>
    <w:p w:rsidR="009A7034" w:rsidRPr="002D0663" w:rsidRDefault="009A7034" w:rsidP="009A7034">
      <w:pPr>
        <w:pStyle w:val="ListParagraph"/>
        <w:ind w:left="709"/>
        <w:rPr>
          <w:rFonts w:ascii="Cambria" w:hAnsi="Cambria"/>
          <w:noProof w:val="0"/>
          <w:sz w:val="22"/>
          <w:szCs w:val="22"/>
          <w:lang w:val="en-US"/>
        </w:rPr>
      </w:pPr>
    </w:p>
    <w:p w:rsidR="009A7034" w:rsidRPr="002D0663" w:rsidRDefault="009A7034" w:rsidP="009A7034">
      <w:pPr>
        <w:pStyle w:val="ListParagraph"/>
        <w:numPr>
          <w:ilvl w:val="0"/>
          <w:numId w:val="3"/>
        </w:numPr>
        <w:ind w:left="709"/>
        <w:jc w:val="both"/>
        <w:rPr>
          <w:rFonts w:ascii="Cambria" w:hAnsi="Cambria"/>
          <w:b/>
          <w:noProof w:val="0"/>
          <w:sz w:val="22"/>
          <w:szCs w:val="22"/>
          <w:lang w:val="en-US"/>
        </w:rPr>
      </w:pPr>
      <w:r w:rsidRPr="002D0663">
        <w:rPr>
          <w:rFonts w:ascii="Cambria" w:hAnsi="Cambria"/>
          <w:noProof w:val="0"/>
          <w:sz w:val="22"/>
          <w:szCs w:val="22"/>
          <w:lang w:val="en-US"/>
        </w:rPr>
        <w:t>The application for real estate transfer shall be submitted to competent authorities through a one-stop-shop mechanism (the Natural Resources and Environment Agency, the Land Registry, the One-Stop-Shop Section of the People's Committee...): the agency receiving dossiers through the one-stop-shop mechanism is responsible for disseminating laws, propagating and guiding taxpayers on the location, street, and how to identify and apply specific prices of each type of real estate (including the land price adjustment coefficient as prescribed by the Provincial People's Committee) for organizations and individuals acknowledge and comply with regulations when performing financial registration regarding real estate transfers.</w:t>
      </w:r>
    </w:p>
    <w:p w:rsidR="009A7034" w:rsidRPr="005D66E8" w:rsidRDefault="009A7034" w:rsidP="009A7034">
      <w:pPr>
        <w:spacing w:after="160" w:line="259" w:lineRule="auto"/>
        <w:rPr>
          <w:rFonts w:ascii="Cambria" w:hAnsi="Cambria"/>
          <w:noProof w:val="0"/>
          <w:sz w:val="22"/>
          <w:szCs w:val="22"/>
          <w:lang w:val="en-US"/>
        </w:rPr>
      </w:pPr>
    </w:p>
    <w:tbl>
      <w:tblPr>
        <w:tblpPr w:leftFromText="180" w:rightFromText="180" w:vertAnchor="page" w:horzAnchor="margin" w:tblpXSpec="center" w:tblpY="2581"/>
        <w:tblW w:w="8431" w:type="dxa"/>
        <w:tblBorders>
          <w:top w:val="thickThinMediumGap" w:sz="4" w:space="0" w:color="000000"/>
          <w:left w:val="thickThinMediumGap" w:sz="4" w:space="0" w:color="000000"/>
          <w:bottom w:val="thickThinMediumGap" w:sz="4" w:space="0" w:color="000000"/>
          <w:right w:val="thickThinMediumGap" w:sz="4" w:space="0" w:color="000000"/>
          <w:insideH w:val="thickThinMediumGap" w:sz="4" w:space="0" w:color="000000"/>
          <w:insideV w:val="thickThinMediumGap" w:sz="4" w:space="0" w:color="000000"/>
        </w:tblBorders>
        <w:tblLayout w:type="fixed"/>
        <w:tblCellMar>
          <w:left w:w="0" w:type="dxa"/>
          <w:right w:w="0" w:type="dxa"/>
        </w:tblCellMar>
        <w:tblLook w:val="01E0" w:firstRow="1" w:lastRow="1" w:firstColumn="1" w:lastColumn="1" w:noHBand="0" w:noVBand="0"/>
      </w:tblPr>
      <w:tblGrid>
        <w:gridCol w:w="20"/>
        <w:gridCol w:w="8391"/>
        <w:gridCol w:w="20"/>
      </w:tblGrid>
      <w:tr w:rsidR="009A7034" w:rsidRPr="005D66E8" w:rsidTr="00FF1906">
        <w:trPr>
          <w:trHeight w:val="4343"/>
        </w:trPr>
        <w:tc>
          <w:tcPr>
            <w:tcW w:w="20" w:type="dxa"/>
            <w:tcBorders>
              <w:top w:val="nil"/>
              <w:left w:val="nil"/>
              <w:right w:val="nil"/>
            </w:tcBorders>
          </w:tcPr>
          <w:p w:rsidR="009A7034" w:rsidRPr="005D66E8" w:rsidRDefault="009A7034" w:rsidP="00FF1906">
            <w:pPr>
              <w:rPr>
                <w:rFonts w:ascii="Cambria" w:hAnsi="Cambria"/>
                <w:noProof w:val="0"/>
                <w:color w:val="000000" w:themeColor="text1"/>
                <w:sz w:val="22"/>
                <w:szCs w:val="22"/>
                <w:lang w:val="en-US"/>
              </w:rPr>
            </w:pPr>
            <w:bookmarkStart w:id="1" w:name="_Hlk75963262"/>
          </w:p>
        </w:tc>
        <w:tc>
          <w:tcPr>
            <w:tcW w:w="8391" w:type="dxa"/>
            <w:tcBorders>
              <w:top w:val="double" w:sz="1" w:space="0" w:color="000000"/>
              <w:left w:val="nil"/>
              <w:right w:val="nil"/>
            </w:tcBorders>
            <w:shd w:val="clear" w:color="auto" w:fill="D9E1F3"/>
          </w:tcPr>
          <w:p w:rsidR="009A7034" w:rsidRPr="005D66E8" w:rsidRDefault="009A7034" w:rsidP="00FF1906">
            <w:pPr>
              <w:rPr>
                <w:rFonts w:ascii="Cambria" w:hAnsi="Cambria"/>
                <w:b/>
                <w:noProof w:val="0"/>
                <w:color w:val="000000" w:themeColor="text1"/>
                <w:sz w:val="22"/>
                <w:szCs w:val="22"/>
                <w:lang w:val="en-US"/>
              </w:rPr>
            </w:pPr>
          </w:p>
          <w:p w:rsidR="009A7034" w:rsidRPr="005D66E8" w:rsidRDefault="009A7034"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This document has been only prepared for general</w:t>
            </w:r>
            <w:r w:rsidRPr="005D66E8">
              <w:rPr>
                <w:rFonts w:ascii="Cambria" w:hAnsi="Cambria"/>
                <w:noProof w:val="0"/>
                <w:lang w:val="en-US"/>
              </w:rPr>
              <w:t xml:space="preserve"> </w:t>
            </w:r>
            <w:r w:rsidRPr="005D66E8">
              <w:rPr>
                <w:rFonts w:ascii="Cambria" w:hAnsi="Cambria" w:cs="Arial"/>
                <w:noProof w:val="0"/>
                <w:lang w:val="en-US" w:eastAsia="en-GB"/>
              </w:rPr>
              <w:t>information purposes and makes no representations or warranties, express or implied, as to the accuracy, timeliness, or completeness of such information. This legal update is not intended to be relied upon as accounting, tax, legal, or other professional advice.</w:t>
            </w:r>
          </w:p>
          <w:p w:rsidR="009A7034" w:rsidRPr="005D66E8" w:rsidRDefault="009A7034" w:rsidP="00FF1906">
            <w:pPr>
              <w:widowControl w:val="0"/>
              <w:autoSpaceDE w:val="0"/>
              <w:autoSpaceDN w:val="0"/>
              <w:ind w:left="68" w:right="102" w:hanging="17"/>
              <w:contextualSpacing/>
              <w:jc w:val="both"/>
              <w:rPr>
                <w:rFonts w:ascii="Cambria" w:hAnsi="Cambria" w:cs="Arial"/>
                <w:noProof w:val="0"/>
                <w:lang w:val="en-US" w:eastAsia="en-GB"/>
              </w:rPr>
            </w:pPr>
          </w:p>
          <w:p w:rsidR="009A7034" w:rsidRPr="005D66E8" w:rsidRDefault="009A7034"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If you have or suspect that you may have a particular problem, you should contact us or your lawyer for specific advice on the matter.</w:t>
            </w:r>
          </w:p>
          <w:p w:rsidR="009A7034" w:rsidRPr="005D66E8" w:rsidRDefault="009A7034" w:rsidP="00FF1906">
            <w:pPr>
              <w:widowControl w:val="0"/>
              <w:autoSpaceDE w:val="0"/>
              <w:autoSpaceDN w:val="0"/>
              <w:ind w:left="68" w:right="102" w:hanging="17"/>
              <w:contextualSpacing/>
              <w:jc w:val="both"/>
              <w:rPr>
                <w:rFonts w:ascii="Cambria" w:hAnsi="Cambria" w:cs="Arial"/>
                <w:noProof w:val="0"/>
                <w:lang w:val="en-US" w:eastAsia="en-GB"/>
              </w:rPr>
            </w:pPr>
          </w:p>
          <w:p w:rsidR="009A7034" w:rsidRPr="005D66E8" w:rsidRDefault="009A7034" w:rsidP="00FF1906">
            <w:pPr>
              <w:widowControl w:val="0"/>
              <w:autoSpaceDE w:val="0"/>
              <w:autoSpaceDN w:val="0"/>
              <w:ind w:left="68" w:right="102" w:hanging="17"/>
              <w:contextualSpacing/>
              <w:jc w:val="center"/>
              <w:rPr>
                <w:rFonts w:ascii="Cambria" w:hAnsi="Cambria" w:cs="Arial"/>
                <w:b/>
                <w:bCs/>
                <w:noProof w:val="0"/>
                <w:lang w:val="en-US" w:eastAsia="en-GB"/>
              </w:rPr>
            </w:pPr>
            <w:r w:rsidRPr="005D66E8">
              <w:rPr>
                <w:rFonts w:ascii="Cambria" w:hAnsi="Cambria" w:cs="Arial"/>
                <w:b/>
                <w:bCs/>
                <w:noProof w:val="0"/>
                <w:lang w:val="en-US" w:eastAsia="en-GB"/>
              </w:rPr>
              <w:t>ADK VIET NAM LAWYERS</w:t>
            </w:r>
          </w:p>
          <w:p w:rsidR="009A7034" w:rsidRPr="005D66E8" w:rsidRDefault="009A7034" w:rsidP="00FF1906">
            <w:pPr>
              <w:widowControl w:val="0"/>
              <w:autoSpaceDE w:val="0"/>
              <w:autoSpaceDN w:val="0"/>
              <w:ind w:left="68" w:right="102" w:hanging="17"/>
              <w:contextualSpacing/>
              <w:jc w:val="both"/>
              <w:rPr>
                <w:rFonts w:ascii="Cambria" w:hAnsi="Cambria" w:cs="Arial"/>
                <w:b/>
                <w:bCs/>
                <w:noProof w:val="0"/>
                <w:lang w:val="en-US" w:eastAsia="en-GB"/>
              </w:rPr>
            </w:pPr>
          </w:p>
          <w:p w:rsidR="009A7034" w:rsidRPr="005D66E8" w:rsidRDefault="009A7034" w:rsidP="00FF1906">
            <w:pPr>
              <w:rPr>
                <w:rFonts w:ascii="Cambria" w:hAnsi="Cambria"/>
                <w:color w:val="000000"/>
                <w:lang w:val="en-GB"/>
              </w:rPr>
            </w:pPr>
            <w:r w:rsidRPr="005D66E8">
              <w:rPr>
                <w:rFonts w:ascii="Cambria" w:hAnsi="Cambria"/>
                <w:b/>
                <w:bCs/>
                <w:color w:val="000000"/>
                <w:lang w:val="en-GB"/>
              </w:rPr>
              <w:t>Ho Chi Minh Office</w:t>
            </w:r>
            <w:r w:rsidRPr="005D66E8">
              <w:rPr>
                <w:rFonts w:ascii="Cambria" w:hAnsi="Cambria"/>
                <w:color w:val="000000"/>
                <w:lang w:val="en-GB"/>
              </w:rPr>
              <w:t>: Ground Fl. HBT Tower, 456-458 Hai Ba Trung Str., Tan Dinh Ward, District 1, HCM City, VN</w:t>
            </w:r>
          </w:p>
          <w:p w:rsidR="009A7034" w:rsidRPr="005D66E8" w:rsidRDefault="009A7034" w:rsidP="00FF1906">
            <w:pPr>
              <w:rPr>
                <w:rFonts w:ascii="Cambria" w:hAnsi="Cambria"/>
                <w:color w:val="000000"/>
                <w:lang w:val="en-US"/>
              </w:rPr>
            </w:pPr>
            <w:r w:rsidRPr="005D66E8">
              <w:rPr>
                <w:rFonts w:ascii="Cambria" w:hAnsi="Cambria"/>
                <w:b/>
                <w:bCs/>
                <w:color w:val="000000"/>
                <w:lang w:val="en-GB"/>
              </w:rPr>
              <w:t>Ha Noi Office</w:t>
            </w:r>
            <w:r w:rsidRPr="005D66E8">
              <w:rPr>
                <w:rFonts w:ascii="Cambria" w:hAnsi="Cambria"/>
                <w:color w:val="000000"/>
                <w:lang w:val="en-GB"/>
              </w:rPr>
              <w:t>: </w:t>
            </w:r>
            <w:r w:rsidRPr="005D66E8">
              <w:rPr>
                <w:rFonts w:ascii="Cambria" w:hAnsi="Cambria"/>
                <w:color w:val="333333"/>
              </w:rPr>
              <w:t>Ground Fl. Pax Sky Building, 63-65 Ngo Thi Nham Str., Pham Dinh Ho Ward, Hai Ba Trung District, Hanoi City, VN</w:t>
            </w:r>
            <w:r w:rsidRPr="005D66E8">
              <w:rPr>
                <w:rFonts w:ascii="Cambria" w:hAnsi="Cambria"/>
                <w:color w:val="000000"/>
                <w:lang w:val="en-GB"/>
              </w:rPr>
              <w:t>    </w:t>
            </w:r>
          </w:p>
          <w:p w:rsidR="009A7034" w:rsidRPr="005D66E8" w:rsidRDefault="009A7034" w:rsidP="00FF1906">
            <w:pPr>
              <w:pStyle w:val="ListParagraph"/>
              <w:spacing w:line="264" w:lineRule="auto"/>
              <w:ind w:left="0"/>
              <w:jc w:val="both"/>
              <w:rPr>
                <w:rFonts w:ascii="Cambria" w:hAnsi="Cambria" w:cs="Arial"/>
                <w:lang w:val="en-US" w:eastAsia="en-GB"/>
              </w:rPr>
            </w:pPr>
            <w:r w:rsidRPr="005D66E8">
              <w:rPr>
                <w:rFonts w:ascii="Cambria" w:hAnsi="Cambria" w:cs="Arial"/>
                <w:lang w:val="en-US" w:eastAsia="en-GB"/>
              </w:rPr>
              <w:t>Hotline: (+84) 28 66 79 79 66 or (+84) 939 107 387</w:t>
            </w:r>
          </w:p>
          <w:p w:rsidR="009A7034" w:rsidRPr="005D66E8" w:rsidRDefault="009A7034" w:rsidP="00FF1906">
            <w:pPr>
              <w:widowControl w:val="0"/>
              <w:autoSpaceDE w:val="0"/>
              <w:autoSpaceDN w:val="0"/>
              <w:ind w:left="68" w:right="102" w:hanging="17"/>
              <w:contextualSpacing/>
              <w:jc w:val="both"/>
              <w:rPr>
                <w:rFonts w:ascii="Cambria" w:hAnsi="Cambria" w:cs="Arial"/>
                <w:noProof w:val="0"/>
                <w:color w:val="0000FF"/>
                <w:u w:val="single"/>
                <w:lang w:val="en-US" w:eastAsia="en-GB"/>
              </w:rPr>
            </w:pPr>
            <w:r w:rsidRPr="005D66E8">
              <w:rPr>
                <w:rFonts w:ascii="Cambria" w:hAnsi="Cambria" w:cs="Arial"/>
                <w:noProof w:val="0"/>
                <w:lang w:val="en-US" w:eastAsia="en-GB"/>
              </w:rPr>
              <w:t xml:space="preserve">Email: </w:t>
            </w:r>
            <w:hyperlink r:id="rId7" w:history="1">
              <w:r w:rsidRPr="005D66E8">
                <w:rPr>
                  <w:rFonts w:ascii="Cambria" w:hAnsi="Cambria" w:cs="Arial"/>
                  <w:noProof w:val="0"/>
                  <w:color w:val="0000FF"/>
                  <w:u w:val="single"/>
                  <w:lang w:val="en-US" w:eastAsia="en-GB"/>
                </w:rPr>
                <w:t>info@adk-lawyers.com</w:t>
              </w:r>
            </w:hyperlink>
          </w:p>
          <w:p w:rsidR="009A7034" w:rsidRPr="005D66E8" w:rsidRDefault="009A7034" w:rsidP="00FF1906">
            <w:pPr>
              <w:widowControl w:val="0"/>
              <w:autoSpaceDE w:val="0"/>
              <w:autoSpaceDN w:val="0"/>
              <w:ind w:left="68" w:right="102" w:hanging="17"/>
              <w:contextualSpacing/>
              <w:jc w:val="both"/>
              <w:rPr>
                <w:rFonts w:ascii="Cambria" w:hAnsi="Cambria" w:cs="Arial"/>
                <w:noProof w:val="0"/>
                <w:lang w:val="en-US" w:eastAsia="en-GB"/>
              </w:rPr>
            </w:pPr>
            <w:r w:rsidRPr="005D66E8">
              <w:rPr>
                <w:rFonts w:ascii="Cambria" w:hAnsi="Cambria" w:cs="Arial"/>
                <w:noProof w:val="0"/>
                <w:lang w:val="en-US" w:eastAsia="en-GB"/>
              </w:rPr>
              <w:t>W</w:t>
            </w:r>
            <w:r w:rsidRPr="005D66E8">
              <w:rPr>
                <w:rFonts w:ascii="Cambria" w:hAnsi="Cambria" w:cs="Arial"/>
                <w:noProof w:val="0"/>
                <w:lang w:val="en-US"/>
              </w:rPr>
              <w:t xml:space="preserve">ebsite: </w:t>
            </w:r>
            <w:hyperlink r:id="rId8" w:history="1">
              <w:r w:rsidRPr="005D66E8">
                <w:rPr>
                  <w:rFonts w:ascii="Cambria" w:hAnsi="Cambria" w:cs="Arial"/>
                  <w:noProof w:val="0"/>
                  <w:color w:val="0000FF"/>
                  <w:u w:val="single"/>
                  <w:lang w:val="en-US"/>
                </w:rPr>
                <w:t>www.adk-lawyers.com</w:t>
              </w:r>
            </w:hyperlink>
            <w:r w:rsidRPr="005D66E8">
              <w:rPr>
                <w:rFonts w:ascii="Cambria" w:hAnsi="Cambria" w:cs="Arial"/>
                <w:noProof w:val="0"/>
                <w:lang w:val="en-US"/>
              </w:rPr>
              <w:t xml:space="preserve">  </w:t>
            </w:r>
          </w:p>
          <w:p w:rsidR="009A7034" w:rsidRPr="005D66E8" w:rsidRDefault="009A7034" w:rsidP="00FF1906">
            <w:pPr>
              <w:jc w:val="both"/>
              <w:rPr>
                <w:rFonts w:ascii="Cambria" w:hAnsi="Cambria"/>
                <w:noProof w:val="0"/>
                <w:color w:val="000000" w:themeColor="text1"/>
                <w:sz w:val="22"/>
                <w:szCs w:val="22"/>
                <w:lang w:val="en-US"/>
              </w:rPr>
            </w:pPr>
          </w:p>
        </w:tc>
        <w:tc>
          <w:tcPr>
            <w:tcW w:w="20" w:type="dxa"/>
            <w:tcBorders>
              <w:top w:val="nil"/>
              <w:left w:val="nil"/>
              <w:bottom w:val="single" w:sz="4" w:space="0" w:color="000000"/>
              <w:right w:val="nil"/>
            </w:tcBorders>
          </w:tcPr>
          <w:p w:rsidR="009A7034" w:rsidRPr="005D66E8" w:rsidRDefault="009A7034" w:rsidP="00FF1906">
            <w:pPr>
              <w:rPr>
                <w:rFonts w:ascii="Cambria" w:hAnsi="Cambria"/>
                <w:noProof w:val="0"/>
                <w:color w:val="000000" w:themeColor="text1"/>
                <w:lang w:val="en-US"/>
              </w:rPr>
            </w:pPr>
          </w:p>
        </w:tc>
      </w:tr>
      <w:bookmarkEnd w:id="1"/>
    </w:tbl>
    <w:p w:rsidR="009A7034" w:rsidRPr="005D66E8" w:rsidRDefault="009A7034" w:rsidP="009A7034">
      <w:pPr>
        <w:jc w:val="both"/>
        <w:rPr>
          <w:rFonts w:ascii="Cambria" w:hAnsi="Cambria"/>
          <w:noProof w:val="0"/>
          <w:lang w:val="en-US"/>
        </w:rPr>
      </w:pPr>
    </w:p>
    <w:p w:rsidR="009A7034" w:rsidRPr="005D66E8" w:rsidRDefault="009A7034" w:rsidP="009A7034">
      <w:pPr>
        <w:rPr>
          <w:rFonts w:ascii="Cambria" w:hAnsi="Cambria"/>
        </w:rPr>
      </w:pPr>
    </w:p>
    <w:p w:rsidR="009A7034" w:rsidRPr="005D66E8" w:rsidRDefault="009A7034" w:rsidP="009A7034">
      <w:pPr>
        <w:spacing w:line="252" w:lineRule="auto"/>
        <w:jc w:val="both"/>
        <w:rPr>
          <w:rFonts w:ascii="Cambria" w:hAnsi="Cambria"/>
        </w:rPr>
      </w:pPr>
    </w:p>
    <w:p w:rsidR="009A7034" w:rsidRPr="00662B88" w:rsidRDefault="009A7034" w:rsidP="009A7034"/>
    <w:p w:rsidR="009A7034" w:rsidRPr="005F1DC4" w:rsidRDefault="009A7034" w:rsidP="009A7034"/>
    <w:p w:rsidR="009F1ED6" w:rsidRPr="009A7034" w:rsidRDefault="00714718" w:rsidP="009A7034"/>
    <w:sectPr w:rsidR="009F1ED6" w:rsidRPr="009A7034" w:rsidSect="001D07CD">
      <w:headerReference w:type="default" r:id="rId9"/>
      <w:footerReference w:type="default" r:id="rId10"/>
      <w:pgSz w:w="12240" w:h="15840"/>
      <w:pgMar w:top="1138" w:right="1138" w:bottom="1138" w:left="1411"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4718" w:rsidRDefault="00714718">
      <w:r>
        <w:separator/>
      </w:r>
    </w:p>
  </w:endnote>
  <w:endnote w:type="continuationSeparator" w:id="0">
    <w:p w:rsidR="00714718" w:rsidRDefault="00714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Palatino Linotype">
    <w:altName w:val="Cambria Math"/>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Palatino Linotype" w:eastAsiaTheme="minorHAnsi" w:hAnsi="Palatino Linotype" w:cstheme="minorBidi"/>
        <w:b/>
        <w:sz w:val="18"/>
        <w:szCs w:val="18"/>
      </w:rPr>
      <w:id w:val="-457563540"/>
      <w:docPartObj>
        <w:docPartGallery w:val="Page Numbers (Bottom of Page)"/>
        <w:docPartUnique/>
      </w:docPartObj>
    </w:sdtPr>
    <w:sdtEndPr>
      <w:rPr>
        <w:rFonts w:asciiTheme="minorHAnsi" w:hAnsiTheme="minorHAnsi"/>
        <w:b w:val="0"/>
        <w:sz w:val="22"/>
        <w:szCs w:val="22"/>
      </w:rPr>
    </w:sdtEndPr>
    <w:sdtContent>
      <w:p w:rsidR="00112037" w:rsidRPr="00591F1C" w:rsidRDefault="009A7034" w:rsidP="00B653F8">
        <w:pPr>
          <w:pBdr>
            <w:top w:val="single" w:sz="4" w:space="0" w:color="808080"/>
            <w:left w:val="single" w:sz="4" w:space="4" w:color="808080"/>
            <w:bottom w:val="single" w:sz="4" w:space="0" w:color="808080"/>
            <w:right w:val="single" w:sz="4" w:space="1" w:color="808080"/>
          </w:pBdr>
          <w:tabs>
            <w:tab w:val="left" w:pos="250"/>
            <w:tab w:val="left" w:pos="8730"/>
            <w:tab w:val="left" w:pos="13770"/>
          </w:tabs>
          <w:spacing w:line="264" w:lineRule="auto"/>
          <w:jc w:val="center"/>
          <w:rPr>
            <w:rFonts w:ascii="Palatino Linotype" w:hAnsi="Palatino Linotype"/>
            <w:b/>
            <w:sz w:val="18"/>
            <w:szCs w:val="18"/>
          </w:rPr>
        </w:pPr>
        <w:r w:rsidRPr="00591F1C">
          <w:rPr>
            <w:rFonts w:ascii="Palatino Linotype" w:hAnsi="Palatino Linotype"/>
            <w:b/>
            <w:sz w:val="18"/>
            <w:szCs w:val="18"/>
          </w:rPr>
          <w:t>ADK</w:t>
        </w:r>
        <w:r>
          <w:rPr>
            <w:rFonts w:ascii="Palatino Linotype" w:hAnsi="Palatino Linotype"/>
            <w:b/>
            <w:sz w:val="18"/>
            <w:szCs w:val="18"/>
          </w:rPr>
          <w:t xml:space="preserve"> </w:t>
        </w:r>
        <w:r>
          <w:rPr>
            <w:rFonts w:ascii="Palatino Linotype" w:hAnsi="Palatino Linotype"/>
            <w:b/>
            <w:sz w:val="18"/>
            <w:szCs w:val="18"/>
            <w:lang w:val="en-US"/>
          </w:rPr>
          <w:t>Vietnam</w:t>
        </w:r>
        <w:r>
          <w:rPr>
            <w:rFonts w:ascii="Palatino Linotype" w:hAnsi="Palatino Linotype"/>
            <w:b/>
            <w:sz w:val="18"/>
            <w:szCs w:val="18"/>
          </w:rPr>
          <w:t xml:space="preserve"> Lawyers</w:t>
        </w:r>
      </w:p>
      <w:p w:rsidR="00112037" w:rsidRDefault="00714718" w:rsidP="00387487">
        <w:pPr>
          <w:pBdr>
            <w:top w:val="single" w:sz="4" w:space="0" w:color="808080"/>
            <w:left w:val="single" w:sz="4" w:space="4" w:color="808080"/>
            <w:bottom w:val="single" w:sz="4" w:space="0" w:color="808080"/>
            <w:right w:val="single" w:sz="4" w:space="1" w:color="808080"/>
          </w:pBdr>
          <w:tabs>
            <w:tab w:val="left" w:pos="250"/>
            <w:tab w:val="center" w:pos="4320"/>
            <w:tab w:val="left" w:pos="8730"/>
            <w:tab w:val="left" w:pos="13770"/>
          </w:tabs>
          <w:spacing w:line="264" w:lineRule="auto"/>
          <w:jc w:val="center"/>
        </w:pPr>
        <w:hyperlink r:id="rId1" w:history="1">
          <w:r w:rsidR="009A7034" w:rsidRPr="00D644F3">
            <w:rPr>
              <w:rStyle w:val="Hyperlink"/>
              <w:rFonts w:ascii="Palatino Linotype" w:hAnsi="Palatino Linotype"/>
              <w:sz w:val="18"/>
              <w:szCs w:val="18"/>
            </w:rPr>
            <w:t>www.adk-lawyers.com</w:t>
          </w:r>
        </w:hyperlink>
      </w:p>
      <w:p w:rsidR="00112037" w:rsidRDefault="00714718" w:rsidP="00387487">
        <w:pPr>
          <w:pStyle w:val="Footer"/>
          <w:jc w:val="center"/>
        </w:pP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4718" w:rsidRDefault="00714718">
      <w:r>
        <w:separator/>
      </w:r>
    </w:p>
  </w:footnote>
  <w:footnote w:type="continuationSeparator" w:id="0">
    <w:p w:rsidR="00714718" w:rsidRDefault="007147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037" w:rsidRDefault="009A7034" w:rsidP="00CA0056">
    <w:pPr>
      <w:pStyle w:val="Header"/>
      <w:ind w:left="-1440"/>
    </w:pPr>
    <w:r>
      <w:rPr>
        <w:lang w:val="en-US"/>
      </w:rPr>
      <w:drawing>
        <wp:inline distT="0" distB="0" distL="0" distR="0" wp14:anchorId="6C27BEAB" wp14:editId="4BCA9FCE">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3B31"/>
    <w:multiLevelType w:val="hybridMultilevel"/>
    <w:tmpl w:val="FF864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1D3AAE"/>
    <w:multiLevelType w:val="hybridMultilevel"/>
    <w:tmpl w:val="13B422F2"/>
    <w:lvl w:ilvl="0" w:tplc="9AFE9412">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74BC20FF"/>
    <w:multiLevelType w:val="hybridMultilevel"/>
    <w:tmpl w:val="5FB8AD6C"/>
    <w:lvl w:ilvl="0" w:tplc="D0FCD378">
      <w:start w:val="1"/>
      <w:numFmt w:val="low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C72"/>
    <w:rsid w:val="00002F8A"/>
    <w:rsid w:val="0060463D"/>
    <w:rsid w:val="00714718"/>
    <w:rsid w:val="008C02CF"/>
    <w:rsid w:val="00972C72"/>
    <w:rsid w:val="009A7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5589A3-C8A6-4753-B480-93057D9E6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7034"/>
    <w:pPr>
      <w:spacing w:after="0" w:line="240" w:lineRule="auto"/>
    </w:pPr>
    <w:rPr>
      <w:rFonts w:ascii="Times New Roman" w:eastAsia="Times New Roman" w:hAnsi="Times New Roman" w:cs="Times New Roman"/>
      <w:noProof/>
      <w:sz w:val="24"/>
      <w:szCs w:val="24"/>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7034"/>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A7034"/>
    <w:rPr>
      <w:noProof/>
      <w:lang w:val="vi-VN"/>
    </w:rPr>
  </w:style>
  <w:style w:type="paragraph" w:styleId="Footer">
    <w:name w:val="footer"/>
    <w:basedOn w:val="Normal"/>
    <w:link w:val="FooterChar"/>
    <w:uiPriority w:val="99"/>
    <w:unhideWhenUsed/>
    <w:rsid w:val="009A7034"/>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A7034"/>
    <w:rPr>
      <w:noProof/>
      <w:lang w:val="vi-VN"/>
    </w:rPr>
  </w:style>
  <w:style w:type="character" w:styleId="Strong">
    <w:name w:val="Strong"/>
    <w:basedOn w:val="DefaultParagraphFont"/>
    <w:uiPriority w:val="22"/>
    <w:qFormat/>
    <w:rsid w:val="009A7034"/>
    <w:rPr>
      <w:b/>
      <w:bCs/>
    </w:rPr>
  </w:style>
  <w:style w:type="paragraph" w:styleId="NormalWeb">
    <w:name w:val="Normal (Web)"/>
    <w:basedOn w:val="Normal"/>
    <w:uiPriority w:val="99"/>
    <w:unhideWhenUsed/>
    <w:rsid w:val="009A7034"/>
    <w:pPr>
      <w:spacing w:before="100" w:beforeAutospacing="1" w:after="100" w:afterAutospacing="1"/>
    </w:pPr>
  </w:style>
  <w:style w:type="character" w:styleId="Hyperlink">
    <w:name w:val="Hyperlink"/>
    <w:basedOn w:val="DefaultParagraphFont"/>
    <w:uiPriority w:val="99"/>
    <w:unhideWhenUsed/>
    <w:rsid w:val="009A7034"/>
    <w:rPr>
      <w:color w:val="0000FF"/>
      <w:u w:val="single"/>
    </w:rPr>
  </w:style>
  <w:style w:type="paragraph" w:styleId="ListParagraph">
    <w:name w:val="List Paragraph"/>
    <w:basedOn w:val="Normal"/>
    <w:link w:val="ListParagraphChar"/>
    <w:uiPriority w:val="34"/>
    <w:qFormat/>
    <w:rsid w:val="009A7034"/>
    <w:pPr>
      <w:ind w:left="720"/>
      <w:contextualSpacing/>
    </w:pPr>
  </w:style>
  <w:style w:type="character" w:customStyle="1" w:styleId="ListParagraphChar">
    <w:name w:val="List Paragraph Char"/>
    <w:link w:val="ListParagraph"/>
    <w:uiPriority w:val="34"/>
    <w:locked/>
    <w:rsid w:val="009A7034"/>
    <w:rPr>
      <w:rFonts w:ascii="Times New Roman" w:eastAsia="Times New Roman" w:hAnsi="Times New Roman" w:cs="Times New Roman"/>
      <w:noProof/>
      <w:sz w:val="24"/>
      <w:szCs w:val="24"/>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k-lawyers.com" TargetMode="External"/><Relationship Id="rId3" Type="http://schemas.openxmlformats.org/officeDocument/2006/relationships/settings" Target="settings.xml"/><Relationship Id="rId7" Type="http://schemas.openxmlformats.org/officeDocument/2006/relationships/hyperlink" Target="mailto:info@adk-lawyer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604</Words>
  <Characters>3449</Characters>
  <Application>Microsoft Office Word</Application>
  <DocSecurity>0</DocSecurity>
  <Lines>28</Lines>
  <Paragraphs>8</Paragraphs>
  <ScaleCrop>false</ScaleCrop>
  <Company>Tin Hoc Luna</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ADK-007</dc:creator>
  <cp:keywords/>
  <dc:description/>
  <cp:lastModifiedBy>ADK-003</cp:lastModifiedBy>
  <cp:revision>3</cp:revision>
  <dcterms:created xsi:type="dcterms:W3CDTF">2022-05-23T02:04:00Z</dcterms:created>
  <dcterms:modified xsi:type="dcterms:W3CDTF">2022-05-23T02:10:00Z</dcterms:modified>
</cp:coreProperties>
</file>