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067" w:rsidRPr="00AB138E" w:rsidRDefault="00B83067" w:rsidP="00B83067">
      <w:pPr>
        <w:pStyle w:val="Title"/>
        <w:spacing w:before="0" w:line="252" w:lineRule="auto"/>
        <w:ind w:left="0"/>
        <w:jc w:val="right"/>
        <w:rPr>
          <w:rFonts w:ascii="Cambria" w:hAnsi="Cambria"/>
          <w:sz w:val="28"/>
          <w:szCs w:val="28"/>
        </w:rPr>
      </w:pPr>
      <w:r w:rsidRPr="00572236">
        <w:rPr>
          <w:rFonts w:ascii="Cambria" w:hAnsi="Cambria"/>
          <w:lang w:val="en"/>
        </w:rPr>
        <w:t xml:space="preserve"> </w:t>
      </w:r>
      <w:r w:rsidRPr="00572236">
        <w:rPr>
          <w:rFonts w:ascii="Cambria" w:hAnsi="Cambria"/>
          <w:spacing w:val="-9"/>
          <w:sz w:val="28"/>
          <w:szCs w:val="28"/>
          <w:lang w:val="en"/>
        </w:rPr>
        <w:t xml:space="preserve"> </w:t>
      </w:r>
      <w:r w:rsidRPr="00572236">
        <w:rPr>
          <w:rFonts w:ascii="Cambria" w:hAnsi="Cambria"/>
          <w:lang w:val="en"/>
        </w:rPr>
        <w:t xml:space="preserve"> </w:t>
      </w:r>
      <w:r w:rsidRPr="00572236">
        <w:rPr>
          <w:rFonts w:ascii="Cambria" w:hAnsi="Cambria"/>
          <w:spacing w:val="-8"/>
          <w:sz w:val="28"/>
          <w:szCs w:val="28"/>
          <w:lang w:val="en"/>
        </w:rPr>
        <w:t xml:space="preserve"> </w:t>
      </w:r>
      <w:r w:rsidRPr="00572236">
        <w:rPr>
          <w:rFonts w:ascii="Cambria" w:hAnsi="Cambria"/>
          <w:lang w:val="en"/>
        </w:rPr>
        <w:t xml:space="preserve"> </w:t>
      </w:r>
      <w:r w:rsidRPr="00AB138E">
        <w:rPr>
          <w:rFonts w:ascii="Cambria" w:hAnsi="Cambria"/>
          <w:sz w:val="28"/>
          <w:szCs w:val="28"/>
          <w:lang w:val="en"/>
        </w:rPr>
        <w:t>LEGAL</w:t>
      </w:r>
      <w:r w:rsidRPr="00AB138E">
        <w:rPr>
          <w:rFonts w:ascii="Cambria" w:hAnsi="Cambria"/>
          <w:spacing w:val="-31"/>
          <w:sz w:val="28"/>
          <w:szCs w:val="28"/>
          <w:lang w:val="en"/>
        </w:rPr>
        <w:t xml:space="preserve"> </w:t>
      </w:r>
      <w:r w:rsidRPr="00AB138E">
        <w:rPr>
          <w:rFonts w:ascii="Cambria" w:hAnsi="Cambria"/>
          <w:sz w:val="28"/>
          <w:szCs w:val="28"/>
          <w:lang w:val="en"/>
        </w:rPr>
        <w:t>NEWSLETTER</w:t>
      </w:r>
    </w:p>
    <w:p w:rsidR="00B83067" w:rsidRPr="00572236" w:rsidRDefault="00B83067" w:rsidP="00B83067">
      <w:pPr>
        <w:pStyle w:val="BodyText"/>
        <w:spacing w:line="252" w:lineRule="auto"/>
        <w:ind w:left="5529" w:right="497"/>
        <w:jc w:val="right"/>
        <w:rPr>
          <w:rFonts w:ascii="Cambria" w:hAnsi="Cambria"/>
        </w:rPr>
      </w:pPr>
      <w:r>
        <w:rPr>
          <w:rFonts w:ascii="Cambria" w:hAnsi="Cambria"/>
          <w:spacing w:val="-9"/>
          <w:lang w:val="en"/>
        </w:rPr>
        <w:t>May</w:t>
      </w:r>
      <w:r w:rsidRPr="00572236">
        <w:rPr>
          <w:rFonts w:ascii="Cambria" w:hAnsi="Cambria"/>
          <w:spacing w:val="-9"/>
          <w:lang w:val="en"/>
        </w:rPr>
        <w:t>/</w:t>
      </w:r>
      <w:r>
        <w:rPr>
          <w:rFonts w:ascii="Cambria" w:hAnsi="Cambria"/>
          <w:spacing w:val="-9"/>
          <w:lang w:val="en"/>
        </w:rPr>
        <w:t xml:space="preserve"> 2022</w:t>
      </w:r>
    </w:p>
    <w:p w:rsidR="00B83067" w:rsidRPr="00572236" w:rsidRDefault="00B83067" w:rsidP="00B83067">
      <w:pPr>
        <w:pStyle w:val="Heading1"/>
        <w:tabs>
          <w:tab w:val="right" w:pos="9360"/>
        </w:tabs>
        <w:spacing w:line="252" w:lineRule="auto"/>
        <w:ind w:left="5529"/>
        <w:rPr>
          <w:rFonts w:ascii="Cambria" w:hAnsi="Cambria"/>
          <w:lang w:val="en-US"/>
        </w:rPr>
      </w:pPr>
    </w:p>
    <w:p w:rsidR="00B83067" w:rsidRPr="00572236" w:rsidRDefault="00B83067" w:rsidP="00B83067">
      <w:pPr>
        <w:pStyle w:val="Heading1"/>
        <w:spacing w:line="252" w:lineRule="auto"/>
        <w:ind w:hanging="837"/>
        <w:rPr>
          <w:rFonts w:ascii="Cambria" w:hAnsi="Cambria"/>
        </w:rPr>
      </w:pPr>
      <w:r w:rsidRPr="00572236">
        <w:rPr>
          <w:rFonts w:ascii="Cambria" w:hAnsi="Cambria"/>
          <w:lang w:val="en"/>
        </w:rPr>
        <w:t>Dear Value C</w:t>
      </w:r>
      <w:r>
        <w:rPr>
          <w:rFonts w:ascii="Cambria" w:hAnsi="Cambria"/>
          <w:lang w:val="en"/>
        </w:rPr>
        <w:t>lient</w:t>
      </w:r>
      <w:r w:rsidRPr="00572236">
        <w:rPr>
          <w:rFonts w:ascii="Cambria" w:hAnsi="Cambria"/>
          <w:lang w:val="en"/>
        </w:rPr>
        <w:t>s and Partners,</w:t>
      </w:r>
    </w:p>
    <w:p w:rsidR="00B83067" w:rsidRPr="00572236" w:rsidRDefault="00B83067" w:rsidP="00B83067">
      <w:pPr>
        <w:pStyle w:val="BodyText"/>
        <w:spacing w:line="252" w:lineRule="auto"/>
        <w:rPr>
          <w:rFonts w:ascii="Cambria" w:hAnsi="Cambria"/>
          <w:b/>
        </w:rPr>
      </w:pPr>
    </w:p>
    <w:p w:rsidR="00B83067" w:rsidRPr="00572236" w:rsidRDefault="00B83067" w:rsidP="00B83067">
      <w:pPr>
        <w:pStyle w:val="BodyText"/>
        <w:spacing w:line="252" w:lineRule="auto"/>
        <w:ind w:right="146"/>
        <w:jc w:val="both"/>
        <w:rPr>
          <w:rFonts w:ascii="Cambria" w:hAnsi="Cambria"/>
        </w:rPr>
      </w:pPr>
      <w:r w:rsidRPr="00572236">
        <w:rPr>
          <w:rFonts w:ascii="Cambria" w:hAnsi="Cambria"/>
          <w:lang w:val="en"/>
        </w:rPr>
        <w:t xml:space="preserve">ADK Vietnam Lawyers would like to introduce to you the </w:t>
      </w:r>
      <w:r>
        <w:rPr>
          <w:rFonts w:ascii="Cambria" w:hAnsi="Cambria"/>
          <w:lang w:val="en"/>
        </w:rPr>
        <w:t>May 2022</w:t>
      </w:r>
      <w:r w:rsidRPr="00572236">
        <w:rPr>
          <w:rFonts w:ascii="Cambria" w:hAnsi="Cambria"/>
          <w:lang w:val="en"/>
        </w:rPr>
        <w:t xml:space="preserve"> Legal Newsletter with the following main contents:</w:t>
      </w:r>
    </w:p>
    <w:p w:rsidR="00B83067" w:rsidRPr="00572236" w:rsidRDefault="00B83067" w:rsidP="00B83067">
      <w:pPr>
        <w:pStyle w:val="BodyText"/>
        <w:spacing w:line="252" w:lineRule="auto"/>
        <w:rPr>
          <w:rFonts w:ascii="Cambria" w:hAnsi="Cambria"/>
        </w:rPr>
      </w:pPr>
    </w:p>
    <w:p w:rsidR="00B83067" w:rsidRPr="00B55567" w:rsidRDefault="00B83067" w:rsidP="00B83067">
      <w:pPr>
        <w:pStyle w:val="Heading1"/>
        <w:numPr>
          <w:ilvl w:val="0"/>
          <w:numId w:val="1"/>
        </w:numPr>
        <w:tabs>
          <w:tab w:val="left" w:pos="836"/>
          <w:tab w:val="left" w:pos="837"/>
        </w:tabs>
        <w:spacing w:line="252" w:lineRule="auto"/>
        <w:ind w:left="709"/>
        <w:rPr>
          <w:rFonts w:ascii="Cambria" w:hAnsi="Cambria"/>
          <w:lang w:val="en-US"/>
        </w:rPr>
      </w:pPr>
      <w:bookmarkStart w:id="0" w:name="1._Phỏng_vấn_với_Asia_Law_Portal"/>
      <w:bookmarkEnd w:id="0"/>
      <w:r>
        <w:rPr>
          <w:rFonts w:ascii="Cambria" w:hAnsi="Cambria"/>
          <w:lang w:val="en"/>
        </w:rPr>
        <w:t>Legal Spotlight</w:t>
      </w:r>
    </w:p>
    <w:p w:rsidR="00B83067" w:rsidRDefault="00B83067" w:rsidP="00B83067">
      <w:pPr>
        <w:pStyle w:val="Heading1"/>
        <w:tabs>
          <w:tab w:val="left" w:pos="836"/>
          <w:tab w:val="left" w:pos="837"/>
        </w:tabs>
        <w:spacing w:line="252" w:lineRule="auto"/>
        <w:ind w:left="709" w:firstLine="0"/>
        <w:rPr>
          <w:rFonts w:ascii="Cambria" w:hAnsi="Cambria"/>
          <w:lang w:val="en"/>
        </w:rPr>
      </w:pPr>
    </w:p>
    <w:p w:rsidR="00B83067" w:rsidRPr="00E73F5C" w:rsidRDefault="0053562E" w:rsidP="00E73F5C">
      <w:pPr>
        <w:pStyle w:val="ListParagraph"/>
        <w:widowControl/>
        <w:numPr>
          <w:ilvl w:val="1"/>
          <w:numId w:val="3"/>
        </w:numPr>
        <w:autoSpaceDE/>
        <w:autoSpaceDN/>
        <w:ind w:left="709" w:hanging="709"/>
        <w:contextualSpacing/>
        <w:jc w:val="both"/>
        <w:rPr>
          <w:rFonts w:ascii="Cambria" w:hAnsi="Cambria"/>
          <w:b/>
          <w:lang w:val="en-US"/>
        </w:rPr>
      </w:pPr>
      <w:r>
        <w:rPr>
          <w:rFonts w:ascii="Cambria" w:hAnsi="Cambria"/>
          <w:b/>
          <w:lang w:val="en-US"/>
        </w:rPr>
        <w:t>Extension of time for</w:t>
      </w:r>
      <w:r w:rsidR="00E73F5C">
        <w:rPr>
          <w:rFonts w:ascii="Cambria" w:hAnsi="Cambria"/>
          <w:b/>
          <w:lang w:val="en-US"/>
        </w:rPr>
        <w:t xml:space="preserve"> pay</w:t>
      </w:r>
      <w:r>
        <w:rPr>
          <w:rFonts w:ascii="Cambria" w:hAnsi="Cambria"/>
          <w:b/>
          <w:lang w:val="en-US"/>
        </w:rPr>
        <w:t>ing</w:t>
      </w:r>
      <w:r w:rsidR="00E73F5C">
        <w:rPr>
          <w:rFonts w:ascii="Cambria" w:hAnsi="Cambria"/>
          <w:b/>
          <w:lang w:val="en-US"/>
        </w:rPr>
        <w:t xml:space="preserve"> value added tax, enterprise</w:t>
      </w:r>
      <w:r w:rsidR="00E73F5C" w:rsidRPr="00E73F5C">
        <w:rPr>
          <w:rFonts w:ascii="Cambria" w:hAnsi="Cambria"/>
          <w:b/>
          <w:lang w:val="en-US"/>
        </w:rPr>
        <w:t xml:space="preserve"> income tax, personal income tax and land rent in 2022</w:t>
      </w:r>
    </w:p>
    <w:p w:rsidR="00B83067" w:rsidRDefault="00B83067" w:rsidP="00B83067">
      <w:pPr>
        <w:pStyle w:val="ListParagraph"/>
        <w:widowControl/>
        <w:autoSpaceDE/>
        <w:autoSpaceDN/>
        <w:ind w:left="709" w:firstLine="0"/>
        <w:contextualSpacing/>
        <w:jc w:val="both"/>
        <w:rPr>
          <w:rFonts w:ascii="Cambria" w:hAnsi="Cambria"/>
          <w:b/>
          <w:bCs/>
          <w:lang w:val="en-US"/>
        </w:rPr>
      </w:pPr>
    </w:p>
    <w:p w:rsidR="00B83067" w:rsidRPr="00DA0AF6" w:rsidRDefault="00E73F5C" w:rsidP="00B83067">
      <w:pPr>
        <w:pStyle w:val="ListParagraph"/>
        <w:ind w:left="709" w:firstLine="0"/>
        <w:jc w:val="both"/>
        <w:rPr>
          <w:rFonts w:ascii="Cambria" w:hAnsi="Cambria"/>
          <w:lang w:val="en-US"/>
        </w:rPr>
      </w:pPr>
      <w:r>
        <w:rPr>
          <w:rFonts w:ascii="Cambria" w:hAnsi="Cambria"/>
          <w:lang w:val="en-US"/>
        </w:rPr>
        <w:t>On 28 May 2022, the Government issued Decr</w:t>
      </w:r>
      <w:r w:rsidR="00623D9F">
        <w:rPr>
          <w:rFonts w:ascii="Cambria" w:hAnsi="Cambria"/>
          <w:lang w:val="en-US"/>
        </w:rPr>
        <w:t xml:space="preserve">ee No. 34/2022/ND-CP </w:t>
      </w:r>
      <w:r w:rsidR="00FF69E8">
        <w:rPr>
          <w:rFonts w:ascii="Cambria" w:hAnsi="Cambria"/>
          <w:lang w:val="en-US"/>
        </w:rPr>
        <w:t xml:space="preserve">extending </w:t>
      </w:r>
      <w:r w:rsidR="00EF1883">
        <w:rPr>
          <w:rFonts w:ascii="Cambria" w:hAnsi="Cambria"/>
          <w:lang w:val="en-US"/>
        </w:rPr>
        <w:t xml:space="preserve">the </w:t>
      </w:r>
      <w:r w:rsidR="0053562E">
        <w:rPr>
          <w:rFonts w:ascii="Cambria" w:hAnsi="Cambria"/>
          <w:lang w:val="en-US"/>
        </w:rPr>
        <w:t>time for</w:t>
      </w:r>
      <w:r>
        <w:rPr>
          <w:rFonts w:ascii="Cambria" w:hAnsi="Cambria"/>
          <w:lang w:val="en-US"/>
        </w:rPr>
        <w:t xml:space="preserve"> pay</w:t>
      </w:r>
      <w:r w:rsidR="0053562E">
        <w:rPr>
          <w:rFonts w:ascii="Cambria" w:hAnsi="Cambria"/>
          <w:lang w:val="en-US"/>
        </w:rPr>
        <w:t>ing</w:t>
      </w:r>
      <w:r>
        <w:rPr>
          <w:rFonts w:ascii="Cambria" w:hAnsi="Cambria"/>
          <w:lang w:val="en-US"/>
        </w:rPr>
        <w:t xml:space="preserve"> value added tax</w:t>
      </w:r>
      <w:r w:rsidR="00623D9F">
        <w:rPr>
          <w:rFonts w:ascii="Cambria" w:hAnsi="Cambria"/>
          <w:lang w:val="en-US"/>
        </w:rPr>
        <w:t xml:space="preserve"> (“</w:t>
      </w:r>
      <w:r w:rsidR="00623D9F" w:rsidRPr="00623D9F">
        <w:rPr>
          <w:rFonts w:ascii="Cambria" w:hAnsi="Cambria"/>
          <w:b/>
          <w:lang w:val="en-US"/>
        </w:rPr>
        <w:t>VAT</w:t>
      </w:r>
      <w:r w:rsidR="00623D9F">
        <w:rPr>
          <w:rFonts w:ascii="Cambria" w:hAnsi="Cambria"/>
          <w:lang w:val="en-US"/>
        </w:rPr>
        <w:t>”)</w:t>
      </w:r>
      <w:r>
        <w:rPr>
          <w:rFonts w:ascii="Cambria" w:hAnsi="Cambria"/>
          <w:lang w:val="en-US"/>
        </w:rPr>
        <w:t>, enterprise income tax</w:t>
      </w:r>
      <w:r w:rsidR="00623D9F">
        <w:rPr>
          <w:rFonts w:ascii="Cambria" w:hAnsi="Cambria"/>
          <w:lang w:val="en-US"/>
        </w:rPr>
        <w:t xml:space="preserve"> (“</w:t>
      </w:r>
      <w:r w:rsidR="00623D9F" w:rsidRPr="00623D9F">
        <w:rPr>
          <w:rFonts w:ascii="Cambria" w:hAnsi="Cambria"/>
          <w:b/>
          <w:lang w:val="en-US"/>
        </w:rPr>
        <w:t>EIT</w:t>
      </w:r>
      <w:r w:rsidR="00623D9F">
        <w:rPr>
          <w:rFonts w:ascii="Cambria" w:hAnsi="Cambria"/>
          <w:lang w:val="en-US"/>
        </w:rPr>
        <w:t>”)</w:t>
      </w:r>
      <w:r>
        <w:rPr>
          <w:rFonts w:ascii="Cambria" w:hAnsi="Cambria"/>
          <w:lang w:val="en-US"/>
        </w:rPr>
        <w:t xml:space="preserve">, personal income tax </w:t>
      </w:r>
      <w:r w:rsidR="00623D9F">
        <w:rPr>
          <w:rFonts w:ascii="Cambria" w:hAnsi="Cambria"/>
          <w:lang w:val="en-US"/>
        </w:rPr>
        <w:t>(“</w:t>
      </w:r>
      <w:r w:rsidR="00623D9F" w:rsidRPr="00623D9F">
        <w:rPr>
          <w:rFonts w:ascii="Cambria" w:hAnsi="Cambria"/>
          <w:b/>
          <w:lang w:val="en-US"/>
        </w:rPr>
        <w:t>PIT</w:t>
      </w:r>
      <w:r w:rsidR="00623D9F">
        <w:rPr>
          <w:rFonts w:ascii="Cambria" w:hAnsi="Cambria"/>
          <w:lang w:val="en-US"/>
        </w:rPr>
        <w:t>”)</w:t>
      </w:r>
      <w:r w:rsidR="00EF1883">
        <w:rPr>
          <w:rFonts w:ascii="Cambria" w:hAnsi="Cambria"/>
          <w:lang w:val="en-US"/>
        </w:rPr>
        <w:t>,</w:t>
      </w:r>
      <w:r w:rsidR="00623D9F">
        <w:rPr>
          <w:rFonts w:ascii="Cambria" w:hAnsi="Cambria"/>
          <w:lang w:val="en-US"/>
        </w:rPr>
        <w:t xml:space="preserve"> </w:t>
      </w:r>
      <w:r>
        <w:rPr>
          <w:rFonts w:ascii="Cambria" w:hAnsi="Cambria"/>
          <w:lang w:val="en-US"/>
        </w:rPr>
        <w:t>and land rent in 2022. Accordingly, this Decree stipulates several notable content</w:t>
      </w:r>
      <w:r w:rsidR="00EF1883">
        <w:rPr>
          <w:rFonts w:ascii="Cambria" w:hAnsi="Cambria"/>
          <w:lang w:val="en-US"/>
        </w:rPr>
        <w:t>s</w:t>
      </w:r>
      <w:r>
        <w:rPr>
          <w:rFonts w:ascii="Cambria" w:hAnsi="Cambria"/>
          <w:lang w:val="en-US"/>
        </w:rPr>
        <w:t xml:space="preserve"> as follows: </w:t>
      </w:r>
    </w:p>
    <w:p w:rsidR="00B83067" w:rsidRPr="00DA0AF6" w:rsidRDefault="00B83067" w:rsidP="00B83067">
      <w:pPr>
        <w:pStyle w:val="ListParagraph"/>
        <w:ind w:left="709"/>
        <w:jc w:val="both"/>
        <w:rPr>
          <w:rFonts w:ascii="Cambria" w:hAnsi="Cambria"/>
          <w:lang w:val="en-US"/>
        </w:rPr>
      </w:pPr>
    </w:p>
    <w:p w:rsidR="00623D9F" w:rsidRDefault="00623D9F" w:rsidP="00623D9F">
      <w:pPr>
        <w:pStyle w:val="ListParagraph"/>
        <w:widowControl/>
        <w:numPr>
          <w:ilvl w:val="0"/>
          <w:numId w:val="13"/>
        </w:numPr>
        <w:autoSpaceDE/>
        <w:autoSpaceDN/>
        <w:contextualSpacing/>
        <w:jc w:val="both"/>
        <w:rPr>
          <w:rFonts w:ascii="Cambria" w:hAnsi="Cambria"/>
          <w:lang w:val="en-US"/>
        </w:rPr>
      </w:pPr>
      <w:r>
        <w:rPr>
          <w:rFonts w:ascii="Cambria" w:hAnsi="Cambria"/>
          <w:lang w:val="en-US"/>
        </w:rPr>
        <w:t>In terms of VAT</w:t>
      </w:r>
      <w:r w:rsidR="00E73F5C">
        <w:rPr>
          <w:rFonts w:ascii="Cambria" w:hAnsi="Cambria"/>
          <w:lang w:val="en-US"/>
        </w:rPr>
        <w:t xml:space="preserve">: </w:t>
      </w:r>
    </w:p>
    <w:p w:rsidR="00623D9F" w:rsidRDefault="00623D9F" w:rsidP="00623D9F">
      <w:pPr>
        <w:pStyle w:val="ListParagraph"/>
        <w:widowControl/>
        <w:autoSpaceDE/>
        <w:autoSpaceDN/>
        <w:ind w:left="1429" w:firstLine="0"/>
        <w:contextualSpacing/>
        <w:jc w:val="both"/>
        <w:rPr>
          <w:rFonts w:ascii="Cambria" w:hAnsi="Cambria"/>
          <w:lang w:val="en-US"/>
        </w:rPr>
      </w:pPr>
    </w:p>
    <w:p w:rsidR="00E73F5C" w:rsidRDefault="00623D9F" w:rsidP="00623D9F">
      <w:pPr>
        <w:pStyle w:val="ListParagraph"/>
        <w:widowControl/>
        <w:numPr>
          <w:ilvl w:val="1"/>
          <w:numId w:val="1"/>
        </w:numPr>
        <w:autoSpaceDE/>
        <w:autoSpaceDN/>
        <w:ind w:left="2127" w:hanging="709"/>
        <w:contextualSpacing/>
        <w:jc w:val="both"/>
        <w:rPr>
          <w:rFonts w:ascii="Cambria" w:hAnsi="Cambria"/>
          <w:lang w:val="en-US"/>
        </w:rPr>
      </w:pPr>
      <w:r w:rsidRPr="00623D9F">
        <w:rPr>
          <w:rFonts w:ascii="Cambria" w:hAnsi="Cambria"/>
          <w:lang w:val="en-US"/>
        </w:rPr>
        <w:t xml:space="preserve">Extending </w:t>
      </w:r>
      <w:r w:rsidR="00EF1883">
        <w:rPr>
          <w:rFonts w:ascii="Cambria" w:hAnsi="Cambria"/>
          <w:lang w:val="en-US"/>
        </w:rPr>
        <w:t xml:space="preserve">the </w:t>
      </w:r>
      <w:r w:rsidRPr="00623D9F">
        <w:rPr>
          <w:rFonts w:ascii="Cambria" w:hAnsi="Cambria"/>
          <w:lang w:val="en-US"/>
        </w:rPr>
        <w:t>time of tax payment for the arising VAT payable (including the tax amount allocated to other provi</w:t>
      </w:r>
      <w:r>
        <w:rPr>
          <w:rFonts w:ascii="Cambria" w:hAnsi="Cambria"/>
          <w:lang w:val="en-US"/>
        </w:rPr>
        <w:t>n</w:t>
      </w:r>
      <w:r w:rsidRPr="00623D9F">
        <w:rPr>
          <w:rFonts w:ascii="Cambria" w:hAnsi="Cambria"/>
          <w:lang w:val="en-US"/>
        </w:rPr>
        <w:t>cial-level loca</w:t>
      </w:r>
      <w:r w:rsidR="00EF1883">
        <w:rPr>
          <w:rFonts w:ascii="Cambria" w:hAnsi="Cambria"/>
          <w:lang w:val="en-US"/>
        </w:rPr>
        <w:t>lities where the taxpayer has</w:t>
      </w:r>
      <w:r w:rsidRPr="00623D9F">
        <w:rPr>
          <w:rFonts w:ascii="Cambria" w:hAnsi="Cambria"/>
          <w:lang w:val="en-US"/>
        </w:rPr>
        <w:t xml:space="preserve"> a headquarter, the tax amount paid for each time of arising) of the tax period from March to August 2022 (f</w:t>
      </w:r>
      <w:r>
        <w:rPr>
          <w:rFonts w:ascii="Cambria" w:hAnsi="Cambria"/>
          <w:lang w:val="en-US"/>
        </w:rPr>
        <w:t>or the case of monthly VAT decla</w:t>
      </w:r>
      <w:r w:rsidRPr="00623D9F">
        <w:rPr>
          <w:rFonts w:ascii="Cambria" w:hAnsi="Cambria"/>
          <w:lang w:val="en-US"/>
        </w:rPr>
        <w:t>ration) and the first and second quarter of 2022 (for the case of quarterly VAT declaration) of enterprises and organizations as mentioned in Article 3 of this Decree;</w:t>
      </w:r>
    </w:p>
    <w:p w:rsidR="00623D9F" w:rsidRDefault="00623D9F" w:rsidP="00623D9F">
      <w:pPr>
        <w:pStyle w:val="ListParagraph"/>
        <w:widowControl/>
        <w:autoSpaceDE/>
        <w:autoSpaceDN/>
        <w:ind w:left="2127" w:firstLine="0"/>
        <w:contextualSpacing/>
        <w:jc w:val="both"/>
        <w:rPr>
          <w:rFonts w:ascii="Cambria" w:hAnsi="Cambria"/>
          <w:lang w:val="en-US"/>
        </w:rPr>
      </w:pPr>
    </w:p>
    <w:p w:rsidR="00623D9F" w:rsidRPr="00623D9F" w:rsidRDefault="00623D9F" w:rsidP="00623D9F">
      <w:pPr>
        <w:pStyle w:val="ListParagraph"/>
        <w:widowControl/>
        <w:numPr>
          <w:ilvl w:val="1"/>
          <w:numId w:val="1"/>
        </w:numPr>
        <w:autoSpaceDE/>
        <w:autoSpaceDN/>
        <w:ind w:left="2127"/>
        <w:contextualSpacing/>
        <w:jc w:val="both"/>
        <w:rPr>
          <w:rFonts w:ascii="Cambria" w:hAnsi="Cambria"/>
          <w:lang w:val="en-US"/>
        </w:rPr>
      </w:pPr>
      <w:r w:rsidRPr="00623D9F">
        <w:rPr>
          <w:rFonts w:ascii="Cambria" w:hAnsi="Cambria"/>
          <w:lang w:val="en-US"/>
        </w:rPr>
        <w:t>The extension time is 06 months for the VAT amount from March to May 2022 and the first quarter of 2022, the extension time is 05 months for the VAT amount of June 2022 and the second quarter of 2022, the extension is 04 months for the VAT amount of July 2022, the extension time is 03 months for the VAT amount of August 2022. The extension time at this clause is counted from the ending date of paying VAT in accordance with the law on tax administration</w:t>
      </w:r>
      <w:r>
        <w:rPr>
          <w:rFonts w:ascii="Cambria" w:hAnsi="Cambria"/>
          <w:lang w:val="en-US"/>
        </w:rPr>
        <w:t>.</w:t>
      </w:r>
    </w:p>
    <w:p w:rsidR="00E73F5C" w:rsidRDefault="00E73F5C" w:rsidP="00E73F5C">
      <w:pPr>
        <w:pStyle w:val="ListParagraph"/>
        <w:widowControl/>
        <w:autoSpaceDE/>
        <w:autoSpaceDN/>
        <w:ind w:left="1429" w:firstLine="0"/>
        <w:contextualSpacing/>
        <w:jc w:val="both"/>
        <w:rPr>
          <w:rFonts w:ascii="Cambria" w:hAnsi="Cambria"/>
          <w:lang w:val="en-US"/>
        </w:rPr>
      </w:pPr>
    </w:p>
    <w:p w:rsidR="00E73F5C" w:rsidRDefault="00E73F5C" w:rsidP="00E73F5C">
      <w:pPr>
        <w:pStyle w:val="ListParagraph"/>
        <w:widowControl/>
        <w:numPr>
          <w:ilvl w:val="0"/>
          <w:numId w:val="13"/>
        </w:numPr>
        <w:autoSpaceDE/>
        <w:autoSpaceDN/>
        <w:contextualSpacing/>
        <w:jc w:val="both"/>
        <w:rPr>
          <w:rFonts w:ascii="Cambria" w:hAnsi="Cambria"/>
          <w:lang w:val="en-US"/>
        </w:rPr>
      </w:pPr>
      <w:r>
        <w:rPr>
          <w:rFonts w:ascii="Cambria" w:hAnsi="Cambria"/>
          <w:lang w:val="en-US"/>
        </w:rPr>
        <w:t xml:space="preserve">In terms of </w:t>
      </w:r>
      <w:r w:rsidR="00623D9F">
        <w:rPr>
          <w:rFonts w:ascii="Cambria" w:hAnsi="Cambria"/>
          <w:lang w:val="en-US"/>
        </w:rPr>
        <w:t>EIT</w:t>
      </w:r>
      <w:r>
        <w:rPr>
          <w:rFonts w:ascii="Cambria" w:hAnsi="Cambria"/>
          <w:lang w:val="en-US"/>
        </w:rPr>
        <w:t xml:space="preserve">: </w:t>
      </w:r>
    </w:p>
    <w:p w:rsidR="00E73F5C" w:rsidRDefault="00E73F5C" w:rsidP="00E73F5C">
      <w:pPr>
        <w:pStyle w:val="ListParagraph"/>
        <w:widowControl/>
        <w:autoSpaceDE/>
        <w:autoSpaceDN/>
        <w:ind w:left="1429" w:firstLine="0"/>
        <w:contextualSpacing/>
        <w:jc w:val="both"/>
        <w:rPr>
          <w:rFonts w:ascii="Cambria" w:hAnsi="Cambria"/>
          <w:lang w:val="en-US"/>
        </w:rPr>
      </w:pPr>
    </w:p>
    <w:p w:rsidR="00623D9F" w:rsidRDefault="00623D9F" w:rsidP="00623D9F">
      <w:pPr>
        <w:pStyle w:val="ListParagraph"/>
        <w:widowControl/>
        <w:numPr>
          <w:ilvl w:val="1"/>
          <w:numId w:val="1"/>
        </w:numPr>
        <w:autoSpaceDE/>
        <w:autoSpaceDN/>
        <w:ind w:left="2127"/>
        <w:contextualSpacing/>
        <w:jc w:val="both"/>
        <w:rPr>
          <w:rFonts w:ascii="Cambria" w:hAnsi="Cambria"/>
          <w:lang w:val="en-US"/>
        </w:rPr>
      </w:pPr>
      <w:r w:rsidRPr="00623D9F">
        <w:rPr>
          <w:rFonts w:ascii="Cambria" w:hAnsi="Cambria"/>
          <w:lang w:val="en-US"/>
        </w:rPr>
        <w:t>Extending</w:t>
      </w:r>
      <w:r w:rsidR="00EF1883">
        <w:rPr>
          <w:rFonts w:ascii="Cambria" w:hAnsi="Cambria"/>
          <w:lang w:val="en-US"/>
        </w:rPr>
        <w:t xml:space="preserve"> the</w:t>
      </w:r>
      <w:r w:rsidRPr="00623D9F">
        <w:rPr>
          <w:rFonts w:ascii="Cambria" w:hAnsi="Cambria"/>
          <w:lang w:val="en-US"/>
        </w:rPr>
        <w:t xml:space="preserve"> time for tax payment for temporarily paid EIT amounts of the first and second quarter of the EIT period of 2022 of enterprises and organizations were the subjects stated in Article 3 of this Decree. The extension time is 3 months from the ending date of paying EIT in accordance with the law on tax administration;</w:t>
      </w:r>
    </w:p>
    <w:p w:rsidR="00623D9F" w:rsidRDefault="00623D9F" w:rsidP="00623D9F">
      <w:pPr>
        <w:pStyle w:val="ListParagraph"/>
        <w:widowControl/>
        <w:autoSpaceDE/>
        <w:autoSpaceDN/>
        <w:ind w:left="2127" w:firstLine="0"/>
        <w:contextualSpacing/>
        <w:jc w:val="both"/>
        <w:rPr>
          <w:rFonts w:ascii="Cambria" w:hAnsi="Cambria"/>
          <w:lang w:val="en-US"/>
        </w:rPr>
      </w:pPr>
    </w:p>
    <w:p w:rsidR="00623D9F" w:rsidRPr="00623D9F" w:rsidRDefault="00623D9F" w:rsidP="00623D9F">
      <w:pPr>
        <w:pStyle w:val="ListParagraph"/>
        <w:widowControl/>
        <w:numPr>
          <w:ilvl w:val="1"/>
          <w:numId w:val="1"/>
        </w:numPr>
        <w:autoSpaceDE/>
        <w:autoSpaceDN/>
        <w:ind w:left="2127"/>
        <w:contextualSpacing/>
        <w:jc w:val="both"/>
        <w:rPr>
          <w:rFonts w:ascii="Cambria" w:hAnsi="Cambria"/>
          <w:lang w:val="en-US"/>
        </w:rPr>
      </w:pPr>
      <w:r w:rsidRPr="00623D9F">
        <w:rPr>
          <w:rFonts w:ascii="Cambria" w:hAnsi="Cambria"/>
          <w:lang w:val="en-US"/>
        </w:rPr>
        <w:t xml:space="preserve">In the case </w:t>
      </w:r>
      <w:r w:rsidR="00EF1883">
        <w:rPr>
          <w:rFonts w:ascii="Cambria" w:hAnsi="Cambria"/>
          <w:lang w:val="en-US"/>
        </w:rPr>
        <w:t xml:space="preserve">of </w:t>
      </w:r>
      <w:r w:rsidRPr="00623D9F">
        <w:rPr>
          <w:rFonts w:ascii="Cambria" w:hAnsi="Cambria"/>
          <w:lang w:val="en-US"/>
        </w:rPr>
        <w:t>enterprises and organizations stated in Article 3 of this Decree having branches and/or affiliated units proceeding</w:t>
      </w:r>
      <w:r w:rsidR="00EF1883">
        <w:rPr>
          <w:rFonts w:ascii="Cambria" w:hAnsi="Cambria"/>
          <w:lang w:val="en-US"/>
        </w:rPr>
        <w:t xml:space="preserve"> with sepa</w:t>
      </w:r>
      <w:r w:rsidRPr="00623D9F">
        <w:rPr>
          <w:rFonts w:ascii="Cambria" w:hAnsi="Cambria"/>
          <w:lang w:val="en-US"/>
        </w:rPr>
        <w:t xml:space="preserve">rate EIT declarations with the tax authority directly managing them, such branches and/or affiliated units are also subject to the extension of EIT payment. In the case branches and/or affiliated units of enterprises and/or organizations stated in </w:t>
      </w:r>
      <w:r w:rsidRPr="00623D9F">
        <w:rPr>
          <w:rFonts w:ascii="Cambria" w:hAnsi="Cambria"/>
          <w:lang w:val="en-US"/>
        </w:rPr>
        <w:lastRenderedPageBreak/>
        <w:t>Clauses 1, 2</w:t>
      </w:r>
      <w:r w:rsidR="00EF1883">
        <w:rPr>
          <w:rFonts w:ascii="Cambria" w:hAnsi="Cambria"/>
          <w:lang w:val="en-US"/>
        </w:rPr>
        <w:t>,</w:t>
      </w:r>
      <w:r w:rsidRPr="00623D9F">
        <w:rPr>
          <w:rFonts w:ascii="Cambria" w:hAnsi="Cambria"/>
          <w:lang w:val="en-US"/>
        </w:rPr>
        <w:t xml:space="preserve"> and 3 Article 3 of this Decree not having production and business activities in economic sectors and/or fields are extended, then branches and/or affiliated units are not subject to the extension of EIT payment.</w:t>
      </w:r>
    </w:p>
    <w:p w:rsidR="00E73F5C" w:rsidRDefault="00E73F5C" w:rsidP="00E73F5C">
      <w:pPr>
        <w:pStyle w:val="ListParagraph"/>
        <w:widowControl/>
        <w:autoSpaceDE/>
        <w:autoSpaceDN/>
        <w:ind w:left="1429" w:firstLine="0"/>
        <w:contextualSpacing/>
        <w:jc w:val="both"/>
        <w:rPr>
          <w:rFonts w:ascii="Cambria" w:hAnsi="Cambria"/>
          <w:lang w:val="en-US"/>
        </w:rPr>
      </w:pPr>
    </w:p>
    <w:p w:rsidR="00E73F5C" w:rsidRPr="00623D9F" w:rsidRDefault="00623D9F" w:rsidP="00623D9F">
      <w:pPr>
        <w:pStyle w:val="ListParagraph"/>
        <w:widowControl/>
        <w:numPr>
          <w:ilvl w:val="0"/>
          <w:numId w:val="13"/>
        </w:numPr>
        <w:autoSpaceDE/>
        <w:autoSpaceDN/>
        <w:contextualSpacing/>
        <w:jc w:val="both"/>
        <w:rPr>
          <w:rFonts w:ascii="Cambria" w:hAnsi="Cambria"/>
          <w:lang w:val="en-US"/>
        </w:rPr>
      </w:pPr>
      <w:r>
        <w:rPr>
          <w:rFonts w:ascii="Cambria" w:hAnsi="Cambria"/>
          <w:lang w:val="en-US"/>
        </w:rPr>
        <w:t>In terms of PIT</w:t>
      </w:r>
      <w:r w:rsidR="00E73F5C">
        <w:rPr>
          <w:rFonts w:ascii="Cambria" w:hAnsi="Cambria"/>
          <w:lang w:val="en-US"/>
        </w:rPr>
        <w:t xml:space="preserve">: </w:t>
      </w:r>
      <w:r w:rsidRPr="00623D9F">
        <w:rPr>
          <w:rFonts w:ascii="Cambria" w:hAnsi="Cambria"/>
          <w:lang w:val="en-US"/>
        </w:rPr>
        <w:t xml:space="preserve">Extending </w:t>
      </w:r>
      <w:r w:rsidR="00EF1883">
        <w:rPr>
          <w:rFonts w:ascii="Cambria" w:hAnsi="Cambria"/>
          <w:lang w:val="en-US"/>
        </w:rPr>
        <w:t xml:space="preserve">the </w:t>
      </w:r>
      <w:r w:rsidRPr="00623D9F">
        <w:rPr>
          <w:rFonts w:ascii="Cambria" w:hAnsi="Cambria"/>
          <w:lang w:val="en-US"/>
        </w:rPr>
        <w:t>time for payment of VAT and PIT for the payable tax amount arising in 2022 of business households and individuals working in economic sectors and fields as mentioned in Clause</w:t>
      </w:r>
      <w:r w:rsidR="00EF1883">
        <w:rPr>
          <w:rFonts w:ascii="Cambria" w:hAnsi="Cambria"/>
          <w:lang w:val="en-US"/>
        </w:rPr>
        <w:t>s</w:t>
      </w:r>
      <w:r w:rsidRPr="00623D9F">
        <w:rPr>
          <w:rFonts w:ascii="Cambria" w:hAnsi="Cambria"/>
          <w:lang w:val="en-US"/>
        </w:rPr>
        <w:t xml:space="preserve"> 1, 2, and 3 Article 3 of this Decree. Households and individuals business shall pay the extended tax amount in this clause by 30 December 2022.</w:t>
      </w:r>
    </w:p>
    <w:p w:rsidR="00E73F5C" w:rsidRPr="00E73F5C" w:rsidRDefault="00E73F5C" w:rsidP="00E73F5C">
      <w:pPr>
        <w:pStyle w:val="ListParagraph"/>
        <w:widowControl/>
        <w:autoSpaceDE/>
        <w:autoSpaceDN/>
        <w:ind w:left="1429" w:firstLine="0"/>
        <w:contextualSpacing/>
        <w:jc w:val="both"/>
        <w:rPr>
          <w:rFonts w:ascii="Cambria" w:hAnsi="Cambria"/>
          <w:lang w:val="en-US"/>
        </w:rPr>
      </w:pPr>
    </w:p>
    <w:p w:rsidR="00E73F5C" w:rsidRPr="00E73F5C" w:rsidRDefault="00E73F5C" w:rsidP="00FF69E8">
      <w:pPr>
        <w:pStyle w:val="ListParagraph"/>
        <w:widowControl/>
        <w:numPr>
          <w:ilvl w:val="0"/>
          <w:numId w:val="13"/>
        </w:numPr>
        <w:autoSpaceDE/>
        <w:autoSpaceDN/>
        <w:contextualSpacing/>
        <w:jc w:val="both"/>
        <w:rPr>
          <w:rFonts w:ascii="Cambria" w:hAnsi="Cambria"/>
          <w:lang w:val="en-US"/>
        </w:rPr>
      </w:pPr>
      <w:r>
        <w:rPr>
          <w:rFonts w:ascii="Cambria" w:hAnsi="Cambria"/>
          <w:lang w:val="en-US"/>
        </w:rPr>
        <w:t xml:space="preserve">In terms of land rent: </w:t>
      </w:r>
      <w:r w:rsidR="00FF69E8" w:rsidRPr="00FF69E8">
        <w:rPr>
          <w:rFonts w:ascii="Cambria" w:hAnsi="Cambria"/>
          <w:lang w:val="en-US"/>
        </w:rPr>
        <w:t>Extending time for land rent pay</w:t>
      </w:r>
      <w:r w:rsidR="00FF69E8">
        <w:rPr>
          <w:rFonts w:ascii="Cambria" w:hAnsi="Cambria"/>
          <w:lang w:val="en-US"/>
        </w:rPr>
        <w:t>m</w:t>
      </w:r>
      <w:r w:rsidR="00FF69E8" w:rsidRPr="00FF69E8">
        <w:rPr>
          <w:rFonts w:ascii="Cambria" w:hAnsi="Cambria"/>
          <w:lang w:val="en-US"/>
        </w:rPr>
        <w:t>ent for 50% of the arising land rent payable in 2022 of enterprises, organizations, households, business households</w:t>
      </w:r>
      <w:r w:rsidR="00EF1883">
        <w:rPr>
          <w:rFonts w:ascii="Cambria" w:hAnsi="Cambria"/>
          <w:lang w:val="en-US"/>
        </w:rPr>
        <w:t>,</w:t>
      </w:r>
      <w:r w:rsidR="00FF69E8" w:rsidRPr="00FF69E8">
        <w:rPr>
          <w:rFonts w:ascii="Cambria" w:hAnsi="Cambria"/>
          <w:lang w:val="en-US"/>
        </w:rPr>
        <w:t xml:space="preserve"> and individuals that are subjects specified in Article 3 of this Decree and directly leased land by the State under a decision or contract of a competent state agency in the form of annual land rental payment. The extension period is 06 months from 31 May 2022 to 30 November 2022.</w:t>
      </w:r>
    </w:p>
    <w:p w:rsidR="00E73F5C" w:rsidRDefault="00E73F5C" w:rsidP="00B83067">
      <w:pPr>
        <w:pStyle w:val="ListParagraph"/>
        <w:widowControl/>
        <w:autoSpaceDE/>
        <w:autoSpaceDN/>
        <w:ind w:left="709" w:firstLine="0"/>
        <w:contextualSpacing/>
        <w:jc w:val="both"/>
        <w:rPr>
          <w:rFonts w:ascii="Cambria" w:hAnsi="Cambria"/>
          <w:lang w:val="en-US"/>
        </w:rPr>
      </w:pPr>
    </w:p>
    <w:p w:rsidR="00E73F5C" w:rsidRPr="0053562E" w:rsidRDefault="0053562E" w:rsidP="00B83067">
      <w:pPr>
        <w:pStyle w:val="ListParagraph"/>
        <w:widowControl/>
        <w:autoSpaceDE/>
        <w:autoSpaceDN/>
        <w:ind w:left="709" w:firstLine="0"/>
        <w:contextualSpacing/>
        <w:jc w:val="both"/>
        <w:rPr>
          <w:rFonts w:ascii="Cambria" w:hAnsi="Cambria"/>
          <w:b/>
          <w:lang w:val="en-US"/>
        </w:rPr>
      </w:pPr>
      <w:r w:rsidRPr="0053562E">
        <w:rPr>
          <w:rFonts w:ascii="Cambria" w:hAnsi="Cambria"/>
          <w:b/>
          <w:lang w:val="en-US"/>
        </w:rPr>
        <w:t>Decree No. 34/2</w:t>
      </w:r>
      <w:r>
        <w:rPr>
          <w:rFonts w:ascii="Cambria" w:hAnsi="Cambria"/>
          <w:b/>
          <w:lang w:val="en-US"/>
        </w:rPr>
        <w:t>022/ND-CP takes</w:t>
      </w:r>
      <w:r w:rsidRPr="0053562E">
        <w:rPr>
          <w:rFonts w:ascii="Cambria" w:hAnsi="Cambria"/>
          <w:b/>
          <w:lang w:val="en-US"/>
        </w:rPr>
        <w:t xml:space="preserve"> effect from 28 May 2022 to 31 December 2022</w:t>
      </w:r>
      <w:r w:rsidR="00100940">
        <w:rPr>
          <w:rFonts w:ascii="Cambria" w:hAnsi="Cambria"/>
          <w:b/>
          <w:lang w:val="en-US"/>
        </w:rPr>
        <w:t>.</w:t>
      </w:r>
    </w:p>
    <w:p w:rsidR="00E73F5C" w:rsidRDefault="00E73F5C" w:rsidP="00B83067">
      <w:pPr>
        <w:pStyle w:val="ListParagraph"/>
        <w:widowControl/>
        <w:autoSpaceDE/>
        <w:autoSpaceDN/>
        <w:ind w:left="709" w:firstLine="0"/>
        <w:contextualSpacing/>
        <w:jc w:val="both"/>
        <w:rPr>
          <w:rFonts w:ascii="Cambria" w:hAnsi="Cambria"/>
          <w:lang w:val="en-US"/>
        </w:rPr>
      </w:pPr>
    </w:p>
    <w:p w:rsidR="00B83067" w:rsidRDefault="00B83067" w:rsidP="00B83067">
      <w:pPr>
        <w:pStyle w:val="ListParagraph"/>
        <w:widowControl/>
        <w:numPr>
          <w:ilvl w:val="1"/>
          <w:numId w:val="3"/>
        </w:numPr>
        <w:autoSpaceDE/>
        <w:autoSpaceDN/>
        <w:ind w:left="709" w:hanging="709"/>
        <w:contextualSpacing/>
        <w:jc w:val="both"/>
        <w:rPr>
          <w:rFonts w:ascii="Cambria" w:hAnsi="Cambria"/>
          <w:lang w:val="en-US"/>
        </w:rPr>
      </w:pPr>
      <w:r>
        <w:rPr>
          <w:rFonts w:ascii="Cambria" w:hAnsi="Cambria"/>
          <w:b/>
          <w:lang w:val="en-US"/>
        </w:rPr>
        <w:t>Preventing tax loss in real estate transfer</w:t>
      </w:r>
    </w:p>
    <w:p w:rsidR="00B83067" w:rsidRDefault="00B83067" w:rsidP="00B83067">
      <w:pPr>
        <w:pStyle w:val="ListParagraph"/>
        <w:widowControl/>
        <w:autoSpaceDE/>
        <w:autoSpaceDN/>
        <w:ind w:left="709" w:firstLine="0"/>
        <w:contextualSpacing/>
        <w:jc w:val="both"/>
        <w:rPr>
          <w:rFonts w:ascii="Cambria" w:hAnsi="Cambria"/>
          <w:lang w:val="en-US"/>
        </w:rPr>
      </w:pPr>
    </w:p>
    <w:p w:rsidR="00B83067" w:rsidRDefault="00B83067" w:rsidP="00B83067">
      <w:pPr>
        <w:pStyle w:val="ListParagraph"/>
        <w:widowControl/>
        <w:autoSpaceDE/>
        <w:autoSpaceDN/>
        <w:ind w:left="709" w:firstLine="0"/>
        <w:contextualSpacing/>
        <w:jc w:val="both"/>
        <w:rPr>
          <w:rFonts w:ascii="Cambria" w:hAnsi="Cambria"/>
          <w:lang w:val="en-US"/>
        </w:rPr>
      </w:pPr>
      <w:r w:rsidRPr="00B83067">
        <w:rPr>
          <w:rFonts w:ascii="Cambria" w:hAnsi="Cambria"/>
          <w:lang w:val="en-US"/>
        </w:rPr>
        <w:t xml:space="preserve">Ministry of Finance has recently issued Official Letter No. 3849/BTC-TCT regarding preventing tax loss in real estate business and transfer. </w:t>
      </w:r>
    </w:p>
    <w:p w:rsidR="00B83067" w:rsidRDefault="00B83067" w:rsidP="00B83067">
      <w:pPr>
        <w:pStyle w:val="ListParagraph"/>
        <w:widowControl/>
        <w:autoSpaceDE/>
        <w:autoSpaceDN/>
        <w:ind w:left="709" w:firstLine="0"/>
        <w:contextualSpacing/>
        <w:jc w:val="both"/>
        <w:rPr>
          <w:rFonts w:ascii="Cambria" w:hAnsi="Cambria"/>
          <w:lang w:val="en-US"/>
        </w:rPr>
      </w:pPr>
    </w:p>
    <w:p w:rsidR="00B83067" w:rsidRDefault="00B83067" w:rsidP="00B83067">
      <w:pPr>
        <w:pStyle w:val="ListParagraph"/>
        <w:widowControl/>
        <w:autoSpaceDE/>
        <w:autoSpaceDN/>
        <w:ind w:left="709" w:firstLine="0"/>
        <w:contextualSpacing/>
        <w:jc w:val="both"/>
        <w:rPr>
          <w:rFonts w:ascii="Cambria" w:hAnsi="Cambria"/>
          <w:lang w:val="en-US"/>
        </w:rPr>
      </w:pPr>
      <w:r w:rsidRPr="002D0663">
        <w:rPr>
          <w:rFonts w:ascii="Cambria" w:hAnsi="Cambria"/>
          <w:lang w:val="en-US"/>
        </w:rPr>
        <w:t>Accordingly, for resolving several obstacles causing problems in an affair of preventing tax loss from real estate business and transfer, the Ministry of Finance enacted guidelines to addre</w:t>
      </w:r>
      <w:r>
        <w:rPr>
          <w:rFonts w:ascii="Cambria" w:hAnsi="Cambria"/>
          <w:lang w:val="en-US"/>
        </w:rPr>
        <w:t>ss specific problems as follows:</w:t>
      </w:r>
    </w:p>
    <w:p w:rsidR="00B83067" w:rsidRDefault="00B83067" w:rsidP="00B83067">
      <w:pPr>
        <w:pStyle w:val="ListParagraph"/>
        <w:widowControl/>
        <w:autoSpaceDE/>
        <w:autoSpaceDN/>
        <w:ind w:left="709" w:firstLine="0"/>
        <w:contextualSpacing/>
        <w:jc w:val="both"/>
        <w:rPr>
          <w:rFonts w:ascii="Cambria" w:hAnsi="Cambria"/>
          <w:lang w:val="en-US"/>
        </w:rPr>
      </w:pPr>
    </w:p>
    <w:p w:rsidR="00B83067" w:rsidRDefault="00B83067" w:rsidP="00B83067">
      <w:pPr>
        <w:pStyle w:val="ListParagraph"/>
        <w:widowControl/>
        <w:autoSpaceDE/>
        <w:autoSpaceDN/>
        <w:ind w:left="709" w:firstLine="0"/>
        <w:contextualSpacing/>
        <w:jc w:val="both"/>
        <w:rPr>
          <w:rFonts w:ascii="Cambria" w:hAnsi="Cambria"/>
          <w:lang w:val="en-US"/>
        </w:rPr>
      </w:pPr>
      <w:r w:rsidRPr="002D0663">
        <w:rPr>
          <w:rFonts w:ascii="Cambria" w:hAnsi="Cambria"/>
          <w:lang w:val="en-US"/>
        </w:rPr>
        <w:t>Pursuant to Article 2.11 of Decree No. 12/2015/ND-CP and Article 17 of Circular No. 92/2015/TT-BTC, a land price table regulated by the Provincial People's Committee is the basis of tax calculation for cases of non-prices on the transfer contract or prices on the transfer contract are lower than the land price prescribed by the Provincial People's Committee at the time of transfer.</w:t>
      </w:r>
    </w:p>
    <w:p w:rsidR="00B83067" w:rsidRDefault="00B83067" w:rsidP="00B83067">
      <w:pPr>
        <w:pStyle w:val="ListParagraph"/>
        <w:widowControl/>
        <w:autoSpaceDE/>
        <w:autoSpaceDN/>
        <w:ind w:left="709" w:firstLine="0"/>
        <w:contextualSpacing/>
        <w:jc w:val="both"/>
        <w:rPr>
          <w:rFonts w:ascii="Cambria" w:hAnsi="Cambria"/>
          <w:lang w:val="en-US"/>
        </w:rPr>
      </w:pPr>
    </w:p>
    <w:p w:rsidR="00B83067" w:rsidRDefault="00B83067" w:rsidP="00B83067">
      <w:pPr>
        <w:pStyle w:val="ListParagraph"/>
        <w:widowControl/>
        <w:autoSpaceDE/>
        <w:autoSpaceDN/>
        <w:ind w:left="709" w:firstLine="0"/>
        <w:contextualSpacing/>
        <w:jc w:val="both"/>
        <w:rPr>
          <w:rFonts w:ascii="Cambria" w:hAnsi="Cambria"/>
          <w:lang w:val="en-US"/>
        </w:rPr>
      </w:pPr>
      <w:r w:rsidRPr="002D0663">
        <w:rPr>
          <w:rFonts w:ascii="Cambria" w:hAnsi="Cambria"/>
          <w:lang w:val="en-US"/>
        </w:rPr>
        <w:t>According to Land Law 2013, the People's Committee of the Province enacted the Land Price Table every 5 years and a land price adjustment annually. For ensuring publicity and transparency in the affair of management of real estate business and transfer, requiring the People's Committees of Provinces and Cities to take care and provide th</w:t>
      </w:r>
      <w:r>
        <w:rPr>
          <w:rFonts w:ascii="Cambria" w:hAnsi="Cambria"/>
          <w:lang w:val="en-US"/>
        </w:rPr>
        <w:t>e following noticeable contents:</w:t>
      </w:r>
    </w:p>
    <w:p w:rsidR="00B83067" w:rsidRDefault="00B83067" w:rsidP="00B83067">
      <w:pPr>
        <w:pStyle w:val="ListParagraph"/>
        <w:jc w:val="both"/>
        <w:rPr>
          <w:rFonts w:ascii="Cambria" w:hAnsi="Cambria"/>
          <w:lang w:val="en-US"/>
        </w:rPr>
      </w:pPr>
    </w:p>
    <w:p w:rsidR="00B83067" w:rsidRPr="002D0663" w:rsidRDefault="00B83067" w:rsidP="00B83067">
      <w:pPr>
        <w:pStyle w:val="ListParagraph"/>
        <w:widowControl/>
        <w:numPr>
          <w:ilvl w:val="0"/>
          <w:numId w:val="10"/>
        </w:numPr>
        <w:autoSpaceDE/>
        <w:autoSpaceDN/>
        <w:contextualSpacing/>
        <w:jc w:val="both"/>
        <w:rPr>
          <w:rFonts w:ascii="Cambria" w:hAnsi="Cambria"/>
          <w:b/>
          <w:lang w:val="en-US"/>
        </w:rPr>
      </w:pPr>
      <w:r w:rsidRPr="002D0663">
        <w:rPr>
          <w:rFonts w:ascii="Cambria" w:hAnsi="Cambria"/>
          <w:lang w:val="en-US"/>
        </w:rPr>
        <w:t>In regards to land locations, road sections, and roads that had prices pursuant to Land Price Table and land price adjustment coefficient issued by the Provincial People's Committee: the Provincial People's Committee is required to issue the Price Land Table (including land price adjustment coefficient) in order to facilitate tax calculation according to the above-mentioned regulations.</w:t>
      </w:r>
    </w:p>
    <w:p w:rsidR="00B83067" w:rsidRPr="002D0663" w:rsidRDefault="00B83067" w:rsidP="00B83067">
      <w:pPr>
        <w:pStyle w:val="ListParagraph"/>
        <w:ind w:left="1440"/>
        <w:jc w:val="both"/>
        <w:rPr>
          <w:rFonts w:ascii="Cambria" w:hAnsi="Cambria"/>
          <w:b/>
          <w:lang w:val="en-US"/>
        </w:rPr>
      </w:pPr>
    </w:p>
    <w:p w:rsidR="00B83067" w:rsidRPr="002D0663" w:rsidRDefault="00B83067" w:rsidP="00B83067">
      <w:pPr>
        <w:pStyle w:val="ListParagraph"/>
        <w:widowControl/>
        <w:numPr>
          <w:ilvl w:val="0"/>
          <w:numId w:val="10"/>
        </w:numPr>
        <w:autoSpaceDE/>
        <w:autoSpaceDN/>
        <w:contextualSpacing/>
        <w:jc w:val="both"/>
        <w:rPr>
          <w:rFonts w:ascii="Cambria" w:hAnsi="Cambria"/>
          <w:b/>
          <w:lang w:val="en-US"/>
        </w:rPr>
      </w:pPr>
      <w:r w:rsidRPr="002D0663">
        <w:rPr>
          <w:rFonts w:ascii="Cambria" w:hAnsi="Cambria"/>
          <w:lang w:val="en-US"/>
        </w:rPr>
        <w:lastRenderedPageBreak/>
        <w:t>In regards to land locations, road sections, and roads have not had prices comply with the Land Price Table issued by the People's Committee of the province: the Provincial People's Committee is required to command the Department of Natural Resources and Environment to cooperate with the equivalent agencies to review for advising the Provincial People's Committee to immediately enact the Decision on adjustment and supplement Land Price Table for each location being complied with the real transaction price on the market and the selling price of investor. In cases of non-issuing it, investors are required to publicize the selling prices and notify the equivalent individuals and organizations when proceeding with transactions on real estate formed in the future as well as performing financial obligations regarding real estate transfers.</w:t>
      </w:r>
    </w:p>
    <w:p w:rsidR="00B83067" w:rsidRPr="002D0663" w:rsidRDefault="00B83067" w:rsidP="00B83067">
      <w:pPr>
        <w:pStyle w:val="ListParagraph"/>
        <w:rPr>
          <w:rFonts w:ascii="Cambria" w:hAnsi="Cambria"/>
          <w:lang w:val="en-US"/>
        </w:rPr>
      </w:pPr>
    </w:p>
    <w:p w:rsidR="00B83067" w:rsidRPr="002D0663" w:rsidRDefault="00B83067" w:rsidP="00B83067">
      <w:pPr>
        <w:pStyle w:val="ListParagraph"/>
        <w:widowControl/>
        <w:numPr>
          <w:ilvl w:val="0"/>
          <w:numId w:val="10"/>
        </w:numPr>
        <w:autoSpaceDE/>
        <w:autoSpaceDN/>
        <w:contextualSpacing/>
        <w:jc w:val="both"/>
        <w:rPr>
          <w:rFonts w:ascii="Cambria" w:hAnsi="Cambria"/>
          <w:b/>
          <w:lang w:val="en-US"/>
        </w:rPr>
      </w:pPr>
      <w:r w:rsidRPr="002D0663">
        <w:rPr>
          <w:rFonts w:ascii="Cambria" w:hAnsi="Cambria"/>
          <w:lang w:val="en-US"/>
        </w:rPr>
        <w:t>The application for real estate transfer shall be submitted to competent authorities through a one-stop-shop mechanism (the Natural Resources and Environment Agency, the Land Registry, the One-Stop-Shop Section of the People's Committee...): the agency receiving dossiers through the one-stop-shop mechanism is responsible for disseminating laws, propagating and guiding taxpayers on the location, street, and how to identify and apply specific prices of each type of real estate (including the land price adjustment coefficient as prescribed by the Provincial People's Committee) for organizations and individuals acknowledge and comply with regulations when performing financial registration regarding real estate transfers.</w:t>
      </w:r>
    </w:p>
    <w:p w:rsidR="00B83067" w:rsidRPr="00B55567" w:rsidRDefault="00B83067" w:rsidP="00B83067">
      <w:pPr>
        <w:pStyle w:val="ListParagraph"/>
        <w:widowControl/>
        <w:autoSpaceDE/>
        <w:autoSpaceDN/>
        <w:ind w:left="709" w:firstLine="0"/>
        <w:contextualSpacing/>
        <w:jc w:val="both"/>
        <w:rPr>
          <w:rFonts w:ascii="Cambria" w:hAnsi="Cambria"/>
          <w:lang w:val="en-US"/>
        </w:rPr>
      </w:pPr>
    </w:p>
    <w:p w:rsidR="00B83067" w:rsidRDefault="00B83067" w:rsidP="00B83067">
      <w:pPr>
        <w:pStyle w:val="ListParagraph"/>
        <w:widowControl/>
        <w:numPr>
          <w:ilvl w:val="1"/>
          <w:numId w:val="3"/>
        </w:numPr>
        <w:autoSpaceDE/>
        <w:autoSpaceDN/>
        <w:ind w:left="709" w:hanging="709"/>
        <w:contextualSpacing/>
        <w:jc w:val="both"/>
        <w:rPr>
          <w:rFonts w:ascii="Cambria" w:hAnsi="Cambria"/>
          <w:lang w:val="en-US"/>
        </w:rPr>
      </w:pPr>
      <w:r>
        <w:rPr>
          <w:rFonts w:ascii="Cambria" w:hAnsi="Cambria"/>
          <w:b/>
          <w:lang w:val="en-US"/>
        </w:rPr>
        <w:t>The requirements for enterprises to be supported for loan interest rates of 2%/year</w:t>
      </w:r>
    </w:p>
    <w:p w:rsidR="00B83067" w:rsidRDefault="00B83067" w:rsidP="00B83067">
      <w:pPr>
        <w:pStyle w:val="ListParagraph"/>
        <w:widowControl/>
        <w:autoSpaceDE/>
        <w:autoSpaceDN/>
        <w:ind w:left="709" w:firstLine="0"/>
        <w:contextualSpacing/>
        <w:jc w:val="both"/>
        <w:rPr>
          <w:rFonts w:ascii="Cambria" w:hAnsi="Cambria"/>
          <w:lang w:val="en-US"/>
        </w:rPr>
      </w:pPr>
    </w:p>
    <w:p w:rsidR="00B83067" w:rsidRDefault="00B83067" w:rsidP="00B83067">
      <w:pPr>
        <w:pStyle w:val="ListParagraph"/>
        <w:widowControl/>
        <w:autoSpaceDE/>
        <w:autoSpaceDN/>
        <w:ind w:left="709" w:firstLine="0"/>
        <w:contextualSpacing/>
        <w:jc w:val="both"/>
        <w:rPr>
          <w:rFonts w:ascii="Cambria" w:hAnsi="Cambria"/>
          <w:lang w:val="en-US"/>
        </w:rPr>
      </w:pPr>
      <w:r w:rsidRPr="00B83067">
        <w:rPr>
          <w:rFonts w:ascii="Cambria" w:hAnsi="Cambria"/>
          <w:lang w:val="en-US"/>
        </w:rPr>
        <w:t>On May 20, 2022, the Government issued Decree 31/2022/ND-CP on interest rate support from the State budget for loans of enterprises, cooperatives and business households, in which, support interest rate 2%/year.</w:t>
      </w:r>
    </w:p>
    <w:p w:rsidR="00B83067" w:rsidRDefault="00B83067" w:rsidP="00B83067">
      <w:pPr>
        <w:pStyle w:val="ListParagraph"/>
        <w:widowControl/>
        <w:autoSpaceDE/>
        <w:autoSpaceDN/>
        <w:ind w:left="709" w:firstLine="0"/>
        <w:contextualSpacing/>
        <w:jc w:val="both"/>
        <w:rPr>
          <w:rFonts w:ascii="Cambria" w:hAnsi="Cambria"/>
          <w:lang w:val="en-US"/>
        </w:rPr>
      </w:pPr>
    </w:p>
    <w:p w:rsidR="00B83067" w:rsidRDefault="00B83067" w:rsidP="00B83067">
      <w:pPr>
        <w:pStyle w:val="ListParagraph"/>
        <w:widowControl/>
        <w:autoSpaceDE/>
        <w:autoSpaceDN/>
        <w:ind w:left="709" w:firstLine="0"/>
        <w:contextualSpacing/>
        <w:jc w:val="both"/>
        <w:rPr>
          <w:rFonts w:ascii="Cambria" w:hAnsi="Cambria"/>
          <w:lang w:val="en-US"/>
        </w:rPr>
      </w:pPr>
      <w:r w:rsidRPr="0052048A">
        <w:rPr>
          <w:rFonts w:ascii="Cambria" w:hAnsi="Cambria"/>
          <w:lang w:val="en-US"/>
        </w:rPr>
        <w:t>Accordingly, enterprises, cooperatives and business households that want to receive 2%/year interest rate support</w:t>
      </w:r>
      <w:r>
        <w:rPr>
          <w:rFonts w:ascii="Cambria" w:hAnsi="Cambria"/>
          <w:lang w:val="en-US"/>
        </w:rPr>
        <w:t xml:space="preserve"> </w:t>
      </w:r>
      <w:r w:rsidRPr="0052048A">
        <w:rPr>
          <w:rFonts w:ascii="Cambria" w:hAnsi="Cambria"/>
          <w:lang w:val="en-US"/>
        </w:rPr>
        <w:t>mus</w:t>
      </w:r>
      <w:r>
        <w:rPr>
          <w:rFonts w:ascii="Cambria" w:hAnsi="Cambria"/>
          <w:lang w:val="en-US"/>
        </w:rPr>
        <w:t>t meet the following requirements:</w:t>
      </w:r>
    </w:p>
    <w:p w:rsidR="00B83067" w:rsidRDefault="00B83067" w:rsidP="00B83067">
      <w:pPr>
        <w:pStyle w:val="ListParagraph"/>
        <w:jc w:val="both"/>
        <w:rPr>
          <w:rFonts w:ascii="Cambria" w:hAnsi="Cambria"/>
          <w:lang w:val="en-US"/>
        </w:rPr>
      </w:pPr>
    </w:p>
    <w:p w:rsidR="00B83067" w:rsidRDefault="00B83067" w:rsidP="00B83067">
      <w:pPr>
        <w:pStyle w:val="ListParagraph"/>
        <w:widowControl/>
        <w:numPr>
          <w:ilvl w:val="0"/>
          <w:numId w:val="11"/>
        </w:numPr>
        <w:autoSpaceDE/>
        <w:autoSpaceDN/>
        <w:contextualSpacing/>
        <w:jc w:val="both"/>
        <w:rPr>
          <w:rFonts w:ascii="Cambria" w:hAnsi="Cambria"/>
          <w:lang w:val="en-US"/>
        </w:rPr>
      </w:pPr>
      <w:r>
        <w:rPr>
          <w:rFonts w:ascii="Cambria" w:hAnsi="Cambria"/>
          <w:lang w:val="en-US"/>
        </w:rPr>
        <w:t xml:space="preserve">Must be the regulated entities </w:t>
      </w:r>
      <w:r w:rsidRPr="0052048A">
        <w:rPr>
          <w:rFonts w:ascii="Cambria" w:hAnsi="Cambria"/>
          <w:lang w:val="en-US"/>
        </w:rPr>
        <w:t>to interest rate support as prescribed in Article 2 of Decree 31/2022/ND-CP (collectively referred to as C</w:t>
      </w:r>
      <w:r>
        <w:rPr>
          <w:rFonts w:ascii="Cambria" w:hAnsi="Cambria"/>
          <w:lang w:val="en-US"/>
        </w:rPr>
        <w:t>lient</w:t>
      </w:r>
      <w:r w:rsidRPr="0052048A">
        <w:rPr>
          <w:rFonts w:ascii="Cambria" w:hAnsi="Cambria"/>
          <w:lang w:val="en-US"/>
        </w:rPr>
        <w:t>);</w:t>
      </w:r>
    </w:p>
    <w:p w:rsidR="00B83067" w:rsidRDefault="00B83067" w:rsidP="00B83067">
      <w:pPr>
        <w:pStyle w:val="ListParagraph"/>
        <w:ind w:left="1440"/>
        <w:jc w:val="both"/>
        <w:rPr>
          <w:rFonts w:ascii="Cambria" w:hAnsi="Cambria"/>
          <w:lang w:val="en-US"/>
        </w:rPr>
      </w:pPr>
    </w:p>
    <w:p w:rsidR="00B83067" w:rsidRDefault="00B83067" w:rsidP="00B83067">
      <w:pPr>
        <w:pStyle w:val="ListParagraph"/>
        <w:widowControl/>
        <w:numPr>
          <w:ilvl w:val="0"/>
          <w:numId w:val="11"/>
        </w:numPr>
        <w:autoSpaceDE/>
        <w:autoSpaceDN/>
        <w:contextualSpacing/>
        <w:jc w:val="both"/>
        <w:rPr>
          <w:rFonts w:ascii="Cambria" w:hAnsi="Cambria"/>
          <w:lang w:val="en-US"/>
        </w:rPr>
      </w:pPr>
      <w:r w:rsidRPr="001E46D5">
        <w:rPr>
          <w:rFonts w:ascii="Cambria" w:hAnsi="Cambria"/>
          <w:lang w:val="en-US"/>
        </w:rPr>
        <w:t>C</w:t>
      </w:r>
      <w:r>
        <w:rPr>
          <w:rFonts w:ascii="Cambria" w:hAnsi="Cambria"/>
          <w:lang w:val="en-US"/>
        </w:rPr>
        <w:t>lients</w:t>
      </w:r>
      <w:r w:rsidRPr="001E46D5">
        <w:rPr>
          <w:rFonts w:ascii="Cambria" w:hAnsi="Cambria"/>
          <w:lang w:val="en-US"/>
        </w:rPr>
        <w:t xml:space="preserve"> </w:t>
      </w:r>
      <w:r>
        <w:rPr>
          <w:rFonts w:ascii="Cambria" w:hAnsi="Cambria"/>
          <w:lang w:val="en-US"/>
        </w:rPr>
        <w:t>request for</w:t>
      </w:r>
      <w:r w:rsidRPr="001E46D5">
        <w:rPr>
          <w:rFonts w:ascii="Cambria" w:hAnsi="Cambria"/>
          <w:lang w:val="en-US"/>
        </w:rPr>
        <w:t xml:space="preserve"> interest rate </w:t>
      </w:r>
      <w:r>
        <w:rPr>
          <w:rFonts w:ascii="Cambria" w:hAnsi="Cambria"/>
          <w:lang w:val="en-US"/>
        </w:rPr>
        <w:t>support, meet loan requirements</w:t>
      </w:r>
      <w:r w:rsidRPr="001E46D5">
        <w:rPr>
          <w:rFonts w:ascii="Cambria" w:hAnsi="Cambria"/>
          <w:lang w:val="en-US"/>
        </w:rPr>
        <w:t xml:space="preserve"> in accordance with current laws on </w:t>
      </w:r>
      <w:r>
        <w:rPr>
          <w:rFonts w:ascii="Cambria" w:hAnsi="Cambria"/>
          <w:lang w:val="en-US"/>
        </w:rPr>
        <w:t>loans</w:t>
      </w:r>
      <w:r w:rsidRPr="001E46D5">
        <w:rPr>
          <w:rFonts w:ascii="Cambria" w:hAnsi="Cambria"/>
          <w:lang w:val="en-US"/>
        </w:rPr>
        <w:t xml:space="preserve"> of credit institutions, branches</w:t>
      </w:r>
      <w:r>
        <w:rPr>
          <w:rFonts w:ascii="Cambria" w:hAnsi="Cambria"/>
          <w:lang w:val="en-US"/>
        </w:rPr>
        <w:t xml:space="preserve"> of foreign bank;</w:t>
      </w:r>
    </w:p>
    <w:p w:rsidR="00B83067" w:rsidRPr="001E46D5" w:rsidRDefault="00B83067" w:rsidP="00B83067">
      <w:pPr>
        <w:pStyle w:val="ListParagraph"/>
        <w:rPr>
          <w:rFonts w:ascii="Cambria" w:hAnsi="Cambria"/>
          <w:lang w:val="en-US"/>
        </w:rPr>
      </w:pPr>
    </w:p>
    <w:p w:rsidR="00B83067" w:rsidRDefault="00B83067" w:rsidP="00B83067">
      <w:pPr>
        <w:pStyle w:val="ListParagraph"/>
        <w:widowControl/>
        <w:numPr>
          <w:ilvl w:val="0"/>
          <w:numId w:val="11"/>
        </w:numPr>
        <w:autoSpaceDE/>
        <w:autoSpaceDN/>
        <w:contextualSpacing/>
        <w:jc w:val="both"/>
        <w:rPr>
          <w:rFonts w:ascii="Cambria" w:hAnsi="Cambria"/>
          <w:lang w:val="en-US"/>
        </w:rPr>
      </w:pPr>
      <w:r w:rsidRPr="00EB444A">
        <w:rPr>
          <w:rFonts w:ascii="Cambria" w:hAnsi="Cambria"/>
          <w:lang w:val="en-US"/>
        </w:rPr>
        <w:t>The loan with interest rate support is a loan in Vietnam Dong, signed a loan agreement and disbursed during the period from January 1, 2022 to December 31, 2023;</w:t>
      </w:r>
    </w:p>
    <w:p w:rsidR="00B83067" w:rsidRDefault="00B83067" w:rsidP="00B83067">
      <w:pPr>
        <w:pStyle w:val="ListParagraph"/>
        <w:ind w:left="1440"/>
        <w:jc w:val="both"/>
        <w:rPr>
          <w:rFonts w:ascii="Cambria" w:hAnsi="Cambria"/>
          <w:lang w:val="en-US"/>
        </w:rPr>
      </w:pPr>
    </w:p>
    <w:p w:rsidR="00B83067" w:rsidRDefault="00B83067" w:rsidP="00B83067">
      <w:pPr>
        <w:pStyle w:val="ListParagraph"/>
        <w:widowControl/>
        <w:numPr>
          <w:ilvl w:val="0"/>
          <w:numId w:val="11"/>
        </w:numPr>
        <w:autoSpaceDE/>
        <w:autoSpaceDN/>
        <w:contextualSpacing/>
        <w:jc w:val="both"/>
        <w:rPr>
          <w:rFonts w:ascii="Cambria" w:hAnsi="Cambria"/>
          <w:lang w:val="en-US"/>
        </w:rPr>
      </w:pPr>
      <w:r>
        <w:rPr>
          <w:rFonts w:ascii="Cambria" w:hAnsi="Cambria"/>
          <w:lang w:val="en-US"/>
        </w:rPr>
        <w:t>Clients use capital for proper purposes</w:t>
      </w:r>
      <w:r w:rsidRPr="00EB444A">
        <w:t xml:space="preserve"> </w:t>
      </w:r>
      <w:r w:rsidRPr="00EB444A">
        <w:rPr>
          <w:rFonts w:ascii="Cambria" w:hAnsi="Cambria"/>
          <w:lang w:val="en-US"/>
        </w:rPr>
        <w:t>as prescribed in Clause 2, Article 2 of Decree 31/2022/ND-CP and</w:t>
      </w:r>
      <w:r>
        <w:rPr>
          <w:rFonts w:ascii="Cambria" w:hAnsi="Cambria"/>
          <w:lang w:val="en-US"/>
        </w:rPr>
        <w:t xml:space="preserve"> </w:t>
      </w:r>
      <w:r w:rsidRPr="00EB444A">
        <w:rPr>
          <w:rFonts w:ascii="Cambria" w:hAnsi="Cambria"/>
          <w:lang w:val="en-US"/>
        </w:rPr>
        <w:t>have not received interest rate support from the state budget according to other policies.</w:t>
      </w:r>
    </w:p>
    <w:p w:rsidR="00B83067" w:rsidRPr="00EB444A" w:rsidRDefault="00B83067" w:rsidP="00B83067">
      <w:pPr>
        <w:pStyle w:val="ListParagraph"/>
        <w:rPr>
          <w:rFonts w:ascii="Cambria" w:hAnsi="Cambria"/>
          <w:lang w:val="en-US"/>
        </w:rPr>
      </w:pPr>
    </w:p>
    <w:p w:rsidR="00B83067" w:rsidRDefault="00B83067" w:rsidP="00B83067">
      <w:pPr>
        <w:ind w:left="720"/>
        <w:jc w:val="both"/>
        <w:rPr>
          <w:rFonts w:ascii="Cambria" w:hAnsi="Cambria"/>
          <w:lang w:val="en-US"/>
        </w:rPr>
      </w:pPr>
      <w:r w:rsidRPr="00EB444A">
        <w:rPr>
          <w:rFonts w:ascii="Cambria" w:hAnsi="Cambria"/>
          <w:lang w:val="en-US"/>
        </w:rPr>
        <w:t>The loan will not continue to receive interest support in the following cases</w:t>
      </w:r>
      <w:r>
        <w:rPr>
          <w:rFonts w:ascii="Cambria" w:hAnsi="Cambria"/>
          <w:lang w:val="en-US"/>
        </w:rPr>
        <w:t xml:space="preserve">: </w:t>
      </w:r>
    </w:p>
    <w:p w:rsidR="00B83067" w:rsidRDefault="00B83067" w:rsidP="00B83067">
      <w:pPr>
        <w:ind w:left="720"/>
        <w:jc w:val="both"/>
        <w:rPr>
          <w:rFonts w:ascii="Cambria" w:hAnsi="Cambria"/>
          <w:lang w:val="en-US"/>
        </w:rPr>
      </w:pPr>
    </w:p>
    <w:p w:rsidR="00B83067" w:rsidRDefault="00B83067" w:rsidP="00B83067">
      <w:pPr>
        <w:pStyle w:val="ListParagraph"/>
        <w:widowControl/>
        <w:numPr>
          <w:ilvl w:val="0"/>
          <w:numId w:val="12"/>
        </w:numPr>
        <w:autoSpaceDE/>
        <w:autoSpaceDN/>
        <w:contextualSpacing/>
        <w:jc w:val="both"/>
        <w:rPr>
          <w:rFonts w:ascii="Cambria" w:hAnsi="Cambria"/>
          <w:lang w:val="en-US"/>
        </w:rPr>
      </w:pPr>
      <w:r w:rsidRPr="00627717">
        <w:rPr>
          <w:rFonts w:ascii="Cambria" w:hAnsi="Cambria"/>
          <w:lang w:val="en-US"/>
        </w:rPr>
        <w:t>Loans with overdue principal balance</w:t>
      </w:r>
      <w:r>
        <w:rPr>
          <w:rFonts w:ascii="Cambria" w:hAnsi="Cambria"/>
          <w:lang w:val="en-US"/>
        </w:rPr>
        <w:t xml:space="preserve"> and/or </w:t>
      </w:r>
      <w:r w:rsidRPr="00627717">
        <w:rPr>
          <w:rFonts w:ascii="Cambria" w:hAnsi="Cambria"/>
          <w:lang w:val="en-US"/>
        </w:rPr>
        <w:t>late payment interest balance is not eligible for interest support for interest payment obligation at the interest payment term</w:t>
      </w:r>
      <w:r>
        <w:rPr>
          <w:rFonts w:ascii="Cambria" w:hAnsi="Cambria"/>
          <w:lang w:val="en-US"/>
        </w:rPr>
        <w:t xml:space="preserve"> that </w:t>
      </w:r>
      <w:r w:rsidRPr="00627717">
        <w:rPr>
          <w:rFonts w:ascii="Cambria" w:hAnsi="Cambria"/>
          <w:lang w:val="en-US"/>
        </w:rPr>
        <w:t xml:space="preserve">the </w:t>
      </w:r>
      <w:r w:rsidRPr="00627717">
        <w:rPr>
          <w:rFonts w:ascii="Cambria" w:hAnsi="Cambria"/>
          <w:lang w:val="en-US"/>
        </w:rPr>
        <w:lastRenderedPageBreak/>
        <w:t>time of repayment is within the period of</w:t>
      </w:r>
      <w:r>
        <w:rPr>
          <w:rFonts w:ascii="Cambria" w:hAnsi="Cambria"/>
          <w:lang w:val="en-US"/>
        </w:rPr>
        <w:t xml:space="preserve"> the</w:t>
      </w:r>
      <w:r w:rsidRPr="00627717">
        <w:rPr>
          <w:rFonts w:ascii="Cambria" w:hAnsi="Cambria"/>
          <w:lang w:val="en-US"/>
        </w:rPr>
        <w:t xml:space="preserve"> overdue principal balance and/or</w:t>
      </w:r>
      <w:r>
        <w:rPr>
          <w:rFonts w:ascii="Cambria" w:hAnsi="Cambria"/>
          <w:lang w:val="en-US"/>
        </w:rPr>
        <w:t xml:space="preserve"> the</w:t>
      </w:r>
      <w:r w:rsidRPr="00627717">
        <w:rPr>
          <w:rFonts w:ascii="Cambria" w:hAnsi="Cambria"/>
          <w:lang w:val="en-US"/>
        </w:rPr>
        <w:t xml:space="preserve"> late payment interest balance.</w:t>
      </w:r>
      <w:r>
        <w:rPr>
          <w:rFonts w:ascii="Cambria" w:hAnsi="Cambria"/>
          <w:lang w:val="en-US"/>
        </w:rPr>
        <w:t xml:space="preserve"> </w:t>
      </w:r>
      <w:r w:rsidRPr="00627717">
        <w:rPr>
          <w:rFonts w:ascii="Cambria" w:hAnsi="Cambria"/>
          <w:lang w:val="en-US"/>
        </w:rPr>
        <w:t>The loan can only continue to receive interest support for the next interest payment terms after the c</w:t>
      </w:r>
      <w:r>
        <w:rPr>
          <w:rFonts w:ascii="Cambria" w:hAnsi="Cambria"/>
          <w:lang w:val="en-US"/>
        </w:rPr>
        <w:t>lients have</w:t>
      </w:r>
      <w:r w:rsidRPr="00627717">
        <w:rPr>
          <w:rFonts w:ascii="Cambria" w:hAnsi="Cambria"/>
          <w:lang w:val="en-US"/>
        </w:rPr>
        <w:t xml:space="preserve"> fully paid the overdue principal balance and/or the late payment interest balance.</w:t>
      </w:r>
    </w:p>
    <w:p w:rsidR="00B83067" w:rsidRDefault="00B83067" w:rsidP="00B83067">
      <w:pPr>
        <w:pStyle w:val="ListParagraph"/>
        <w:ind w:left="1440"/>
        <w:jc w:val="both"/>
        <w:rPr>
          <w:rFonts w:ascii="Cambria" w:hAnsi="Cambria"/>
          <w:lang w:val="en-US"/>
        </w:rPr>
      </w:pPr>
    </w:p>
    <w:p w:rsidR="00B83067" w:rsidRDefault="00B83067" w:rsidP="00B83067">
      <w:pPr>
        <w:pStyle w:val="ListParagraph"/>
        <w:widowControl/>
        <w:numPr>
          <w:ilvl w:val="0"/>
          <w:numId w:val="12"/>
        </w:numPr>
        <w:autoSpaceDE/>
        <w:autoSpaceDN/>
        <w:contextualSpacing/>
        <w:jc w:val="both"/>
        <w:rPr>
          <w:rFonts w:ascii="Cambria" w:hAnsi="Cambria"/>
          <w:lang w:val="en-US"/>
        </w:rPr>
      </w:pPr>
      <w:r w:rsidRPr="007F6ED0">
        <w:rPr>
          <w:rFonts w:ascii="Cambria" w:hAnsi="Cambria"/>
          <w:lang w:val="en-US"/>
        </w:rPr>
        <w:t>Loan extension will not be supported with interest for the debt extension period.</w:t>
      </w:r>
    </w:p>
    <w:p w:rsidR="00B83067" w:rsidRPr="007F6ED0" w:rsidRDefault="00B83067" w:rsidP="00B83067">
      <w:pPr>
        <w:pStyle w:val="ListParagraph"/>
        <w:rPr>
          <w:rFonts w:ascii="Cambria" w:hAnsi="Cambria"/>
          <w:lang w:val="en-US"/>
        </w:rPr>
      </w:pPr>
    </w:p>
    <w:p w:rsidR="00B83067" w:rsidRPr="007F6ED0" w:rsidRDefault="00B83067" w:rsidP="00B83067">
      <w:pPr>
        <w:ind w:firstLine="720"/>
        <w:jc w:val="both"/>
        <w:rPr>
          <w:rFonts w:ascii="Cambria" w:hAnsi="Cambria"/>
          <w:lang w:val="en-US"/>
        </w:rPr>
      </w:pPr>
      <w:r w:rsidRPr="007F6ED0">
        <w:rPr>
          <w:rFonts w:ascii="Cambria" w:hAnsi="Cambria"/>
          <w:lang w:val="en-US"/>
        </w:rPr>
        <w:t>Decree 31/2022/ND-CP takes effect from May 20, 2022.</w:t>
      </w:r>
    </w:p>
    <w:p w:rsidR="00B83067" w:rsidRPr="00DF095F" w:rsidRDefault="00B83067" w:rsidP="00B83067">
      <w:pPr>
        <w:pStyle w:val="Heading1"/>
        <w:tabs>
          <w:tab w:val="left" w:pos="836"/>
          <w:tab w:val="left" w:pos="837"/>
        </w:tabs>
        <w:spacing w:line="252" w:lineRule="auto"/>
        <w:ind w:left="709" w:firstLine="0"/>
        <w:rPr>
          <w:rFonts w:ascii="Cambria" w:hAnsi="Cambria"/>
          <w:lang w:val="en-US"/>
        </w:rPr>
      </w:pPr>
    </w:p>
    <w:p w:rsidR="00767D16" w:rsidRDefault="00B83067" w:rsidP="00767D16">
      <w:pPr>
        <w:pStyle w:val="Heading1"/>
        <w:numPr>
          <w:ilvl w:val="0"/>
          <w:numId w:val="1"/>
        </w:numPr>
        <w:ind w:left="709"/>
        <w:rPr>
          <w:rFonts w:ascii="Cambria" w:hAnsi="Cambria"/>
        </w:rPr>
      </w:pPr>
      <w:r w:rsidRPr="00572236">
        <w:rPr>
          <w:rFonts w:ascii="Cambria" w:hAnsi="Cambria"/>
          <w:lang w:val="en"/>
        </w:rPr>
        <w:t xml:space="preserve">Featured </w:t>
      </w:r>
      <w:r>
        <w:rPr>
          <w:rFonts w:ascii="Cambria" w:hAnsi="Cambria"/>
          <w:lang w:val="en"/>
        </w:rPr>
        <w:t>A</w:t>
      </w:r>
      <w:r w:rsidRPr="00572236">
        <w:rPr>
          <w:rFonts w:ascii="Cambria" w:hAnsi="Cambria"/>
          <w:lang w:val="en"/>
        </w:rPr>
        <w:t>rticles</w:t>
      </w:r>
      <w:r>
        <w:rPr>
          <w:rFonts w:ascii="Cambria" w:hAnsi="Cambria"/>
          <w:lang w:val="en"/>
        </w:rPr>
        <w:t xml:space="preserve"> of ADK Lawyer in </w:t>
      </w:r>
      <w:bookmarkStart w:id="1" w:name="Luật_sư_Lê_Tiến_Đạt_–_Luật_sư_điều_hành_"/>
      <w:bookmarkEnd w:id="1"/>
      <w:r>
        <w:rPr>
          <w:rFonts w:ascii="Cambria" w:hAnsi="Cambria"/>
          <w:lang w:val="en"/>
        </w:rPr>
        <w:t>May</w:t>
      </w:r>
    </w:p>
    <w:p w:rsidR="00767D16" w:rsidRDefault="00767D16" w:rsidP="00767D16">
      <w:pPr>
        <w:pStyle w:val="Heading1"/>
        <w:ind w:left="709" w:firstLine="0"/>
        <w:rPr>
          <w:rFonts w:ascii="Cambria" w:hAnsi="Cambria"/>
        </w:rPr>
      </w:pPr>
    </w:p>
    <w:p w:rsidR="00B83067" w:rsidRPr="00767D16" w:rsidRDefault="00B83067" w:rsidP="00767D16">
      <w:pPr>
        <w:pStyle w:val="Heading1"/>
        <w:ind w:left="709" w:firstLine="0"/>
        <w:rPr>
          <w:rFonts w:ascii="Cambria" w:hAnsi="Cambria"/>
        </w:rPr>
      </w:pPr>
      <w:r w:rsidRPr="00767D16">
        <w:rPr>
          <w:rFonts w:ascii="Cambria" w:hAnsi="Cambria"/>
          <w:b w:val="0"/>
          <w:lang w:val="en-US"/>
        </w:rPr>
        <w:t>The article “Legal regulations on receiving the non-refundable sponsorship by a subsidiary in Vietnam from its foreign parent company”. The article analyzes the method of receiving non-refundable funding from the foreign parent company and the regulations on exemption and reduction of value-added tax and corporate income tax for this transaction.</w:t>
      </w:r>
    </w:p>
    <w:p w:rsidR="00B83067" w:rsidRPr="00B55567" w:rsidRDefault="00B83067" w:rsidP="00B83067">
      <w:pPr>
        <w:pStyle w:val="Heading1"/>
        <w:ind w:left="1418" w:firstLine="0"/>
        <w:rPr>
          <w:rFonts w:ascii="Cambria" w:hAnsi="Cambria"/>
          <w:b w:val="0"/>
          <w:lang w:val="en-US"/>
        </w:rPr>
      </w:pPr>
    </w:p>
    <w:p w:rsidR="00B83067" w:rsidRDefault="00B83067" w:rsidP="00B83067">
      <w:pPr>
        <w:pStyle w:val="BodyText"/>
        <w:spacing w:line="252" w:lineRule="auto"/>
        <w:ind w:left="709" w:right="423"/>
        <w:jc w:val="both"/>
        <w:rPr>
          <w:rFonts w:ascii="Cambria" w:hAnsi="Cambria"/>
          <w:lang w:val="en"/>
        </w:rPr>
      </w:pPr>
      <w:bookmarkStart w:id="2" w:name="-_Một_vài_lưu_ý_pháp_lý_trong_quá_trình_"/>
      <w:bookmarkEnd w:id="2"/>
      <w:r w:rsidRPr="00572236">
        <w:rPr>
          <w:rFonts w:ascii="Cambria" w:hAnsi="Cambria"/>
          <w:lang w:val="en"/>
        </w:rPr>
        <w:t>To read the</w:t>
      </w:r>
      <w:r w:rsidRPr="00572236">
        <w:rPr>
          <w:rFonts w:ascii="Cambria" w:hAnsi="Cambria"/>
          <w:spacing w:val="-3"/>
          <w:lang w:val="en"/>
        </w:rPr>
        <w:t xml:space="preserve"> above articles</w:t>
      </w:r>
      <w:r w:rsidRPr="00572236">
        <w:rPr>
          <w:rFonts w:ascii="Cambria" w:hAnsi="Cambria"/>
          <w:lang w:val="en"/>
        </w:rPr>
        <w:t xml:space="preserve"> in </w:t>
      </w:r>
      <w:r>
        <w:rPr>
          <w:rFonts w:ascii="Cambria" w:hAnsi="Cambria"/>
          <w:lang w:val="en"/>
        </w:rPr>
        <w:t xml:space="preserve">more </w:t>
      </w:r>
      <w:r w:rsidRPr="00572236">
        <w:rPr>
          <w:rFonts w:ascii="Cambria" w:hAnsi="Cambria"/>
          <w:lang w:val="en"/>
        </w:rPr>
        <w:t xml:space="preserve">detail, please visit </w:t>
      </w:r>
      <w:r w:rsidRPr="00572236">
        <w:rPr>
          <w:rFonts w:ascii="Cambria" w:hAnsi="Cambria"/>
          <w:spacing w:val="-3"/>
          <w:lang w:val="en"/>
        </w:rPr>
        <w:t>our</w:t>
      </w:r>
      <w:r w:rsidRPr="00572236">
        <w:rPr>
          <w:rFonts w:ascii="Cambria" w:hAnsi="Cambria"/>
          <w:lang w:val="en"/>
        </w:rPr>
        <w:t xml:space="preserve"> website </w:t>
      </w:r>
      <w:r>
        <w:rPr>
          <w:rFonts w:ascii="Cambria" w:hAnsi="Cambria"/>
          <w:lang w:val="en"/>
        </w:rPr>
        <w:t xml:space="preserve">at: </w:t>
      </w:r>
      <w:hyperlink r:id="rId7" w:history="1">
        <w:r w:rsidRPr="00D527F4">
          <w:rPr>
            <w:rStyle w:val="Hyperlink"/>
            <w:rFonts w:ascii="Cambria" w:hAnsi="Cambria"/>
            <w:lang w:val="en"/>
          </w:rPr>
          <w:t>https://adk-lawyers.com/en/legal-articles</w:t>
        </w:r>
      </w:hyperlink>
    </w:p>
    <w:p w:rsidR="00B83067" w:rsidRPr="003855CE" w:rsidRDefault="00B83067" w:rsidP="00B83067">
      <w:pPr>
        <w:pStyle w:val="BodyText"/>
        <w:spacing w:line="252" w:lineRule="auto"/>
        <w:ind w:left="709" w:right="423"/>
        <w:jc w:val="both"/>
        <w:rPr>
          <w:rFonts w:ascii="Cambria" w:hAnsi="Cambria"/>
          <w:lang w:val="en"/>
        </w:rPr>
      </w:pPr>
    </w:p>
    <w:p w:rsidR="00B83067" w:rsidRPr="00572236" w:rsidRDefault="00B83067" w:rsidP="00B83067">
      <w:pPr>
        <w:pStyle w:val="Heading1"/>
        <w:numPr>
          <w:ilvl w:val="0"/>
          <w:numId w:val="1"/>
        </w:numPr>
        <w:tabs>
          <w:tab w:val="left" w:pos="836"/>
          <w:tab w:val="left" w:pos="837"/>
        </w:tabs>
        <w:spacing w:line="252" w:lineRule="auto"/>
        <w:ind w:left="709"/>
        <w:rPr>
          <w:rFonts w:ascii="Cambria" w:hAnsi="Cambria"/>
        </w:rPr>
      </w:pPr>
      <w:bookmarkStart w:id="3" w:name="3._Văn_bản_sắp_có_hiệu_lực"/>
      <w:bookmarkEnd w:id="3"/>
      <w:r w:rsidRPr="005B7711">
        <w:rPr>
          <w:rFonts w:ascii="Cambria" w:hAnsi="Cambria"/>
        </w:rPr>
        <w:t xml:space="preserve">Some prominent legal documents take effect from </w:t>
      </w:r>
      <w:r>
        <w:rPr>
          <w:rFonts w:ascii="Cambria" w:hAnsi="Cambria"/>
          <w:lang w:val="en-US"/>
        </w:rPr>
        <w:t>June</w:t>
      </w:r>
      <w:r>
        <w:rPr>
          <w:rFonts w:ascii="Cambria" w:hAnsi="Cambria"/>
        </w:rPr>
        <w:t xml:space="preserve"> 2022</w:t>
      </w:r>
    </w:p>
    <w:p w:rsidR="00B83067" w:rsidRPr="00572236" w:rsidRDefault="00B83067" w:rsidP="00B83067">
      <w:pPr>
        <w:pStyle w:val="BodyText"/>
        <w:spacing w:line="252" w:lineRule="auto"/>
        <w:rPr>
          <w:rFonts w:ascii="Cambria" w:hAnsi="Cambria"/>
          <w:b/>
        </w:rPr>
      </w:pPr>
    </w:p>
    <w:tbl>
      <w:tblPr>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379"/>
        <w:gridCol w:w="1559"/>
        <w:gridCol w:w="1571"/>
      </w:tblGrid>
      <w:tr w:rsidR="00B83067" w:rsidRPr="00E014C7" w:rsidTr="00FF69E8">
        <w:trPr>
          <w:trHeight w:val="537"/>
        </w:trPr>
        <w:tc>
          <w:tcPr>
            <w:tcW w:w="709" w:type="dxa"/>
            <w:shd w:val="clear" w:color="auto" w:fill="D9E2F3" w:themeFill="accent5" w:themeFillTint="33"/>
          </w:tcPr>
          <w:p w:rsidR="00B83067" w:rsidRPr="00F8565D" w:rsidRDefault="00B83067" w:rsidP="00FF69E8">
            <w:pPr>
              <w:pStyle w:val="TableParagraph"/>
              <w:spacing w:line="261" w:lineRule="exact"/>
              <w:ind w:left="119"/>
              <w:rPr>
                <w:rFonts w:ascii="Cambria" w:hAnsi="Cambria"/>
                <w:b/>
              </w:rPr>
            </w:pPr>
            <w:r>
              <w:rPr>
                <w:rFonts w:ascii="Cambria" w:hAnsi="Cambria"/>
                <w:b/>
              </w:rPr>
              <w:t>No</w:t>
            </w:r>
          </w:p>
        </w:tc>
        <w:tc>
          <w:tcPr>
            <w:tcW w:w="6379" w:type="dxa"/>
            <w:shd w:val="clear" w:color="auto" w:fill="D9E2F3" w:themeFill="accent5" w:themeFillTint="33"/>
          </w:tcPr>
          <w:p w:rsidR="00B83067" w:rsidRPr="00F8565D" w:rsidRDefault="00B83067" w:rsidP="00FF69E8">
            <w:pPr>
              <w:pStyle w:val="TableParagraph"/>
              <w:spacing w:line="240" w:lineRule="auto"/>
              <w:ind w:left="2428" w:right="2417"/>
              <w:jc w:val="center"/>
              <w:rPr>
                <w:rFonts w:ascii="Cambria" w:hAnsi="Cambria"/>
                <w:b/>
              </w:rPr>
            </w:pPr>
            <w:r>
              <w:rPr>
                <w:rFonts w:ascii="Cambria" w:hAnsi="Cambria"/>
                <w:b/>
              </w:rPr>
              <w:t>Text name</w:t>
            </w:r>
          </w:p>
        </w:tc>
        <w:tc>
          <w:tcPr>
            <w:tcW w:w="1559" w:type="dxa"/>
            <w:shd w:val="clear" w:color="auto" w:fill="D9E2F3" w:themeFill="accent5" w:themeFillTint="33"/>
          </w:tcPr>
          <w:p w:rsidR="00B83067" w:rsidRPr="00F8565D" w:rsidRDefault="00B83067" w:rsidP="00FF69E8">
            <w:pPr>
              <w:pStyle w:val="TableParagraph"/>
              <w:spacing w:line="252" w:lineRule="auto"/>
              <w:ind w:left="283" w:right="286"/>
              <w:jc w:val="center"/>
              <w:rPr>
                <w:rFonts w:ascii="Cambria" w:hAnsi="Cambria"/>
                <w:b/>
              </w:rPr>
            </w:pPr>
            <w:r>
              <w:rPr>
                <w:rFonts w:ascii="Cambria" w:hAnsi="Cambria"/>
                <w:b/>
              </w:rPr>
              <w:t>Date issued</w:t>
            </w:r>
          </w:p>
        </w:tc>
        <w:tc>
          <w:tcPr>
            <w:tcW w:w="1571" w:type="dxa"/>
            <w:shd w:val="clear" w:color="auto" w:fill="D9E2F3" w:themeFill="accent5" w:themeFillTint="33"/>
          </w:tcPr>
          <w:p w:rsidR="00B83067" w:rsidRPr="00F8565D" w:rsidRDefault="00B83067" w:rsidP="00FF69E8">
            <w:pPr>
              <w:pStyle w:val="TableParagraph"/>
              <w:spacing w:line="240" w:lineRule="auto"/>
              <w:ind w:left="139"/>
              <w:jc w:val="center"/>
              <w:rPr>
                <w:rFonts w:ascii="Cambria" w:hAnsi="Cambria"/>
                <w:b/>
              </w:rPr>
            </w:pPr>
            <w:r>
              <w:rPr>
                <w:rFonts w:ascii="Cambria" w:hAnsi="Cambria"/>
                <w:b/>
                <w:lang w:val="en-US"/>
              </w:rPr>
              <w:t>Date of Effective</w:t>
            </w:r>
          </w:p>
        </w:tc>
      </w:tr>
      <w:tr w:rsidR="00B83067" w:rsidRPr="00E014C7" w:rsidTr="00FF69E8">
        <w:trPr>
          <w:trHeight w:val="341"/>
        </w:trPr>
        <w:tc>
          <w:tcPr>
            <w:tcW w:w="10218" w:type="dxa"/>
            <w:gridSpan w:val="4"/>
          </w:tcPr>
          <w:p w:rsidR="00B83067" w:rsidRPr="00437FF9" w:rsidRDefault="00B83067" w:rsidP="00FF69E8">
            <w:pPr>
              <w:pStyle w:val="TableParagraph"/>
              <w:spacing w:before="5" w:line="240" w:lineRule="auto"/>
              <w:ind w:left="4295" w:right="4284"/>
              <w:jc w:val="center"/>
              <w:rPr>
                <w:rFonts w:ascii="Cambria" w:hAnsi="Cambria"/>
                <w:b/>
                <w:lang w:val="en-US"/>
              </w:rPr>
            </w:pPr>
            <w:bookmarkStart w:id="4" w:name="_Hlk84174501"/>
            <w:r>
              <w:rPr>
                <w:rFonts w:ascii="Cambria" w:hAnsi="Cambria"/>
                <w:b/>
                <w:lang w:val="en-US"/>
              </w:rPr>
              <w:t>DECREE</w:t>
            </w:r>
          </w:p>
          <w:p w:rsidR="00B83067" w:rsidRPr="003E51B7" w:rsidRDefault="00B83067" w:rsidP="00FF69E8">
            <w:pPr>
              <w:pStyle w:val="TableParagraph"/>
              <w:spacing w:before="5" w:line="240" w:lineRule="auto"/>
              <w:ind w:left="4295" w:right="4284"/>
              <w:jc w:val="center"/>
              <w:rPr>
                <w:rFonts w:ascii="Cambria" w:hAnsi="Cambria"/>
                <w:b/>
              </w:rPr>
            </w:pPr>
          </w:p>
        </w:tc>
      </w:tr>
      <w:tr w:rsidR="006E4C27" w:rsidRPr="00E014C7" w:rsidTr="00FF69E8">
        <w:trPr>
          <w:trHeight w:val="950"/>
        </w:trPr>
        <w:tc>
          <w:tcPr>
            <w:tcW w:w="709" w:type="dxa"/>
          </w:tcPr>
          <w:p w:rsidR="006E4C27" w:rsidRPr="00472E04" w:rsidRDefault="006E4C27" w:rsidP="006E4C27">
            <w:pPr>
              <w:pStyle w:val="TableParagraph"/>
              <w:numPr>
                <w:ilvl w:val="0"/>
                <w:numId w:val="2"/>
              </w:numPr>
              <w:rPr>
                <w:rFonts w:ascii="Cambria" w:hAnsi="Cambria"/>
                <w:lang w:val="en-US"/>
              </w:rPr>
            </w:pPr>
          </w:p>
        </w:tc>
        <w:tc>
          <w:tcPr>
            <w:tcW w:w="6379" w:type="dxa"/>
          </w:tcPr>
          <w:p w:rsidR="006E4C27" w:rsidRPr="006E4C27" w:rsidRDefault="006E4C27" w:rsidP="006E4C27">
            <w:pPr>
              <w:ind w:left="142"/>
              <w:jc w:val="both"/>
              <w:rPr>
                <w:rFonts w:ascii="Cambria" w:hAnsi="Cambria"/>
                <w:lang w:val="en-US"/>
              </w:rPr>
            </w:pPr>
            <w:r w:rsidRPr="006E4C27">
              <w:rPr>
                <w:rFonts w:ascii="Cambria" w:hAnsi="Cambria"/>
                <w:lang w:val="en-US"/>
              </w:rPr>
              <w:t xml:space="preserve">Decree </w:t>
            </w:r>
            <w:r>
              <w:rPr>
                <w:rFonts w:ascii="Cambria" w:hAnsi="Cambria"/>
                <w:lang w:val="en-US"/>
              </w:rPr>
              <w:t xml:space="preserve">No. </w:t>
            </w:r>
            <w:r w:rsidRPr="006E4C27">
              <w:rPr>
                <w:rFonts w:ascii="Cambria" w:hAnsi="Cambria"/>
                <w:lang w:val="en-US"/>
              </w:rPr>
              <w:t>23/2022/ND-CP on establishment, rearrangement, ownership transformation, transfer of the right to represent the owner in enterprises</w:t>
            </w:r>
            <w:r>
              <w:rPr>
                <w:rFonts w:ascii="Cambria" w:hAnsi="Cambria"/>
                <w:lang w:val="en-US"/>
              </w:rPr>
              <w:t xml:space="preserve"> held by the State with </w:t>
            </w:r>
            <w:r w:rsidRPr="006E4C27">
              <w:rPr>
                <w:rFonts w:ascii="Cambria" w:hAnsi="Cambria"/>
                <w:lang w:val="en-US"/>
              </w:rPr>
              <w:t>100% charter capital</w:t>
            </w:r>
          </w:p>
        </w:tc>
        <w:tc>
          <w:tcPr>
            <w:tcW w:w="1559" w:type="dxa"/>
          </w:tcPr>
          <w:p w:rsidR="006E4C27" w:rsidRPr="00A828DD" w:rsidRDefault="006E4C27" w:rsidP="006E4C27">
            <w:pPr>
              <w:pStyle w:val="TableParagraph"/>
              <w:spacing w:line="252" w:lineRule="auto"/>
              <w:ind w:left="142" w:right="286"/>
              <w:rPr>
                <w:rFonts w:ascii="Cambria" w:hAnsi="Cambria"/>
                <w:lang w:val="en-US"/>
              </w:rPr>
            </w:pPr>
            <w:r>
              <w:rPr>
                <w:rFonts w:ascii="Cambria" w:hAnsi="Cambria"/>
                <w:lang w:val="en-US"/>
              </w:rPr>
              <w:t>05/4/2022</w:t>
            </w:r>
          </w:p>
        </w:tc>
        <w:tc>
          <w:tcPr>
            <w:tcW w:w="1571" w:type="dxa"/>
          </w:tcPr>
          <w:p w:rsidR="006E4C27" w:rsidRPr="00A828DD" w:rsidRDefault="006E4C27" w:rsidP="006E4C27">
            <w:pPr>
              <w:pStyle w:val="TableParagraph"/>
              <w:spacing w:line="240" w:lineRule="auto"/>
              <w:ind w:left="139"/>
              <w:jc w:val="center"/>
              <w:rPr>
                <w:rFonts w:ascii="Cambria" w:hAnsi="Cambria"/>
                <w:lang w:val="en-US"/>
              </w:rPr>
            </w:pPr>
            <w:r>
              <w:rPr>
                <w:rFonts w:ascii="Cambria" w:hAnsi="Cambria"/>
                <w:lang w:val="en-US"/>
              </w:rPr>
              <w:t>01/6/2022</w:t>
            </w:r>
          </w:p>
        </w:tc>
      </w:tr>
      <w:tr w:rsidR="006E4C27" w:rsidRPr="00E014C7" w:rsidTr="00FF69E8">
        <w:trPr>
          <w:trHeight w:val="950"/>
        </w:trPr>
        <w:tc>
          <w:tcPr>
            <w:tcW w:w="709" w:type="dxa"/>
          </w:tcPr>
          <w:p w:rsidR="006E4C27" w:rsidRPr="00472E04" w:rsidRDefault="006E4C27" w:rsidP="006E4C27">
            <w:pPr>
              <w:pStyle w:val="TableParagraph"/>
              <w:numPr>
                <w:ilvl w:val="0"/>
                <w:numId w:val="2"/>
              </w:numPr>
              <w:rPr>
                <w:rFonts w:ascii="Cambria" w:hAnsi="Cambria"/>
                <w:lang w:val="en-US"/>
              </w:rPr>
            </w:pPr>
          </w:p>
        </w:tc>
        <w:tc>
          <w:tcPr>
            <w:tcW w:w="6379" w:type="dxa"/>
          </w:tcPr>
          <w:p w:rsidR="006E4C27" w:rsidRPr="006E4C27" w:rsidRDefault="006E4C27" w:rsidP="006E4C27">
            <w:pPr>
              <w:ind w:left="142"/>
              <w:jc w:val="both"/>
              <w:rPr>
                <w:rFonts w:ascii="Cambria" w:hAnsi="Cambria"/>
                <w:lang w:val="en-US"/>
              </w:rPr>
            </w:pPr>
            <w:r w:rsidRPr="006E4C27">
              <w:rPr>
                <w:rFonts w:ascii="Cambria" w:hAnsi="Cambria"/>
                <w:lang w:val="en-US"/>
              </w:rPr>
              <w:t>Decree</w:t>
            </w:r>
            <w:r>
              <w:rPr>
                <w:rFonts w:ascii="Cambria" w:hAnsi="Cambria"/>
                <w:lang w:val="en-US"/>
              </w:rPr>
              <w:t xml:space="preserve"> No.</w:t>
            </w:r>
            <w:r w:rsidRPr="006E4C27">
              <w:rPr>
                <w:rFonts w:ascii="Cambria" w:hAnsi="Cambria"/>
                <w:lang w:val="en-US"/>
              </w:rPr>
              <w:t xml:space="preserve"> 24/2022/ND-CP amending the Decree stipulating conditions for investment and operation in the field of vocational education</w:t>
            </w:r>
          </w:p>
        </w:tc>
        <w:tc>
          <w:tcPr>
            <w:tcW w:w="1559" w:type="dxa"/>
          </w:tcPr>
          <w:p w:rsidR="006E4C27" w:rsidRDefault="006E4C27" w:rsidP="006E4C27">
            <w:pPr>
              <w:pStyle w:val="TableParagraph"/>
              <w:spacing w:line="252" w:lineRule="auto"/>
              <w:ind w:left="142" w:right="286"/>
              <w:rPr>
                <w:rFonts w:ascii="Cambria" w:hAnsi="Cambria"/>
                <w:lang w:val="en-US"/>
              </w:rPr>
            </w:pPr>
            <w:r>
              <w:rPr>
                <w:rFonts w:ascii="Cambria" w:hAnsi="Cambria"/>
              </w:rPr>
              <w:t>06/4/2022</w:t>
            </w:r>
          </w:p>
        </w:tc>
        <w:tc>
          <w:tcPr>
            <w:tcW w:w="1571" w:type="dxa"/>
          </w:tcPr>
          <w:p w:rsidR="006E4C27" w:rsidRDefault="006E4C27" w:rsidP="006E4C27">
            <w:pPr>
              <w:pStyle w:val="TableParagraph"/>
              <w:spacing w:line="240" w:lineRule="auto"/>
              <w:ind w:left="139"/>
              <w:jc w:val="center"/>
              <w:rPr>
                <w:rFonts w:ascii="Cambria" w:hAnsi="Cambria"/>
                <w:lang w:val="en-US"/>
              </w:rPr>
            </w:pPr>
            <w:r>
              <w:rPr>
                <w:rFonts w:ascii="Cambria" w:hAnsi="Cambria"/>
                <w:lang w:val="en-US"/>
              </w:rPr>
              <w:t>01/6/2022</w:t>
            </w:r>
          </w:p>
        </w:tc>
      </w:tr>
      <w:tr w:rsidR="006E4C27" w:rsidRPr="00E014C7" w:rsidTr="00FF69E8">
        <w:trPr>
          <w:trHeight w:val="950"/>
        </w:trPr>
        <w:tc>
          <w:tcPr>
            <w:tcW w:w="709" w:type="dxa"/>
          </w:tcPr>
          <w:p w:rsidR="006E4C27" w:rsidRPr="00472E04" w:rsidRDefault="006E4C27" w:rsidP="006E4C27">
            <w:pPr>
              <w:pStyle w:val="TableParagraph"/>
              <w:numPr>
                <w:ilvl w:val="0"/>
                <w:numId w:val="2"/>
              </w:numPr>
              <w:rPr>
                <w:rFonts w:ascii="Cambria" w:hAnsi="Cambria"/>
                <w:lang w:val="en-US"/>
              </w:rPr>
            </w:pPr>
          </w:p>
        </w:tc>
        <w:tc>
          <w:tcPr>
            <w:tcW w:w="6379" w:type="dxa"/>
          </w:tcPr>
          <w:p w:rsidR="006E4C27" w:rsidRPr="006E4C27" w:rsidRDefault="006E4C27" w:rsidP="006E4C27">
            <w:pPr>
              <w:ind w:left="142"/>
              <w:jc w:val="both"/>
              <w:rPr>
                <w:rFonts w:ascii="Cambria" w:hAnsi="Cambria"/>
                <w:lang w:val="en-US"/>
              </w:rPr>
            </w:pPr>
            <w:r w:rsidRPr="006E4C27">
              <w:rPr>
                <w:rFonts w:ascii="Cambria" w:hAnsi="Cambria"/>
                <w:lang w:val="en-US"/>
              </w:rPr>
              <w:t>Decree</w:t>
            </w:r>
            <w:r>
              <w:rPr>
                <w:rFonts w:ascii="Cambria" w:hAnsi="Cambria"/>
                <w:lang w:val="en-US"/>
              </w:rPr>
              <w:t xml:space="preserve"> No.</w:t>
            </w:r>
            <w:r w:rsidRPr="006E4C27">
              <w:rPr>
                <w:rFonts w:ascii="Cambria" w:hAnsi="Cambria"/>
                <w:lang w:val="en-US"/>
              </w:rPr>
              <w:t xml:space="preserve"> 25/2022/ND-CP amending Decree 47/2011/ND-CP guiding the Postal Law</w:t>
            </w:r>
          </w:p>
        </w:tc>
        <w:tc>
          <w:tcPr>
            <w:tcW w:w="1559" w:type="dxa"/>
          </w:tcPr>
          <w:p w:rsidR="006E4C27" w:rsidRDefault="006E4C27" w:rsidP="006E4C27">
            <w:pPr>
              <w:pStyle w:val="TableParagraph"/>
              <w:spacing w:line="252" w:lineRule="auto"/>
              <w:ind w:left="142" w:right="286"/>
              <w:rPr>
                <w:rFonts w:ascii="Cambria" w:hAnsi="Cambria"/>
                <w:lang w:val="en-US"/>
              </w:rPr>
            </w:pPr>
            <w:r>
              <w:rPr>
                <w:rFonts w:ascii="Cambria" w:hAnsi="Cambria"/>
                <w:lang w:val="en-US"/>
              </w:rPr>
              <w:t>12/4/2022</w:t>
            </w:r>
          </w:p>
        </w:tc>
        <w:tc>
          <w:tcPr>
            <w:tcW w:w="1571" w:type="dxa"/>
          </w:tcPr>
          <w:p w:rsidR="006E4C27" w:rsidRDefault="006E4C27" w:rsidP="006E4C27">
            <w:pPr>
              <w:pStyle w:val="TableParagraph"/>
              <w:spacing w:line="240" w:lineRule="auto"/>
              <w:ind w:left="139"/>
              <w:jc w:val="center"/>
              <w:rPr>
                <w:rFonts w:ascii="Cambria" w:hAnsi="Cambria"/>
                <w:lang w:val="en-US"/>
              </w:rPr>
            </w:pPr>
            <w:r>
              <w:rPr>
                <w:rFonts w:ascii="Cambria" w:hAnsi="Cambria"/>
                <w:lang w:val="en-US"/>
              </w:rPr>
              <w:t>01/6/2022</w:t>
            </w:r>
          </w:p>
        </w:tc>
      </w:tr>
      <w:tr w:rsidR="006E4C27" w:rsidRPr="00E014C7" w:rsidTr="00FF69E8">
        <w:trPr>
          <w:trHeight w:val="950"/>
        </w:trPr>
        <w:tc>
          <w:tcPr>
            <w:tcW w:w="709" w:type="dxa"/>
          </w:tcPr>
          <w:p w:rsidR="006E4C27" w:rsidRPr="00472E04" w:rsidRDefault="006E4C27" w:rsidP="006E4C27">
            <w:pPr>
              <w:pStyle w:val="TableParagraph"/>
              <w:numPr>
                <w:ilvl w:val="0"/>
                <w:numId w:val="2"/>
              </w:numPr>
              <w:rPr>
                <w:rFonts w:ascii="Cambria" w:hAnsi="Cambria"/>
                <w:lang w:val="en-US"/>
              </w:rPr>
            </w:pPr>
          </w:p>
        </w:tc>
        <w:tc>
          <w:tcPr>
            <w:tcW w:w="6379" w:type="dxa"/>
          </w:tcPr>
          <w:p w:rsidR="006E4C27" w:rsidRPr="006E4C27" w:rsidRDefault="006E4C27" w:rsidP="006E4C27">
            <w:pPr>
              <w:ind w:left="142"/>
              <w:jc w:val="both"/>
              <w:rPr>
                <w:rFonts w:ascii="Cambria" w:hAnsi="Cambria"/>
                <w:lang w:val="en-US"/>
              </w:rPr>
            </w:pPr>
            <w:r w:rsidRPr="006E4C27">
              <w:rPr>
                <w:rFonts w:ascii="Cambria" w:hAnsi="Cambria"/>
                <w:lang w:val="en-US"/>
              </w:rPr>
              <w:t>Decree</w:t>
            </w:r>
            <w:r>
              <w:rPr>
                <w:rFonts w:ascii="Cambria" w:hAnsi="Cambria"/>
                <w:lang w:val="en-US"/>
              </w:rPr>
              <w:t xml:space="preserve"> No.</w:t>
            </w:r>
            <w:r w:rsidRPr="006E4C27">
              <w:rPr>
                <w:rFonts w:ascii="Cambria" w:hAnsi="Cambria"/>
                <w:lang w:val="en-US"/>
              </w:rPr>
              <w:t xml:space="preserve"> 26/2022/ND-CP on foreign honorary consular officers in Vietnam</w:t>
            </w:r>
          </w:p>
        </w:tc>
        <w:tc>
          <w:tcPr>
            <w:tcW w:w="1559" w:type="dxa"/>
          </w:tcPr>
          <w:p w:rsidR="006E4C27" w:rsidRDefault="006E4C27" w:rsidP="006E4C27">
            <w:pPr>
              <w:pStyle w:val="TableParagraph"/>
              <w:spacing w:line="252" w:lineRule="auto"/>
              <w:ind w:left="142" w:right="286"/>
              <w:rPr>
                <w:rFonts w:ascii="Cambria" w:hAnsi="Cambria"/>
                <w:lang w:val="en-US"/>
              </w:rPr>
            </w:pPr>
            <w:r>
              <w:rPr>
                <w:rFonts w:ascii="Cambria" w:hAnsi="Cambria"/>
                <w:lang w:val="en-US"/>
              </w:rPr>
              <w:t>14/4/2022</w:t>
            </w:r>
          </w:p>
        </w:tc>
        <w:tc>
          <w:tcPr>
            <w:tcW w:w="1571" w:type="dxa"/>
          </w:tcPr>
          <w:p w:rsidR="006E4C27" w:rsidRDefault="006E4C27" w:rsidP="006E4C27">
            <w:pPr>
              <w:pStyle w:val="TableParagraph"/>
              <w:spacing w:line="240" w:lineRule="auto"/>
              <w:ind w:left="139"/>
              <w:jc w:val="center"/>
              <w:rPr>
                <w:rFonts w:ascii="Cambria" w:hAnsi="Cambria"/>
                <w:lang w:val="en-US"/>
              </w:rPr>
            </w:pPr>
            <w:r>
              <w:rPr>
                <w:rFonts w:ascii="Cambria" w:hAnsi="Cambria"/>
                <w:lang w:val="en-US"/>
              </w:rPr>
              <w:t>01/6/2022</w:t>
            </w:r>
          </w:p>
        </w:tc>
      </w:tr>
      <w:tr w:rsidR="006E4C27" w:rsidRPr="00E014C7" w:rsidTr="00FF69E8">
        <w:trPr>
          <w:trHeight w:val="491"/>
        </w:trPr>
        <w:tc>
          <w:tcPr>
            <w:tcW w:w="10218" w:type="dxa"/>
            <w:gridSpan w:val="4"/>
            <w:tcBorders>
              <w:top w:val="single" w:sz="4" w:space="0" w:color="000000"/>
              <w:left w:val="single" w:sz="4" w:space="0" w:color="000000"/>
              <w:bottom w:val="single" w:sz="4" w:space="0" w:color="000000"/>
              <w:right w:val="single" w:sz="4" w:space="0" w:color="000000"/>
            </w:tcBorders>
          </w:tcPr>
          <w:p w:rsidR="006E4C27" w:rsidRPr="00437469" w:rsidRDefault="006E4C27" w:rsidP="006E4C27">
            <w:pPr>
              <w:pStyle w:val="TableParagraph"/>
              <w:jc w:val="center"/>
              <w:rPr>
                <w:rFonts w:ascii="Cambria" w:hAnsi="Cambria"/>
                <w:b/>
                <w:lang w:val="en-US"/>
              </w:rPr>
            </w:pPr>
            <w:r>
              <w:rPr>
                <w:rFonts w:ascii="Cambria" w:hAnsi="Cambria"/>
                <w:b/>
                <w:lang w:val="en-US"/>
              </w:rPr>
              <w:t>CIRCULAR</w:t>
            </w:r>
          </w:p>
        </w:tc>
      </w:tr>
      <w:tr w:rsidR="006E4C27" w:rsidRPr="00E014C7" w:rsidTr="00FF69E8">
        <w:trPr>
          <w:trHeight w:val="320"/>
        </w:trPr>
        <w:tc>
          <w:tcPr>
            <w:tcW w:w="709" w:type="dxa"/>
            <w:tcBorders>
              <w:top w:val="single" w:sz="4" w:space="0" w:color="000000"/>
              <w:left w:val="single" w:sz="4" w:space="0" w:color="000000"/>
              <w:bottom w:val="single" w:sz="4" w:space="0" w:color="000000"/>
              <w:right w:val="single" w:sz="4" w:space="0" w:color="000000"/>
            </w:tcBorders>
          </w:tcPr>
          <w:p w:rsidR="006E4C27" w:rsidRPr="00E014C7" w:rsidRDefault="006E4C27" w:rsidP="006E4C27">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6E4C27" w:rsidRPr="00EC3A47" w:rsidRDefault="006E4C27" w:rsidP="006E4C27">
            <w:pPr>
              <w:pStyle w:val="TableParagraph"/>
              <w:spacing w:line="252" w:lineRule="auto"/>
              <w:ind w:right="142"/>
              <w:contextualSpacing/>
              <w:jc w:val="both"/>
              <w:rPr>
                <w:rFonts w:ascii="Cambria" w:hAnsi="Cambria"/>
                <w:lang w:val="en-US"/>
              </w:rPr>
            </w:pPr>
            <w:r w:rsidRPr="006E4C27">
              <w:rPr>
                <w:rFonts w:ascii="Cambria" w:hAnsi="Cambria"/>
              </w:rPr>
              <w:t>Circular</w:t>
            </w:r>
            <w:r>
              <w:rPr>
                <w:rFonts w:ascii="Cambria" w:hAnsi="Cambria"/>
                <w:lang w:val="en-US"/>
              </w:rPr>
              <w:t xml:space="preserve"> No.</w:t>
            </w:r>
            <w:r w:rsidRPr="006E4C27">
              <w:rPr>
                <w:rFonts w:ascii="Cambria" w:hAnsi="Cambria"/>
              </w:rPr>
              <w:t xml:space="preserve"> 19/2022/TT-BTC stipulating the collection rate, mode of collection, payment, management and use of service fees for maintaining the digital certificate status check system</w:t>
            </w:r>
          </w:p>
        </w:tc>
        <w:tc>
          <w:tcPr>
            <w:tcW w:w="1559" w:type="dxa"/>
            <w:tcBorders>
              <w:top w:val="single" w:sz="4" w:space="0" w:color="000000"/>
              <w:left w:val="single" w:sz="4" w:space="0" w:color="000000"/>
              <w:bottom w:val="single" w:sz="4" w:space="0" w:color="000000"/>
              <w:right w:val="single" w:sz="4" w:space="0" w:color="000000"/>
            </w:tcBorders>
          </w:tcPr>
          <w:p w:rsidR="006E4C27" w:rsidRPr="003E51B7" w:rsidRDefault="006E4C27" w:rsidP="00767D16">
            <w:pPr>
              <w:pStyle w:val="TableParagraph"/>
              <w:ind w:left="-142"/>
              <w:jc w:val="center"/>
              <w:rPr>
                <w:rFonts w:ascii="Cambria" w:hAnsi="Cambria"/>
              </w:rPr>
            </w:pPr>
            <w:r>
              <w:rPr>
                <w:rFonts w:ascii="Cambria" w:hAnsi="Cambria"/>
              </w:rPr>
              <w:t>23/3/2022</w:t>
            </w:r>
          </w:p>
        </w:tc>
        <w:tc>
          <w:tcPr>
            <w:tcW w:w="1571" w:type="dxa"/>
            <w:tcBorders>
              <w:top w:val="single" w:sz="4" w:space="0" w:color="000000"/>
              <w:left w:val="single" w:sz="4" w:space="0" w:color="000000"/>
              <w:bottom w:val="single" w:sz="4" w:space="0" w:color="000000"/>
              <w:right w:val="single" w:sz="4" w:space="0" w:color="000000"/>
            </w:tcBorders>
          </w:tcPr>
          <w:p w:rsidR="006E4C27" w:rsidRPr="003E51B7" w:rsidRDefault="006E4C27" w:rsidP="006E4C27">
            <w:pPr>
              <w:pStyle w:val="TableParagraph"/>
              <w:jc w:val="center"/>
              <w:rPr>
                <w:rFonts w:ascii="Cambria" w:hAnsi="Cambria"/>
              </w:rPr>
            </w:pPr>
            <w:r>
              <w:rPr>
                <w:rFonts w:ascii="Cambria" w:hAnsi="Cambria"/>
                <w:lang w:val="en-US"/>
              </w:rPr>
              <w:t>0</w:t>
            </w:r>
            <w:r>
              <w:rPr>
                <w:rFonts w:ascii="Cambria" w:hAnsi="Cambria"/>
              </w:rPr>
              <w:t>1/6/2022</w:t>
            </w:r>
          </w:p>
        </w:tc>
      </w:tr>
      <w:tr w:rsidR="006E4C27" w:rsidRPr="00E014C7" w:rsidTr="00FF69E8">
        <w:trPr>
          <w:trHeight w:val="320"/>
        </w:trPr>
        <w:tc>
          <w:tcPr>
            <w:tcW w:w="709" w:type="dxa"/>
            <w:tcBorders>
              <w:top w:val="single" w:sz="4" w:space="0" w:color="000000"/>
              <w:left w:val="single" w:sz="4" w:space="0" w:color="000000"/>
              <w:bottom w:val="single" w:sz="4" w:space="0" w:color="000000"/>
              <w:right w:val="single" w:sz="4" w:space="0" w:color="000000"/>
            </w:tcBorders>
          </w:tcPr>
          <w:p w:rsidR="006E4C27" w:rsidRPr="00E014C7" w:rsidRDefault="006E4C27" w:rsidP="006E4C27">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6E4C27" w:rsidRPr="006E4C27" w:rsidRDefault="006E4C27" w:rsidP="006E4C27">
            <w:pPr>
              <w:pStyle w:val="TableParagraph"/>
              <w:spacing w:line="252" w:lineRule="auto"/>
              <w:ind w:right="142"/>
              <w:contextualSpacing/>
              <w:jc w:val="both"/>
              <w:rPr>
                <w:rFonts w:ascii="Cambria" w:hAnsi="Cambria"/>
              </w:rPr>
            </w:pPr>
            <w:r w:rsidRPr="006E4C27">
              <w:rPr>
                <w:rFonts w:ascii="Cambria" w:hAnsi="Cambria"/>
              </w:rPr>
              <w:t xml:space="preserve">Circular </w:t>
            </w:r>
            <w:r>
              <w:rPr>
                <w:rFonts w:ascii="Cambria" w:hAnsi="Cambria"/>
                <w:lang w:val="en-US"/>
              </w:rPr>
              <w:t xml:space="preserve">No. </w:t>
            </w:r>
            <w:r w:rsidRPr="006E4C27">
              <w:rPr>
                <w:rFonts w:ascii="Cambria" w:hAnsi="Cambria"/>
              </w:rPr>
              <w:t xml:space="preserve">03/2022/TT-BKHCN stipulating judicial expertise in </w:t>
            </w:r>
            <w:r w:rsidRPr="006E4C27">
              <w:rPr>
                <w:rFonts w:ascii="Cambria" w:hAnsi="Cambria"/>
              </w:rPr>
              <w:lastRenderedPageBreak/>
              <w:t>scientific and technological activities</w:t>
            </w:r>
          </w:p>
        </w:tc>
        <w:tc>
          <w:tcPr>
            <w:tcW w:w="1559" w:type="dxa"/>
            <w:tcBorders>
              <w:top w:val="single" w:sz="4" w:space="0" w:color="000000"/>
              <w:left w:val="single" w:sz="4" w:space="0" w:color="000000"/>
              <w:bottom w:val="single" w:sz="4" w:space="0" w:color="000000"/>
              <w:right w:val="single" w:sz="4" w:space="0" w:color="000000"/>
            </w:tcBorders>
          </w:tcPr>
          <w:p w:rsidR="006E4C27" w:rsidRPr="003E51B7" w:rsidRDefault="006E4C27" w:rsidP="00767D16">
            <w:pPr>
              <w:pStyle w:val="TableParagraph"/>
              <w:ind w:left="-142"/>
              <w:jc w:val="center"/>
              <w:rPr>
                <w:rFonts w:ascii="Cambria" w:hAnsi="Cambria"/>
                <w:lang w:val="en-US"/>
              </w:rPr>
            </w:pPr>
            <w:r>
              <w:rPr>
                <w:rFonts w:ascii="Cambria" w:hAnsi="Cambria"/>
              </w:rPr>
              <w:lastRenderedPageBreak/>
              <w:t>20/4/2022</w:t>
            </w:r>
          </w:p>
        </w:tc>
        <w:tc>
          <w:tcPr>
            <w:tcW w:w="1571" w:type="dxa"/>
            <w:tcBorders>
              <w:top w:val="single" w:sz="4" w:space="0" w:color="000000"/>
              <w:left w:val="single" w:sz="4" w:space="0" w:color="000000"/>
              <w:bottom w:val="single" w:sz="4" w:space="0" w:color="000000"/>
              <w:right w:val="single" w:sz="4" w:space="0" w:color="000000"/>
            </w:tcBorders>
          </w:tcPr>
          <w:p w:rsidR="006E4C27" w:rsidRPr="003E51B7" w:rsidRDefault="006E4C27" w:rsidP="006E4C27">
            <w:pPr>
              <w:pStyle w:val="TableParagraph"/>
              <w:jc w:val="center"/>
              <w:rPr>
                <w:rFonts w:ascii="Cambria" w:hAnsi="Cambria"/>
                <w:lang w:val="en-US"/>
              </w:rPr>
            </w:pPr>
            <w:r>
              <w:rPr>
                <w:rFonts w:ascii="Cambria" w:hAnsi="Cambria"/>
              </w:rPr>
              <w:t>15/6/2022</w:t>
            </w:r>
          </w:p>
        </w:tc>
      </w:tr>
      <w:tr w:rsidR="006E4C27" w:rsidRPr="00E014C7" w:rsidTr="00FF69E8">
        <w:trPr>
          <w:trHeight w:val="320"/>
        </w:trPr>
        <w:tc>
          <w:tcPr>
            <w:tcW w:w="709" w:type="dxa"/>
            <w:tcBorders>
              <w:top w:val="single" w:sz="4" w:space="0" w:color="000000"/>
              <w:left w:val="single" w:sz="4" w:space="0" w:color="000000"/>
              <w:bottom w:val="single" w:sz="4" w:space="0" w:color="000000"/>
              <w:right w:val="single" w:sz="4" w:space="0" w:color="000000"/>
            </w:tcBorders>
          </w:tcPr>
          <w:p w:rsidR="006E4C27" w:rsidRPr="00E014C7" w:rsidRDefault="006E4C27" w:rsidP="006E4C27">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6E4C27" w:rsidRPr="006E4C27" w:rsidRDefault="006E4C27" w:rsidP="006E4C27">
            <w:pPr>
              <w:pStyle w:val="TableParagraph"/>
              <w:spacing w:line="252" w:lineRule="auto"/>
              <w:ind w:right="142"/>
              <w:contextualSpacing/>
              <w:jc w:val="both"/>
              <w:rPr>
                <w:rFonts w:ascii="Cambria" w:hAnsi="Cambria"/>
              </w:rPr>
            </w:pPr>
            <w:r w:rsidRPr="006E4C27">
              <w:rPr>
                <w:rFonts w:ascii="Cambria" w:hAnsi="Cambria"/>
              </w:rPr>
              <w:t xml:space="preserve">Circular </w:t>
            </w:r>
            <w:r>
              <w:rPr>
                <w:rFonts w:ascii="Cambria" w:hAnsi="Cambria"/>
                <w:lang w:val="en-US"/>
              </w:rPr>
              <w:t xml:space="preserve">No. </w:t>
            </w:r>
            <w:r w:rsidRPr="006E4C27">
              <w:rPr>
                <w:rFonts w:ascii="Cambria" w:hAnsi="Cambria"/>
              </w:rPr>
              <w:t>19/2022/TT-BCA stipulating the receipt, classification and handling of complaints, petitions and reports in the People's Police</w:t>
            </w:r>
          </w:p>
        </w:tc>
        <w:tc>
          <w:tcPr>
            <w:tcW w:w="1559" w:type="dxa"/>
            <w:tcBorders>
              <w:top w:val="single" w:sz="4" w:space="0" w:color="000000"/>
              <w:left w:val="single" w:sz="4" w:space="0" w:color="000000"/>
              <w:bottom w:val="single" w:sz="4" w:space="0" w:color="000000"/>
              <w:right w:val="single" w:sz="4" w:space="0" w:color="000000"/>
            </w:tcBorders>
          </w:tcPr>
          <w:p w:rsidR="006E4C27" w:rsidRPr="009310D1" w:rsidRDefault="006E4C27" w:rsidP="00767D16">
            <w:pPr>
              <w:pStyle w:val="TableParagraph"/>
              <w:ind w:left="-142"/>
              <w:jc w:val="center"/>
              <w:rPr>
                <w:rFonts w:ascii="Cambria" w:hAnsi="Cambria"/>
                <w:lang w:val="en-US"/>
              </w:rPr>
            </w:pPr>
            <w:r>
              <w:rPr>
                <w:rFonts w:ascii="Cambria" w:hAnsi="Cambria"/>
              </w:rPr>
              <w:t>29/4/2022</w:t>
            </w:r>
          </w:p>
        </w:tc>
        <w:tc>
          <w:tcPr>
            <w:tcW w:w="1571" w:type="dxa"/>
            <w:tcBorders>
              <w:top w:val="single" w:sz="4" w:space="0" w:color="000000"/>
              <w:left w:val="single" w:sz="4" w:space="0" w:color="000000"/>
              <w:bottom w:val="single" w:sz="4" w:space="0" w:color="000000"/>
              <w:right w:val="single" w:sz="4" w:space="0" w:color="000000"/>
            </w:tcBorders>
          </w:tcPr>
          <w:p w:rsidR="006E4C27" w:rsidRPr="003E51B7" w:rsidRDefault="006E4C27" w:rsidP="006E4C27">
            <w:pPr>
              <w:pStyle w:val="TableParagraph"/>
              <w:jc w:val="center"/>
              <w:rPr>
                <w:rFonts w:ascii="Cambria" w:hAnsi="Cambria"/>
                <w:lang w:val="en-US"/>
              </w:rPr>
            </w:pPr>
            <w:r>
              <w:rPr>
                <w:rFonts w:ascii="Cambria" w:hAnsi="Cambria"/>
              </w:rPr>
              <w:t>15/6/2022</w:t>
            </w:r>
          </w:p>
        </w:tc>
      </w:tr>
      <w:tr w:rsidR="006E4C27" w:rsidRPr="00E014C7" w:rsidTr="00FF69E8">
        <w:trPr>
          <w:trHeight w:val="320"/>
        </w:trPr>
        <w:tc>
          <w:tcPr>
            <w:tcW w:w="709" w:type="dxa"/>
            <w:tcBorders>
              <w:top w:val="single" w:sz="4" w:space="0" w:color="000000"/>
              <w:left w:val="single" w:sz="4" w:space="0" w:color="000000"/>
              <w:bottom w:val="single" w:sz="4" w:space="0" w:color="000000"/>
              <w:right w:val="single" w:sz="4" w:space="0" w:color="000000"/>
            </w:tcBorders>
          </w:tcPr>
          <w:p w:rsidR="006E4C27" w:rsidRPr="00E014C7" w:rsidRDefault="006E4C27" w:rsidP="006E4C27">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6E4C27" w:rsidRPr="006E4C27" w:rsidRDefault="006E4C27" w:rsidP="006E4C27">
            <w:pPr>
              <w:pStyle w:val="TableParagraph"/>
              <w:spacing w:line="252" w:lineRule="auto"/>
              <w:ind w:right="142"/>
              <w:contextualSpacing/>
              <w:jc w:val="both"/>
              <w:rPr>
                <w:rFonts w:ascii="Cambria" w:hAnsi="Cambria"/>
              </w:rPr>
            </w:pPr>
            <w:r w:rsidRPr="006E4C27">
              <w:rPr>
                <w:rFonts w:ascii="Cambria" w:hAnsi="Cambria"/>
              </w:rPr>
              <w:t xml:space="preserve">Circular </w:t>
            </w:r>
            <w:r>
              <w:rPr>
                <w:rFonts w:ascii="Cambria" w:hAnsi="Cambria"/>
                <w:lang w:val="en-US"/>
              </w:rPr>
              <w:t xml:space="preserve">No. </w:t>
            </w:r>
            <w:r w:rsidRPr="006E4C27">
              <w:rPr>
                <w:rFonts w:ascii="Cambria" w:hAnsi="Cambria"/>
              </w:rPr>
              <w:t>16/2021/TT-BXD promulgating QCVN 18:2021/BXD National Technical Regulation on Safety in Construction</w:t>
            </w:r>
          </w:p>
        </w:tc>
        <w:tc>
          <w:tcPr>
            <w:tcW w:w="1559" w:type="dxa"/>
            <w:tcBorders>
              <w:top w:val="single" w:sz="4" w:space="0" w:color="000000"/>
              <w:left w:val="single" w:sz="4" w:space="0" w:color="000000"/>
              <w:bottom w:val="single" w:sz="4" w:space="0" w:color="000000"/>
              <w:right w:val="single" w:sz="4" w:space="0" w:color="000000"/>
            </w:tcBorders>
          </w:tcPr>
          <w:p w:rsidR="006E4C27" w:rsidRPr="00187BAD" w:rsidRDefault="006E4C27" w:rsidP="006E4C27">
            <w:pPr>
              <w:jc w:val="center"/>
            </w:pPr>
            <w:r>
              <w:rPr>
                <w:rFonts w:ascii="Cambria" w:hAnsi="Cambria"/>
              </w:rPr>
              <w:t xml:space="preserve">20/12/2021 </w:t>
            </w:r>
          </w:p>
        </w:tc>
        <w:tc>
          <w:tcPr>
            <w:tcW w:w="1571" w:type="dxa"/>
            <w:tcBorders>
              <w:top w:val="single" w:sz="4" w:space="0" w:color="000000"/>
              <w:left w:val="single" w:sz="4" w:space="0" w:color="000000"/>
              <w:bottom w:val="single" w:sz="4" w:space="0" w:color="000000"/>
              <w:right w:val="single" w:sz="4" w:space="0" w:color="000000"/>
            </w:tcBorders>
          </w:tcPr>
          <w:p w:rsidR="006E4C27" w:rsidRDefault="006E4C27" w:rsidP="006E4C27">
            <w:pPr>
              <w:pStyle w:val="TableParagraph"/>
              <w:jc w:val="center"/>
              <w:rPr>
                <w:rFonts w:ascii="Cambria" w:hAnsi="Cambria"/>
                <w:lang w:val="en-US"/>
              </w:rPr>
            </w:pPr>
            <w:r>
              <w:rPr>
                <w:rFonts w:ascii="Cambria" w:hAnsi="Cambria"/>
              </w:rPr>
              <w:t>20/6/2022</w:t>
            </w:r>
          </w:p>
        </w:tc>
      </w:tr>
      <w:tr w:rsidR="006E4C27" w:rsidRPr="00E014C7" w:rsidTr="00FF69E8">
        <w:trPr>
          <w:trHeight w:val="320"/>
        </w:trPr>
        <w:tc>
          <w:tcPr>
            <w:tcW w:w="709" w:type="dxa"/>
            <w:tcBorders>
              <w:top w:val="single" w:sz="4" w:space="0" w:color="000000"/>
              <w:left w:val="single" w:sz="4" w:space="0" w:color="000000"/>
              <w:bottom w:val="single" w:sz="4" w:space="0" w:color="000000"/>
              <w:right w:val="single" w:sz="4" w:space="0" w:color="000000"/>
            </w:tcBorders>
          </w:tcPr>
          <w:p w:rsidR="006E4C27" w:rsidRPr="00E014C7" w:rsidRDefault="006E4C27" w:rsidP="006E4C27">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rsidR="006E4C27" w:rsidRPr="006E4C27" w:rsidRDefault="006E4C27" w:rsidP="006E4C27">
            <w:pPr>
              <w:pStyle w:val="TableParagraph"/>
              <w:spacing w:line="252" w:lineRule="auto"/>
              <w:ind w:right="142"/>
              <w:contextualSpacing/>
              <w:jc w:val="both"/>
              <w:rPr>
                <w:rFonts w:ascii="Cambria" w:hAnsi="Cambria"/>
              </w:rPr>
            </w:pPr>
            <w:r w:rsidRPr="006E4C27">
              <w:rPr>
                <w:rFonts w:ascii="Cambria" w:hAnsi="Cambria"/>
              </w:rPr>
              <w:t xml:space="preserve">Circular </w:t>
            </w:r>
            <w:r>
              <w:rPr>
                <w:rFonts w:ascii="Cambria" w:hAnsi="Cambria"/>
                <w:lang w:val="en-US"/>
              </w:rPr>
              <w:t xml:space="preserve">No. </w:t>
            </w:r>
            <w:r w:rsidRPr="006E4C27">
              <w:rPr>
                <w:rFonts w:ascii="Cambria" w:hAnsi="Cambria"/>
              </w:rPr>
              <w:t>06/2022/TT-BKHDT guiding Decree 80/2021/ND-CP guiding the Law on Supporting Small and Medium Enterprises</w:t>
            </w:r>
          </w:p>
        </w:tc>
        <w:tc>
          <w:tcPr>
            <w:tcW w:w="1559" w:type="dxa"/>
            <w:tcBorders>
              <w:top w:val="single" w:sz="4" w:space="0" w:color="000000"/>
              <w:left w:val="single" w:sz="4" w:space="0" w:color="000000"/>
              <w:bottom w:val="single" w:sz="4" w:space="0" w:color="000000"/>
              <w:right w:val="single" w:sz="4" w:space="0" w:color="000000"/>
            </w:tcBorders>
          </w:tcPr>
          <w:p w:rsidR="006E4C27" w:rsidRPr="003E51B7" w:rsidRDefault="006E4C27" w:rsidP="00767D16">
            <w:pPr>
              <w:pStyle w:val="TableParagraph"/>
              <w:spacing w:line="252" w:lineRule="auto"/>
              <w:ind w:left="-142"/>
              <w:contextualSpacing/>
              <w:jc w:val="center"/>
              <w:rPr>
                <w:rFonts w:ascii="Cambria" w:hAnsi="Cambria"/>
                <w:lang w:val="en-US"/>
              </w:rPr>
            </w:pPr>
            <w:r>
              <w:rPr>
                <w:rFonts w:ascii="Cambria" w:hAnsi="Cambria"/>
              </w:rPr>
              <w:t>10/5/2022</w:t>
            </w:r>
          </w:p>
        </w:tc>
        <w:tc>
          <w:tcPr>
            <w:tcW w:w="1571" w:type="dxa"/>
            <w:tcBorders>
              <w:top w:val="single" w:sz="4" w:space="0" w:color="000000"/>
              <w:left w:val="single" w:sz="4" w:space="0" w:color="000000"/>
              <w:bottom w:val="single" w:sz="4" w:space="0" w:color="000000"/>
              <w:right w:val="single" w:sz="4" w:space="0" w:color="000000"/>
            </w:tcBorders>
          </w:tcPr>
          <w:p w:rsidR="006E4C27" w:rsidRPr="003E51B7" w:rsidRDefault="006E4C27" w:rsidP="006E4C27">
            <w:pPr>
              <w:pStyle w:val="TableParagraph"/>
              <w:spacing w:line="252" w:lineRule="auto"/>
              <w:contextualSpacing/>
              <w:jc w:val="center"/>
              <w:rPr>
                <w:rFonts w:ascii="Cambria" w:hAnsi="Cambria"/>
                <w:lang w:val="en-US"/>
              </w:rPr>
            </w:pPr>
            <w:r>
              <w:rPr>
                <w:rFonts w:ascii="Cambria" w:hAnsi="Cambria"/>
              </w:rPr>
              <w:t>25/6/2022</w:t>
            </w:r>
          </w:p>
        </w:tc>
      </w:tr>
      <w:bookmarkEnd w:id="4"/>
    </w:tbl>
    <w:p w:rsidR="00B83067" w:rsidRDefault="00B83067" w:rsidP="00B83067">
      <w:pPr>
        <w:jc w:val="both"/>
        <w:rPr>
          <w:rFonts w:ascii="Cambria" w:hAnsi="Cambria"/>
          <w:lang w:val="en"/>
        </w:rPr>
      </w:pPr>
    </w:p>
    <w:p w:rsidR="00B83067" w:rsidRDefault="00B83067" w:rsidP="00B83067">
      <w:pPr>
        <w:jc w:val="both"/>
        <w:rPr>
          <w:rFonts w:ascii="Cambria" w:hAnsi="Cambria"/>
          <w:lang w:val="en"/>
        </w:rPr>
      </w:pPr>
      <w:r w:rsidRPr="00572236">
        <w:rPr>
          <w:rFonts w:ascii="Cambria" w:hAnsi="Cambria"/>
          <w:lang w:val="en"/>
        </w:rPr>
        <w:t xml:space="preserve">We hope this </w:t>
      </w:r>
      <w:r>
        <w:rPr>
          <w:rFonts w:ascii="Cambria" w:hAnsi="Cambria"/>
          <w:lang w:val="en"/>
        </w:rPr>
        <w:t>L</w:t>
      </w:r>
      <w:r w:rsidRPr="00572236">
        <w:rPr>
          <w:rFonts w:ascii="Cambria" w:hAnsi="Cambria"/>
          <w:lang w:val="en"/>
        </w:rPr>
        <w:t xml:space="preserve">egal </w:t>
      </w:r>
      <w:r>
        <w:rPr>
          <w:rFonts w:ascii="Cambria" w:hAnsi="Cambria"/>
          <w:lang w:val="en"/>
        </w:rPr>
        <w:t xml:space="preserve">Newsletter </w:t>
      </w:r>
      <w:r w:rsidRPr="00572236">
        <w:rPr>
          <w:rFonts w:ascii="Cambria" w:hAnsi="Cambria"/>
          <w:lang w:val="en"/>
        </w:rPr>
        <w:t>has a lot of useful information.</w:t>
      </w:r>
    </w:p>
    <w:p w:rsidR="00B83067" w:rsidRDefault="00B83067" w:rsidP="00B83067">
      <w:pPr>
        <w:jc w:val="both"/>
        <w:rPr>
          <w:rFonts w:ascii="Cambria" w:hAnsi="Cambria"/>
          <w:lang w:val="en"/>
        </w:rPr>
      </w:pPr>
    </w:p>
    <w:p w:rsidR="00B83067" w:rsidRDefault="00B83067" w:rsidP="00B83067">
      <w:pPr>
        <w:rPr>
          <w:rFonts w:ascii="Cambria" w:hAnsi="Cambria"/>
          <w:lang w:val="en"/>
        </w:rPr>
      </w:pPr>
      <w:r>
        <w:rPr>
          <w:rFonts w:ascii="Cambria" w:hAnsi="Cambria"/>
          <w:lang w:val="en"/>
        </w:rPr>
        <w:t>Best Regards.</w:t>
      </w:r>
    </w:p>
    <w:p w:rsidR="00B83067" w:rsidRDefault="00B83067" w:rsidP="00B83067">
      <w:pPr>
        <w:jc w:val="both"/>
        <w:rPr>
          <w:rFonts w:ascii="Cambria" w:hAnsi="Cambria"/>
        </w:rPr>
      </w:pPr>
    </w:p>
    <w:p w:rsidR="00B83067" w:rsidRPr="007B6BB7" w:rsidRDefault="00B83067" w:rsidP="00B83067">
      <w:pPr>
        <w:spacing w:line="252" w:lineRule="auto"/>
        <w:contextualSpacing/>
        <w:jc w:val="both"/>
        <w:rPr>
          <w:rFonts w:ascii="Amasis MT Pro" w:hAnsi="Amasis MT Pro"/>
        </w:rPr>
      </w:pPr>
    </w:p>
    <w:p w:rsidR="00B83067" w:rsidRPr="007B6BB7" w:rsidRDefault="00B83067" w:rsidP="00B83067">
      <w:pPr>
        <w:spacing w:line="252" w:lineRule="auto"/>
        <w:contextualSpacing/>
        <w:jc w:val="both"/>
        <w:rPr>
          <w:rFonts w:ascii="Amasis MT Pro" w:hAnsi="Amasis MT Pro"/>
        </w:rPr>
      </w:pPr>
    </w:p>
    <w:tbl>
      <w:tblPr>
        <w:tblpPr w:leftFromText="180" w:rightFromText="180" w:vertAnchor="page" w:horzAnchor="margin" w:tblpY="6659"/>
        <w:tblOverlap w:val="never"/>
        <w:tblW w:w="9518"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9478"/>
        <w:gridCol w:w="20"/>
      </w:tblGrid>
      <w:tr w:rsidR="00100940" w:rsidRPr="005D66E8" w:rsidTr="001B47D4">
        <w:trPr>
          <w:trHeight w:val="4343"/>
        </w:trPr>
        <w:tc>
          <w:tcPr>
            <w:tcW w:w="20" w:type="dxa"/>
            <w:tcBorders>
              <w:top w:val="nil"/>
              <w:left w:val="nil"/>
              <w:right w:val="nil"/>
            </w:tcBorders>
          </w:tcPr>
          <w:p w:rsidR="00100940" w:rsidRPr="005D66E8" w:rsidRDefault="00100940" w:rsidP="001B47D4">
            <w:pPr>
              <w:rPr>
                <w:rFonts w:ascii="Cambria" w:hAnsi="Cambria"/>
                <w:color w:val="000000" w:themeColor="text1"/>
                <w:lang w:val="en-US"/>
              </w:rPr>
            </w:pPr>
            <w:bookmarkStart w:id="5" w:name="_Hlk75963262"/>
          </w:p>
        </w:tc>
        <w:tc>
          <w:tcPr>
            <w:tcW w:w="9478" w:type="dxa"/>
            <w:tcBorders>
              <w:top w:val="double" w:sz="1" w:space="0" w:color="000000"/>
              <w:left w:val="nil"/>
              <w:right w:val="nil"/>
            </w:tcBorders>
            <w:shd w:val="clear" w:color="auto" w:fill="D9E1F3"/>
          </w:tcPr>
          <w:p w:rsidR="00100940" w:rsidRPr="005D66E8" w:rsidRDefault="00100940" w:rsidP="001B47D4">
            <w:pPr>
              <w:rPr>
                <w:rFonts w:ascii="Cambria" w:hAnsi="Cambria"/>
                <w:b/>
                <w:color w:val="000000" w:themeColor="text1"/>
                <w:lang w:val="en-US"/>
              </w:rPr>
            </w:pPr>
          </w:p>
          <w:p w:rsidR="00100940" w:rsidRPr="005D66E8" w:rsidRDefault="00100940" w:rsidP="001B47D4">
            <w:pPr>
              <w:ind w:left="68" w:right="102" w:hanging="17"/>
              <w:contextualSpacing/>
              <w:jc w:val="both"/>
              <w:rPr>
                <w:rFonts w:ascii="Cambria" w:hAnsi="Cambria" w:cs="Arial"/>
                <w:lang w:val="en-US" w:eastAsia="en-GB"/>
              </w:rPr>
            </w:pPr>
            <w:r w:rsidRPr="005D66E8">
              <w:rPr>
                <w:rFonts w:ascii="Cambria" w:hAnsi="Cambria" w:cs="Arial"/>
                <w:lang w:val="en-US" w:eastAsia="en-GB"/>
              </w:rPr>
              <w:t>This document has been only prepared for general</w:t>
            </w:r>
            <w:r w:rsidRPr="005D66E8">
              <w:rPr>
                <w:rFonts w:ascii="Cambria" w:hAnsi="Cambria"/>
                <w:lang w:val="en-US"/>
              </w:rPr>
              <w:t xml:space="preserve"> </w:t>
            </w:r>
            <w:r w:rsidRPr="005D66E8">
              <w:rPr>
                <w:rFonts w:ascii="Cambria" w:hAnsi="Cambria"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100940" w:rsidRPr="005D66E8" w:rsidRDefault="00100940" w:rsidP="001B47D4">
            <w:pPr>
              <w:ind w:left="68" w:right="102" w:hanging="17"/>
              <w:contextualSpacing/>
              <w:jc w:val="both"/>
              <w:rPr>
                <w:rFonts w:ascii="Cambria" w:hAnsi="Cambria" w:cs="Arial"/>
                <w:lang w:val="en-US" w:eastAsia="en-GB"/>
              </w:rPr>
            </w:pPr>
          </w:p>
          <w:p w:rsidR="00100940" w:rsidRPr="005D66E8" w:rsidRDefault="00100940" w:rsidP="001B47D4">
            <w:pPr>
              <w:ind w:left="68" w:right="102" w:hanging="17"/>
              <w:contextualSpacing/>
              <w:jc w:val="both"/>
              <w:rPr>
                <w:rFonts w:ascii="Cambria" w:hAnsi="Cambria" w:cs="Arial"/>
                <w:lang w:val="en-US" w:eastAsia="en-GB"/>
              </w:rPr>
            </w:pPr>
            <w:r w:rsidRPr="005D66E8">
              <w:rPr>
                <w:rFonts w:ascii="Cambria" w:hAnsi="Cambria" w:cs="Arial"/>
                <w:lang w:val="en-US" w:eastAsia="en-GB"/>
              </w:rPr>
              <w:t>If you have or suspect that you may have a particular problem, you should contact us or your lawyer for specific advice on the matter.</w:t>
            </w:r>
          </w:p>
          <w:p w:rsidR="00100940" w:rsidRPr="005D66E8" w:rsidRDefault="00100940" w:rsidP="001B47D4">
            <w:pPr>
              <w:ind w:left="68" w:right="102" w:hanging="17"/>
              <w:contextualSpacing/>
              <w:jc w:val="both"/>
              <w:rPr>
                <w:rFonts w:ascii="Cambria" w:hAnsi="Cambria" w:cs="Arial"/>
                <w:lang w:val="en-US" w:eastAsia="en-GB"/>
              </w:rPr>
            </w:pPr>
          </w:p>
          <w:p w:rsidR="00100940" w:rsidRPr="005D66E8" w:rsidRDefault="00100940" w:rsidP="001B47D4">
            <w:pPr>
              <w:ind w:left="68" w:right="102" w:hanging="17"/>
              <w:contextualSpacing/>
              <w:jc w:val="center"/>
              <w:rPr>
                <w:rFonts w:ascii="Cambria" w:hAnsi="Cambria" w:cs="Arial"/>
                <w:b/>
                <w:bCs/>
                <w:lang w:val="en-US" w:eastAsia="en-GB"/>
              </w:rPr>
            </w:pPr>
            <w:r w:rsidRPr="005D66E8">
              <w:rPr>
                <w:rFonts w:ascii="Cambria" w:hAnsi="Cambria" w:cs="Arial"/>
                <w:b/>
                <w:bCs/>
                <w:lang w:val="en-US" w:eastAsia="en-GB"/>
              </w:rPr>
              <w:t>ADK VIET NAM LAWYERS</w:t>
            </w:r>
          </w:p>
          <w:p w:rsidR="00100940" w:rsidRPr="005D66E8" w:rsidRDefault="00100940" w:rsidP="001B47D4">
            <w:pPr>
              <w:ind w:left="68" w:right="102" w:hanging="17"/>
              <w:contextualSpacing/>
              <w:jc w:val="both"/>
              <w:rPr>
                <w:rFonts w:ascii="Cambria" w:hAnsi="Cambria" w:cs="Arial"/>
                <w:b/>
                <w:bCs/>
                <w:lang w:val="en-US" w:eastAsia="en-GB"/>
              </w:rPr>
            </w:pPr>
          </w:p>
          <w:p w:rsidR="00100940" w:rsidRPr="005D66E8" w:rsidRDefault="001B47D4" w:rsidP="001B47D4">
            <w:pPr>
              <w:rPr>
                <w:rFonts w:ascii="Cambria" w:hAnsi="Cambria"/>
                <w:color w:val="000000"/>
                <w:lang w:val="en-GB"/>
              </w:rPr>
            </w:pPr>
            <w:r>
              <w:rPr>
                <w:rFonts w:ascii="Cambria" w:hAnsi="Cambria"/>
                <w:b/>
                <w:bCs/>
                <w:color w:val="000000"/>
                <w:lang w:val="en-GB"/>
              </w:rPr>
              <w:t xml:space="preserve"> </w:t>
            </w:r>
            <w:r w:rsidR="00100940" w:rsidRPr="005D66E8">
              <w:rPr>
                <w:rFonts w:ascii="Cambria" w:hAnsi="Cambria"/>
                <w:b/>
                <w:bCs/>
                <w:color w:val="000000"/>
                <w:lang w:val="en-GB"/>
              </w:rPr>
              <w:t>Ho Chi Minh Office</w:t>
            </w:r>
            <w:r w:rsidR="00100940" w:rsidRPr="005D66E8">
              <w:rPr>
                <w:rFonts w:ascii="Cambria" w:hAnsi="Cambria"/>
                <w:color w:val="000000"/>
                <w:lang w:val="en-GB"/>
              </w:rPr>
              <w:t xml:space="preserve">: Ground Fl. HBT Tower, 456-458 Hai Ba Trung Str., Tan Dinh Ward, District 1, </w:t>
            </w:r>
            <w:r>
              <w:rPr>
                <w:rFonts w:ascii="Cambria" w:hAnsi="Cambria"/>
                <w:color w:val="000000"/>
                <w:lang w:val="en-GB"/>
              </w:rPr>
              <w:t xml:space="preserve">  </w:t>
            </w:r>
            <w:r w:rsidR="00100940" w:rsidRPr="005D66E8">
              <w:rPr>
                <w:rFonts w:ascii="Cambria" w:hAnsi="Cambria"/>
                <w:color w:val="000000"/>
                <w:lang w:val="en-GB"/>
              </w:rPr>
              <w:t>HCM City, VN</w:t>
            </w:r>
          </w:p>
          <w:p w:rsidR="00100940" w:rsidRPr="005D66E8" w:rsidRDefault="001B47D4" w:rsidP="001B47D4">
            <w:pPr>
              <w:rPr>
                <w:rFonts w:ascii="Cambria" w:hAnsi="Cambria"/>
                <w:color w:val="000000"/>
                <w:lang w:val="en-US"/>
              </w:rPr>
            </w:pPr>
            <w:r>
              <w:rPr>
                <w:rFonts w:ascii="Cambria" w:hAnsi="Cambria"/>
                <w:b/>
                <w:bCs/>
                <w:color w:val="000000"/>
                <w:lang w:val="en-GB"/>
              </w:rPr>
              <w:t xml:space="preserve"> </w:t>
            </w:r>
            <w:r w:rsidR="00100940" w:rsidRPr="005D66E8">
              <w:rPr>
                <w:rFonts w:ascii="Cambria" w:hAnsi="Cambria"/>
                <w:b/>
                <w:bCs/>
                <w:color w:val="000000"/>
                <w:lang w:val="en-GB"/>
              </w:rPr>
              <w:t>Ha Noi Office</w:t>
            </w:r>
            <w:r w:rsidR="00100940" w:rsidRPr="005D66E8">
              <w:rPr>
                <w:rFonts w:ascii="Cambria" w:hAnsi="Cambria"/>
                <w:color w:val="000000"/>
                <w:lang w:val="en-GB"/>
              </w:rPr>
              <w:t>: </w:t>
            </w:r>
            <w:r w:rsidR="00100940" w:rsidRPr="005D66E8">
              <w:rPr>
                <w:rFonts w:ascii="Cambria" w:hAnsi="Cambria"/>
                <w:color w:val="333333"/>
              </w:rPr>
              <w:t xml:space="preserve">Ground Fl. Pax Sky Building, 63-65 Ngo Thi Nham Str., Pham Dinh Ho Ward, Hai Ba </w:t>
            </w:r>
            <w:r>
              <w:rPr>
                <w:rFonts w:ascii="Cambria" w:hAnsi="Cambria"/>
                <w:color w:val="333333"/>
                <w:lang w:val="en-US"/>
              </w:rPr>
              <w:t xml:space="preserve"> </w:t>
            </w:r>
            <w:r w:rsidR="00100940" w:rsidRPr="005D66E8">
              <w:rPr>
                <w:rFonts w:ascii="Cambria" w:hAnsi="Cambria"/>
                <w:color w:val="333333"/>
              </w:rPr>
              <w:t>Trung District, Hanoi City, VN</w:t>
            </w:r>
            <w:r w:rsidR="00100940" w:rsidRPr="005D66E8">
              <w:rPr>
                <w:rFonts w:ascii="Cambria" w:hAnsi="Cambria"/>
                <w:color w:val="000000"/>
                <w:lang w:val="en-GB"/>
              </w:rPr>
              <w:t>    </w:t>
            </w:r>
          </w:p>
          <w:p w:rsidR="00100940" w:rsidRPr="005D66E8" w:rsidRDefault="00100940" w:rsidP="001B47D4">
            <w:pPr>
              <w:pStyle w:val="ListParagraph"/>
              <w:spacing w:line="264" w:lineRule="auto"/>
              <w:ind w:left="0"/>
              <w:jc w:val="both"/>
              <w:rPr>
                <w:rFonts w:ascii="Cambria" w:hAnsi="Cambria" w:cs="Arial"/>
                <w:lang w:val="en-US" w:eastAsia="en-GB"/>
              </w:rPr>
            </w:pPr>
            <w:r w:rsidRPr="005D66E8">
              <w:rPr>
                <w:rFonts w:ascii="Cambria" w:hAnsi="Cambria" w:cs="Arial"/>
                <w:lang w:val="en-US" w:eastAsia="en-GB"/>
              </w:rPr>
              <w:t>Hotline</w:t>
            </w:r>
            <w:r w:rsidR="001B47D4">
              <w:rPr>
                <w:rFonts w:ascii="Cambria" w:hAnsi="Cambria" w:cs="Arial"/>
                <w:lang w:val="en-US" w:eastAsia="en-GB"/>
              </w:rPr>
              <w:t xml:space="preserve"> Telephone</w:t>
            </w:r>
            <w:r w:rsidRPr="005D66E8">
              <w:rPr>
                <w:rFonts w:ascii="Cambria" w:hAnsi="Cambria" w:cs="Arial"/>
                <w:lang w:val="en-US" w:eastAsia="en-GB"/>
              </w:rPr>
              <w:t>: (+84) 28 66 79 79 66 or (+84) 939 107 387</w:t>
            </w:r>
          </w:p>
          <w:p w:rsidR="00100940" w:rsidRPr="005D66E8" w:rsidRDefault="00100940" w:rsidP="001B47D4">
            <w:pPr>
              <w:ind w:left="68" w:right="102" w:hanging="17"/>
              <w:contextualSpacing/>
              <w:jc w:val="both"/>
              <w:rPr>
                <w:rFonts w:ascii="Cambria" w:hAnsi="Cambria" w:cs="Arial"/>
                <w:color w:val="0000FF"/>
                <w:u w:val="single"/>
                <w:lang w:val="en-US" w:eastAsia="en-GB"/>
              </w:rPr>
            </w:pPr>
            <w:r w:rsidRPr="005D66E8">
              <w:rPr>
                <w:rFonts w:ascii="Cambria" w:hAnsi="Cambria" w:cs="Arial"/>
                <w:lang w:val="en-US" w:eastAsia="en-GB"/>
              </w:rPr>
              <w:t xml:space="preserve">Email: </w:t>
            </w:r>
            <w:hyperlink r:id="rId8" w:history="1">
              <w:r w:rsidRPr="005D66E8">
                <w:rPr>
                  <w:rFonts w:ascii="Cambria" w:hAnsi="Cambria" w:cs="Arial"/>
                  <w:color w:val="0000FF"/>
                  <w:u w:val="single"/>
                  <w:lang w:val="en-US" w:eastAsia="en-GB"/>
                </w:rPr>
                <w:t>info@adk-lawyers.com</w:t>
              </w:r>
            </w:hyperlink>
          </w:p>
          <w:p w:rsidR="00100940" w:rsidRPr="005D66E8" w:rsidRDefault="00100940" w:rsidP="001B47D4">
            <w:pPr>
              <w:ind w:left="68" w:right="102" w:hanging="17"/>
              <w:contextualSpacing/>
              <w:jc w:val="both"/>
              <w:rPr>
                <w:rFonts w:ascii="Cambria" w:hAnsi="Cambria" w:cs="Arial"/>
                <w:lang w:val="en-US" w:eastAsia="en-GB"/>
              </w:rPr>
            </w:pPr>
            <w:r w:rsidRPr="005D66E8">
              <w:rPr>
                <w:rFonts w:ascii="Cambria" w:hAnsi="Cambria" w:cs="Arial"/>
                <w:lang w:val="en-US" w:eastAsia="en-GB"/>
              </w:rPr>
              <w:t>W</w:t>
            </w:r>
            <w:r w:rsidRPr="005D66E8">
              <w:rPr>
                <w:rFonts w:ascii="Cambria" w:hAnsi="Cambria" w:cs="Arial"/>
                <w:lang w:val="en-US"/>
              </w:rPr>
              <w:t xml:space="preserve">ebsite: </w:t>
            </w:r>
            <w:hyperlink r:id="rId9" w:history="1">
              <w:r w:rsidRPr="005D66E8">
                <w:rPr>
                  <w:rFonts w:ascii="Cambria" w:hAnsi="Cambria" w:cs="Arial"/>
                  <w:color w:val="0000FF"/>
                  <w:u w:val="single"/>
                  <w:lang w:val="en-US"/>
                </w:rPr>
                <w:t>www.adk-lawyers.com</w:t>
              </w:r>
            </w:hyperlink>
            <w:r w:rsidRPr="005D66E8">
              <w:rPr>
                <w:rFonts w:ascii="Cambria" w:hAnsi="Cambria" w:cs="Arial"/>
                <w:lang w:val="en-US"/>
              </w:rPr>
              <w:t xml:space="preserve">  </w:t>
            </w:r>
          </w:p>
          <w:p w:rsidR="00100940" w:rsidRPr="005D66E8" w:rsidRDefault="00100940" w:rsidP="001B47D4">
            <w:pPr>
              <w:jc w:val="both"/>
              <w:rPr>
                <w:rFonts w:ascii="Cambria" w:hAnsi="Cambria"/>
                <w:color w:val="000000" w:themeColor="text1"/>
                <w:lang w:val="en-US"/>
              </w:rPr>
            </w:pPr>
          </w:p>
        </w:tc>
        <w:tc>
          <w:tcPr>
            <w:tcW w:w="20" w:type="dxa"/>
            <w:tcBorders>
              <w:top w:val="nil"/>
              <w:left w:val="nil"/>
              <w:bottom w:val="single" w:sz="4" w:space="0" w:color="000000"/>
              <w:right w:val="nil"/>
            </w:tcBorders>
          </w:tcPr>
          <w:p w:rsidR="00100940" w:rsidRPr="005D66E8" w:rsidRDefault="00100940" w:rsidP="001B47D4">
            <w:pPr>
              <w:rPr>
                <w:rFonts w:ascii="Cambria" w:hAnsi="Cambria"/>
                <w:color w:val="000000" w:themeColor="text1"/>
                <w:lang w:val="en-US"/>
              </w:rPr>
            </w:pPr>
          </w:p>
        </w:tc>
      </w:tr>
      <w:bookmarkEnd w:id="5"/>
    </w:tbl>
    <w:p w:rsidR="00B83067" w:rsidRPr="007B6BB7" w:rsidRDefault="00B83067" w:rsidP="00B83067">
      <w:pPr>
        <w:spacing w:line="252" w:lineRule="auto"/>
        <w:contextualSpacing/>
        <w:jc w:val="both"/>
        <w:rPr>
          <w:rFonts w:ascii="Amasis MT Pro" w:hAnsi="Amasis MT Pro"/>
        </w:rPr>
      </w:pPr>
    </w:p>
    <w:p w:rsidR="00B83067" w:rsidRDefault="00B83067" w:rsidP="00B83067">
      <w:pPr>
        <w:jc w:val="both"/>
        <w:rPr>
          <w:rFonts w:ascii="Cambria" w:hAnsi="Cambria"/>
        </w:rPr>
      </w:pPr>
    </w:p>
    <w:p w:rsidR="00B83067" w:rsidRDefault="00B83067" w:rsidP="00B83067">
      <w:pPr>
        <w:jc w:val="both"/>
        <w:rPr>
          <w:rFonts w:ascii="Cambria" w:hAnsi="Cambria"/>
        </w:rPr>
      </w:pPr>
    </w:p>
    <w:p w:rsidR="00B83067" w:rsidRDefault="00B83067" w:rsidP="00B83067">
      <w:pPr>
        <w:jc w:val="both"/>
        <w:rPr>
          <w:rFonts w:ascii="Cambria" w:hAnsi="Cambria"/>
        </w:rPr>
      </w:pPr>
    </w:p>
    <w:p w:rsidR="00B83067" w:rsidRDefault="00B83067" w:rsidP="00B83067">
      <w:pPr>
        <w:jc w:val="both"/>
        <w:rPr>
          <w:rFonts w:ascii="Cambria" w:hAnsi="Cambria"/>
        </w:rPr>
      </w:pPr>
    </w:p>
    <w:p w:rsidR="00B83067" w:rsidRDefault="00B83067" w:rsidP="00B83067">
      <w:pPr>
        <w:jc w:val="both"/>
        <w:rPr>
          <w:rFonts w:ascii="Cambria" w:hAnsi="Cambria"/>
        </w:rPr>
      </w:pPr>
    </w:p>
    <w:p w:rsidR="00B83067" w:rsidRDefault="00B83067" w:rsidP="00B83067">
      <w:pPr>
        <w:jc w:val="both"/>
        <w:rPr>
          <w:rFonts w:ascii="Cambria" w:hAnsi="Cambria"/>
        </w:rPr>
      </w:pPr>
    </w:p>
    <w:p w:rsidR="00B83067" w:rsidRDefault="00B83067" w:rsidP="00B83067">
      <w:pPr>
        <w:jc w:val="both"/>
        <w:rPr>
          <w:rFonts w:ascii="Cambria" w:hAnsi="Cambria"/>
        </w:rPr>
      </w:pPr>
    </w:p>
    <w:p w:rsidR="00B83067" w:rsidRDefault="00B83067" w:rsidP="00B83067">
      <w:pPr>
        <w:jc w:val="both"/>
        <w:rPr>
          <w:rFonts w:ascii="Cambria" w:hAnsi="Cambria"/>
        </w:rPr>
      </w:pPr>
    </w:p>
    <w:p w:rsidR="00B83067" w:rsidRDefault="00B83067" w:rsidP="00B83067">
      <w:pPr>
        <w:jc w:val="both"/>
        <w:rPr>
          <w:rFonts w:ascii="Cambria" w:hAnsi="Cambria"/>
        </w:rPr>
      </w:pPr>
      <w:bookmarkStart w:id="6" w:name="_GoBack"/>
      <w:bookmarkEnd w:id="6"/>
    </w:p>
    <w:sectPr w:rsidR="00B83067" w:rsidSect="00FF69E8">
      <w:headerReference w:type="default" r:id="rId10"/>
      <w:footerReference w:type="default" r:id="rId11"/>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25" w:rsidRDefault="00795725">
      <w:r>
        <w:separator/>
      </w:r>
    </w:p>
  </w:endnote>
  <w:endnote w:type="continuationSeparator" w:id="0">
    <w:p w:rsidR="00795725" w:rsidRDefault="0079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w:altName w:val="Times New Roman"/>
    <w:charset w:val="00"/>
    <w:family w:val="roman"/>
    <w:pitch w:val="variable"/>
    <w:sig w:usb0="00000001" w:usb1="4000205B" w:usb2="00000000" w:usb3="00000000" w:csb0="00000093" w:csb1="00000000"/>
  </w:font>
  <w:font w:name="Palatino Linotype">
    <w:altName w:val="Cambria Math"/>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E8" w:rsidRPr="00591F1C" w:rsidRDefault="00FF69E8" w:rsidP="00FF69E8">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Palatino Linotype" w:hAnsi="Palatino Linotype"/>
        <w:b/>
        <w:sz w:val="18"/>
        <w:szCs w:val="18"/>
      </w:rPr>
    </w:pPr>
    <w:r w:rsidRPr="00591F1C">
      <w:rPr>
        <w:b/>
        <w:sz w:val="18"/>
        <w:szCs w:val="18"/>
        <w:lang w:val="en"/>
      </w:rPr>
      <w:t>ADK</w:t>
    </w:r>
    <w:r>
      <w:rPr>
        <w:b/>
        <w:sz w:val="18"/>
        <w:szCs w:val="18"/>
        <w:lang w:val="en"/>
      </w:rPr>
      <w:t xml:space="preserve"> &amp; Co Vietnam Lawyers</w:t>
    </w:r>
  </w:p>
  <w:p w:rsidR="00FF69E8" w:rsidRPr="00961B42" w:rsidRDefault="00795725" w:rsidP="00FF69E8">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line="264" w:lineRule="auto"/>
      <w:jc w:val="center"/>
      <w:rPr>
        <w:rFonts w:ascii="Palatino Linotype" w:hAnsi="Palatino Linotype"/>
        <w:sz w:val="18"/>
        <w:szCs w:val="18"/>
      </w:rPr>
    </w:pPr>
    <w:hyperlink r:id="rId1" w:history="1">
      <w:r w:rsidR="00FF69E8" w:rsidRPr="00591F1C">
        <w:rPr>
          <w:rStyle w:val="Hyperlink"/>
          <w:sz w:val="18"/>
          <w:szCs w:val="18"/>
          <w:lang w:val="en"/>
        </w:rPr>
        <w:t>www.adk</w:t>
      </w:r>
      <w:r w:rsidR="00FF69E8" w:rsidRPr="005C3A0B">
        <w:rPr>
          <w:rStyle w:val="Hyperlink"/>
          <w:sz w:val="18"/>
          <w:szCs w:val="18"/>
          <w:lang w:val="en"/>
        </w:rPr>
        <w:t>-lawyers</w:t>
      </w:r>
      <w:r w:rsidR="00FF69E8" w:rsidRPr="00591F1C">
        <w:rPr>
          <w:rStyle w:val="Hyperlink"/>
          <w:sz w:val="18"/>
          <w:szCs w:val="18"/>
          <w:lang w:val="en"/>
        </w:rPr>
        <w:t>.com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25" w:rsidRDefault="00795725">
      <w:r>
        <w:separator/>
      </w:r>
    </w:p>
  </w:footnote>
  <w:footnote w:type="continuationSeparator" w:id="0">
    <w:p w:rsidR="00795725" w:rsidRDefault="007957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E8" w:rsidRDefault="00FF69E8">
    <w:pPr>
      <w:pStyle w:val="Header"/>
    </w:pPr>
    <w:r>
      <w:rPr>
        <w:noProof/>
        <w:lang w:val="en-US"/>
      </w:rPr>
      <w:drawing>
        <wp:anchor distT="0" distB="0" distL="114300" distR="114300" simplePos="0" relativeHeight="251659264" behindDoc="1" locked="0" layoutInCell="1" allowOverlap="1" wp14:anchorId="7600CD12" wp14:editId="17C82048">
          <wp:simplePos x="0" y="0"/>
          <wp:positionH relativeFrom="page">
            <wp:align>left</wp:align>
          </wp:positionH>
          <wp:positionV relativeFrom="paragraph">
            <wp:posOffset>-476250</wp:posOffset>
          </wp:positionV>
          <wp:extent cx="7766050" cy="1448435"/>
          <wp:effectExtent l="0" t="0" r="6350" b="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79385" cy="1451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400"/>
    <w:multiLevelType w:val="hybridMultilevel"/>
    <w:tmpl w:val="04DEF154"/>
    <w:lvl w:ilvl="0" w:tplc="D31EB31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1B010FF"/>
    <w:multiLevelType w:val="hybridMultilevel"/>
    <w:tmpl w:val="31DAD17E"/>
    <w:lvl w:ilvl="0" w:tplc="CA606E3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26D31C30"/>
    <w:multiLevelType w:val="hybridMultilevel"/>
    <w:tmpl w:val="25AED908"/>
    <w:lvl w:ilvl="0" w:tplc="51744B9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AD01581"/>
    <w:multiLevelType w:val="hybridMultilevel"/>
    <w:tmpl w:val="1478ABE8"/>
    <w:lvl w:ilvl="0" w:tplc="5422F88E">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0A6366"/>
    <w:multiLevelType w:val="hybridMultilevel"/>
    <w:tmpl w:val="D776601E"/>
    <w:lvl w:ilvl="0" w:tplc="CA3E2CB6">
      <w:start w:val="1"/>
      <w:numFmt w:val="decimal"/>
      <w:lvlText w:val="%1."/>
      <w:lvlJc w:val="left"/>
      <w:pPr>
        <w:ind w:left="-537" w:hanging="721"/>
      </w:pPr>
      <w:rPr>
        <w:rFonts w:ascii="Cambria" w:eastAsia="Arial" w:hAnsi="Cambria" w:cs="Arial" w:hint="default"/>
        <w:b/>
        <w:bCs/>
        <w:spacing w:val="0"/>
        <w:w w:val="100"/>
        <w:sz w:val="22"/>
        <w:szCs w:val="22"/>
        <w:lang w:val="vi" w:eastAsia="en-US" w:bidi="ar-SA"/>
      </w:rPr>
    </w:lvl>
    <w:lvl w:ilvl="1" w:tplc="52DAE01E">
      <w:numFmt w:val="bullet"/>
      <w:lvlText w:val="-"/>
      <w:lvlJc w:val="left"/>
      <w:pPr>
        <w:ind w:left="183" w:hanging="720"/>
      </w:pPr>
      <w:rPr>
        <w:rFonts w:ascii="Arial" w:eastAsia="Arial" w:hAnsi="Arial" w:cs="Arial" w:hint="default"/>
        <w:w w:val="100"/>
        <w:sz w:val="22"/>
        <w:szCs w:val="22"/>
        <w:lang w:val="vi" w:eastAsia="en-US" w:bidi="ar-SA"/>
      </w:rPr>
    </w:lvl>
    <w:lvl w:ilvl="2" w:tplc="9C0ACAE2">
      <w:numFmt w:val="bullet"/>
      <w:lvlText w:val="•"/>
      <w:lvlJc w:val="left"/>
      <w:pPr>
        <w:ind w:left="1159" w:hanging="720"/>
      </w:pPr>
      <w:rPr>
        <w:rFonts w:hint="default"/>
        <w:lang w:val="vi" w:eastAsia="en-US" w:bidi="ar-SA"/>
      </w:rPr>
    </w:lvl>
    <w:lvl w:ilvl="3" w:tplc="D96C9726">
      <w:numFmt w:val="bullet"/>
      <w:lvlText w:val="•"/>
      <w:lvlJc w:val="left"/>
      <w:pPr>
        <w:ind w:left="2132" w:hanging="720"/>
      </w:pPr>
      <w:rPr>
        <w:rFonts w:hint="default"/>
        <w:lang w:val="vi" w:eastAsia="en-US" w:bidi="ar-SA"/>
      </w:rPr>
    </w:lvl>
    <w:lvl w:ilvl="4" w:tplc="10587330">
      <w:numFmt w:val="bullet"/>
      <w:lvlText w:val="•"/>
      <w:lvlJc w:val="left"/>
      <w:pPr>
        <w:ind w:left="3106" w:hanging="720"/>
      </w:pPr>
      <w:rPr>
        <w:rFonts w:hint="default"/>
        <w:lang w:val="vi" w:eastAsia="en-US" w:bidi="ar-SA"/>
      </w:rPr>
    </w:lvl>
    <w:lvl w:ilvl="5" w:tplc="9BA6DDFE">
      <w:numFmt w:val="bullet"/>
      <w:lvlText w:val="•"/>
      <w:lvlJc w:val="left"/>
      <w:pPr>
        <w:ind w:left="4079" w:hanging="720"/>
      </w:pPr>
      <w:rPr>
        <w:rFonts w:hint="default"/>
        <w:lang w:val="vi" w:eastAsia="en-US" w:bidi="ar-SA"/>
      </w:rPr>
    </w:lvl>
    <w:lvl w:ilvl="6" w:tplc="0DEC7EF6">
      <w:numFmt w:val="bullet"/>
      <w:lvlText w:val="•"/>
      <w:lvlJc w:val="left"/>
      <w:pPr>
        <w:ind w:left="5052" w:hanging="720"/>
      </w:pPr>
      <w:rPr>
        <w:rFonts w:hint="default"/>
        <w:lang w:val="vi" w:eastAsia="en-US" w:bidi="ar-SA"/>
      </w:rPr>
    </w:lvl>
    <w:lvl w:ilvl="7" w:tplc="04B04F70">
      <w:numFmt w:val="bullet"/>
      <w:lvlText w:val="•"/>
      <w:lvlJc w:val="left"/>
      <w:pPr>
        <w:ind w:left="6026" w:hanging="720"/>
      </w:pPr>
      <w:rPr>
        <w:rFonts w:hint="default"/>
        <w:lang w:val="vi" w:eastAsia="en-US" w:bidi="ar-SA"/>
      </w:rPr>
    </w:lvl>
    <w:lvl w:ilvl="8" w:tplc="E910A8B4">
      <w:numFmt w:val="bullet"/>
      <w:lvlText w:val="•"/>
      <w:lvlJc w:val="left"/>
      <w:pPr>
        <w:ind w:left="6999" w:hanging="720"/>
      </w:pPr>
      <w:rPr>
        <w:rFonts w:hint="default"/>
        <w:lang w:val="vi" w:eastAsia="en-US" w:bidi="ar-SA"/>
      </w:rPr>
    </w:lvl>
  </w:abstractNum>
  <w:abstractNum w:abstractNumId="7"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634787"/>
    <w:multiLevelType w:val="hybridMultilevel"/>
    <w:tmpl w:val="56CC3D18"/>
    <w:lvl w:ilvl="0" w:tplc="B390361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4A175FE"/>
    <w:multiLevelType w:val="multilevel"/>
    <w:tmpl w:val="2BEC72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A0A795C"/>
    <w:multiLevelType w:val="hybridMultilevel"/>
    <w:tmpl w:val="E7AA0B4A"/>
    <w:lvl w:ilvl="0" w:tplc="96805B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921CBB"/>
    <w:multiLevelType w:val="hybridMultilevel"/>
    <w:tmpl w:val="C6986734"/>
    <w:lvl w:ilvl="0" w:tplc="8D00BB3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3A45B07"/>
    <w:multiLevelType w:val="hybridMultilevel"/>
    <w:tmpl w:val="F66AFD46"/>
    <w:lvl w:ilvl="0" w:tplc="075CD174">
      <w:start w:val="1"/>
      <w:numFmt w:val="bullet"/>
      <w:lvlText w:val="-"/>
      <w:lvlJc w:val="left"/>
      <w:pPr>
        <w:ind w:left="1789" w:hanging="360"/>
      </w:pPr>
      <w:rPr>
        <w:rFonts w:ascii="Cambria" w:eastAsia="Times New Roman" w:hAnsi="Cambria"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num w:numId="1">
    <w:abstractNumId w:val="6"/>
  </w:num>
  <w:num w:numId="2">
    <w:abstractNumId w:val="1"/>
  </w:num>
  <w:num w:numId="3">
    <w:abstractNumId w:val="9"/>
  </w:num>
  <w:num w:numId="4">
    <w:abstractNumId w:val="0"/>
  </w:num>
  <w:num w:numId="5">
    <w:abstractNumId w:val="12"/>
  </w:num>
  <w:num w:numId="6">
    <w:abstractNumId w:val="11"/>
  </w:num>
  <w:num w:numId="7">
    <w:abstractNumId w:val="3"/>
  </w:num>
  <w:num w:numId="8">
    <w:abstractNumId w:val="10"/>
  </w:num>
  <w:num w:numId="9">
    <w:abstractNumId w:val="2"/>
  </w:num>
  <w:num w:numId="10">
    <w:abstractNumId w:val="5"/>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A1"/>
    <w:rsid w:val="00002F8A"/>
    <w:rsid w:val="00100940"/>
    <w:rsid w:val="001B47D4"/>
    <w:rsid w:val="003D0FA1"/>
    <w:rsid w:val="0044517E"/>
    <w:rsid w:val="0053562E"/>
    <w:rsid w:val="0060463D"/>
    <w:rsid w:val="00607D76"/>
    <w:rsid w:val="00623D9F"/>
    <w:rsid w:val="00691C3B"/>
    <w:rsid w:val="006E4C27"/>
    <w:rsid w:val="00767D16"/>
    <w:rsid w:val="00795725"/>
    <w:rsid w:val="00B83067"/>
    <w:rsid w:val="00CE3D40"/>
    <w:rsid w:val="00E73F5C"/>
    <w:rsid w:val="00EF1883"/>
    <w:rsid w:val="00FF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CAF7"/>
  <w15:chartTrackingRefBased/>
  <w15:docId w15:val="{AC87D2CC-B34D-4E72-8BDA-306ED11F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06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B83067"/>
    <w:pPr>
      <w:ind w:left="837"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067"/>
    <w:rPr>
      <w:rFonts w:ascii="Times New Roman" w:eastAsia="Times New Roman" w:hAnsi="Times New Roman" w:cs="Times New Roman"/>
      <w:b/>
      <w:bCs/>
      <w:lang w:val="vi"/>
    </w:rPr>
  </w:style>
  <w:style w:type="paragraph" w:styleId="BodyText">
    <w:name w:val="Body Text"/>
    <w:basedOn w:val="Normal"/>
    <w:link w:val="BodyTextChar"/>
    <w:uiPriority w:val="1"/>
    <w:qFormat/>
    <w:rsid w:val="00B83067"/>
  </w:style>
  <w:style w:type="character" w:customStyle="1" w:styleId="BodyTextChar">
    <w:name w:val="Body Text Char"/>
    <w:basedOn w:val="DefaultParagraphFont"/>
    <w:link w:val="BodyText"/>
    <w:uiPriority w:val="1"/>
    <w:rsid w:val="00B83067"/>
    <w:rPr>
      <w:rFonts w:ascii="Times New Roman" w:eastAsia="Times New Roman" w:hAnsi="Times New Roman" w:cs="Times New Roman"/>
      <w:lang w:val="vi"/>
    </w:rPr>
  </w:style>
  <w:style w:type="paragraph" w:styleId="ListParagraph">
    <w:name w:val="List Paragraph"/>
    <w:basedOn w:val="Normal"/>
    <w:link w:val="ListParagraphChar"/>
    <w:uiPriority w:val="34"/>
    <w:qFormat/>
    <w:rsid w:val="00B83067"/>
    <w:pPr>
      <w:ind w:left="1557" w:hanging="721"/>
    </w:pPr>
  </w:style>
  <w:style w:type="paragraph" w:styleId="Header">
    <w:name w:val="header"/>
    <w:basedOn w:val="Normal"/>
    <w:link w:val="HeaderChar"/>
    <w:uiPriority w:val="99"/>
    <w:unhideWhenUsed/>
    <w:rsid w:val="00B83067"/>
    <w:pPr>
      <w:tabs>
        <w:tab w:val="center" w:pos="4680"/>
        <w:tab w:val="right" w:pos="9360"/>
      </w:tabs>
    </w:pPr>
  </w:style>
  <w:style w:type="character" w:customStyle="1" w:styleId="HeaderChar">
    <w:name w:val="Header Char"/>
    <w:basedOn w:val="DefaultParagraphFont"/>
    <w:link w:val="Header"/>
    <w:uiPriority w:val="99"/>
    <w:rsid w:val="00B83067"/>
    <w:rPr>
      <w:rFonts w:ascii="Times New Roman" w:eastAsia="Times New Roman" w:hAnsi="Times New Roman" w:cs="Times New Roman"/>
      <w:lang w:val="vi"/>
    </w:rPr>
  </w:style>
  <w:style w:type="character" w:styleId="Hyperlink">
    <w:name w:val="Hyperlink"/>
    <w:uiPriority w:val="99"/>
    <w:unhideWhenUsed/>
    <w:rsid w:val="00B83067"/>
    <w:rPr>
      <w:color w:val="0000FF"/>
      <w:u w:val="single"/>
    </w:rPr>
  </w:style>
  <w:style w:type="paragraph" w:styleId="Title">
    <w:name w:val="Title"/>
    <w:basedOn w:val="Normal"/>
    <w:link w:val="TitleChar"/>
    <w:uiPriority w:val="10"/>
    <w:qFormat/>
    <w:rsid w:val="00B83067"/>
    <w:pPr>
      <w:spacing w:before="95" w:line="466" w:lineRule="exact"/>
      <w:ind w:left="6003"/>
    </w:pPr>
    <w:rPr>
      <w:b/>
      <w:bCs/>
      <w:sz w:val="40"/>
      <w:szCs w:val="40"/>
    </w:rPr>
  </w:style>
  <w:style w:type="character" w:customStyle="1" w:styleId="TitleChar">
    <w:name w:val="Title Char"/>
    <w:basedOn w:val="DefaultParagraphFont"/>
    <w:link w:val="Title"/>
    <w:uiPriority w:val="10"/>
    <w:rsid w:val="00B83067"/>
    <w:rPr>
      <w:rFonts w:ascii="Times New Roman" w:eastAsia="Times New Roman" w:hAnsi="Times New Roman" w:cs="Times New Roman"/>
      <w:b/>
      <w:bCs/>
      <w:sz w:val="40"/>
      <w:szCs w:val="40"/>
      <w:lang w:val="vi"/>
    </w:rPr>
  </w:style>
  <w:style w:type="paragraph" w:customStyle="1" w:styleId="TableParagraph">
    <w:name w:val="Table Paragraph"/>
    <w:basedOn w:val="Normal"/>
    <w:uiPriority w:val="1"/>
    <w:qFormat/>
    <w:rsid w:val="00B83067"/>
    <w:pPr>
      <w:spacing w:line="256" w:lineRule="exact"/>
      <w:ind w:left="103"/>
    </w:pPr>
  </w:style>
  <w:style w:type="table" w:styleId="TableGrid">
    <w:name w:val="Table Grid"/>
    <w:basedOn w:val="TableNormal"/>
    <w:uiPriority w:val="59"/>
    <w:rsid w:val="00B83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83067"/>
    <w:rPr>
      <w:rFonts w:ascii="Times New Roman" w:eastAsia="Times New Roman" w:hAnsi="Times New Roman" w:cs="Times New Roman"/>
      <w:lang w:val="vi"/>
    </w:rPr>
  </w:style>
  <w:style w:type="paragraph" w:styleId="Footer">
    <w:name w:val="footer"/>
    <w:basedOn w:val="Normal"/>
    <w:link w:val="FooterChar"/>
    <w:uiPriority w:val="99"/>
    <w:unhideWhenUsed/>
    <w:rsid w:val="00B83067"/>
    <w:pPr>
      <w:tabs>
        <w:tab w:val="center" w:pos="4680"/>
        <w:tab w:val="right" w:pos="9360"/>
      </w:tabs>
    </w:pPr>
  </w:style>
  <w:style w:type="character" w:customStyle="1" w:styleId="FooterChar">
    <w:name w:val="Footer Char"/>
    <w:basedOn w:val="DefaultParagraphFont"/>
    <w:link w:val="Footer"/>
    <w:uiPriority w:val="99"/>
    <w:rsid w:val="00B83067"/>
    <w:rPr>
      <w:rFonts w:ascii="Times New Roman" w:eastAsia="Times New Roman" w:hAnsi="Times New Roman" w:cs="Times New Roman"/>
      <w:lang w:val="vi"/>
    </w:rPr>
  </w:style>
  <w:style w:type="paragraph" w:styleId="NormalWeb">
    <w:name w:val="Normal (Web)"/>
    <w:basedOn w:val="Normal"/>
    <w:uiPriority w:val="99"/>
    <w:unhideWhenUsed/>
    <w:rsid w:val="00B83067"/>
    <w:pPr>
      <w:widowControl/>
      <w:autoSpaceDE/>
      <w:autoSpaceDN/>
      <w:spacing w:before="100" w:beforeAutospacing="1" w:after="100" w:afterAutospacing="1"/>
    </w:pPr>
    <w:rPr>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k-lawyers.com/en/legal-artic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1699</Words>
  <Characters>9685</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Dear Value Clients and Partners,</vt:lpstr>
      <vt:lpstr>Legal Spotlight</vt:lpstr>
      <vt:lpstr/>
      <vt:lpstr/>
      <vt:lpstr>Featured Articles of ADK Lawyer in May</vt:lpstr>
      <vt:lpstr/>
      <vt:lpstr>The article “Legal regulations on receiving the non-refundable sponsorship by a </vt:lpstr>
      <vt:lpstr/>
      <vt:lpstr>Some prominent legal documents take effect from June 2022</vt:lpstr>
    </vt:vector>
  </TitlesOfParts>
  <Company>Tin Hoc Luna</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9</cp:revision>
  <dcterms:created xsi:type="dcterms:W3CDTF">2022-06-02T07:34:00Z</dcterms:created>
  <dcterms:modified xsi:type="dcterms:W3CDTF">2022-06-04T00:56:00Z</dcterms:modified>
</cp:coreProperties>
</file>