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88" w:rsidRPr="001D0E39" w:rsidRDefault="00662B88" w:rsidP="00960955">
      <w:pPr>
        <w:jc w:val="right"/>
        <w:rPr>
          <w:rFonts w:ascii="Cambria" w:hAnsi="Cambria"/>
          <w:b/>
          <w:noProof w:val="0"/>
          <w:sz w:val="22"/>
          <w:szCs w:val="22"/>
          <w:lang w:val="en-US"/>
        </w:rPr>
      </w:pPr>
      <w:bookmarkStart w:id="0" w:name="_GoBack"/>
      <w:bookmarkEnd w:id="0"/>
      <w:r w:rsidRPr="001D0E39">
        <w:rPr>
          <w:rFonts w:ascii="Cambria" w:hAnsi="Cambria"/>
          <w:b/>
          <w:noProof w:val="0"/>
          <w:sz w:val="22"/>
          <w:szCs w:val="22"/>
          <w:lang w:val="en-US"/>
        </w:rPr>
        <w:t xml:space="preserve">LEGAL UPDATES </w:t>
      </w:r>
    </w:p>
    <w:p w:rsidR="00662B88" w:rsidRPr="001D0E39" w:rsidRDefault="006E12CE" w:rsidP="00960955">
      <w:pPr>
        <w:jc w:val="right"/>
        <w:rPr>
          <w:rFonts w:ascii="Cambria" w:hAnsi="Cambria"/>
          <w:b/>
          <w:noProof w:val="0"/>
          <w:sz w:val="22"/>
          <w:szCs w:val="22"/>
          <w:lang w:val="en-US"/>
        </w:rPr>
      </w:pPr>
      <w:r w:rsidRPr="001D0E39">
        <w:rPr>
          <w:rStyle w:val="Strong"/>
          <w:rFonts w:ascii="Cambria" w:hAnsi="Cambria"/>
          <w:noProof w:val="0"/>
          <w:color w:val="000000"/>
          <w:sz w:val="22"/>
          <w:szCs w:val="22"/>
          <w:lang w:val="en-US"/>
        </w:rPr>
        <w:t>VOL 40</w:t>
      </w:r>
      <w:r w:rsidR="00662B88" w:rsidRPr="001D0E39">
        <w:rPr>
          <w:rStyle w:val="Strong"/>
          <w:rFonts w:ascii="Cambria" w:hAnsi="Cambria"/>
          <w:noProof w:val="0"/>
          <w:color w:val="000000"/>
          <w:sz w:val="22"/>
          <w:szCs w:val="22"/>
          <w:lang w:val="en-US"/>
        </w:rPr>
        <w:t xml:space="preserve">, </w:t>
      </w:r>
      <w:r w:rsidR="001D0E39" w:rsidRPr="001D0E39">
        <w:rPr>
          <w:rStyle w:val="Strong"/>
          <w:rFonts w:ascii="Cambria" w:hAnsi="Cambria"/>
          <w:noProof w:val="0"/>
          <w:color w:val="000000"/>
          <w:sz w:val="22"/>
          <w:szCs w:val="22"/>
          <w:lang w:val="en-US"/>
        </w:rPr>
        <w:t xml:space="preserve">APRIL </w:t>
      </w:r>
      <w:r w:rsidR="00662B88" w:rsidRPr="001D0E39">
        <w:rPr>
          <w:rStyle w:val="Strong"/>
          <w:rFonts w:ascii="Cambria" w:hAnsi="Cambria"/>
          <w:noProof w:val="0"/>
          <w:color w:val="000000"/>
          <w:sz w:val="22"/>
          <w:szCs w:val="22"/>
          <w:lang w:val="en-US"/>
        </w:rPr>
        <w:t>2022</w:t>
      </w:r>
    </w:p>
    <w:p w:rsidR="00662B88" w:rsidRPr="001D0E39" w:rsidRDefault="00662B88" w:rsidP="00960955">
      <w:pPr>
        <w:jc w:val="right"/>
        <w:rPr>
          <w:rFonts w:ascii="Cambria" w:hAnsi="Cambria"/>
          <w:b/>
          <w:noProof w:val="0"/>
          <w:sz w:val="22"/>
          <w:szCs w:val="22"/>
          <w:lang w:val="en-US"/>
        </w:rPr>
      </w:pPr>
    </w:p>
    <w:p w:rsidR="00662B88" w:rsidRPr="001D0E39" w:rsidRDefault="00662B88" w:rsidP="001A14A5">
      <w:pPr>
        <w:jc w:val="both"/>
        <w:rPr>
          <w:rFonts w:ascii="Cambria" w:hAnsi="Cambria"/>
          <w:b/>
          <w:noProof w:val="0"/>
          <w:sz w:val="22"/>
          <w:szCs w:val="22"/>
          <w:lang w:val="en-US"/>
        </w:rPr>
      </w:pPr>
      <w:r w:rsidRPr="001D0E39">
        <w:rPr>
          <w:rFonts w:ascii="Cambria" w:hAnsi="Cambria"/>
          <w:b/>
          <w:noProof w:val="0"/>
          <w:sz w:val="22"/>
          <w:szCs w:val="22"/>
          <w:lang w:val="en-US"/>
        </w:rPr>
        <w:t>Dear Valued Clients and Partners,</w:t>
      </w:r>
    </w:p>
    <w:p w:rsidR="00662B88" w:rsidRPr="001D0E39" w:rsidRDefault="00662B88" w:rsidP="001A14A5">
      <w:pPr>
        <w:jc w:val="both"/>
        <w:rPr>
          <w:rFonts w:ascii="Cambria" w:hAnsi="Cambria"/>
          <w:b/>
          <w:noProof w:val="0"/>
          <w:sz w:val="22"/>
          <w:szCs w:val="22"/>
          <w:lang w:val="en-US"/>
        </w:rPr>
      </w:pPr>
    </w:p>
    <w:p w:rsidR="00662B88" w:rsidRPr="001D0E39" w:rsidRDefault="00662B88" w:rsidP="001A14A5">
      <w:pPr>
        <w:jc w:val="both"/>
        <w:rPr>
          <w:rFonts w:ascii="Cambria" w:hAnsi="Cambria"/>
          <w:noProof w:val="0"/>
          <w:sz w:val="22"/>
          <w:szCs w:val="22"/>
          <w:lang w:val="en-US"/>
        </w:rPr>
      </w:pPr>
      <w:r w:rsidRPr="001D0E39">
        <w:rPr>
          <w:rFonts w:ascii="Cambria" w:hAnsi="Cambria"/>
          <w:noProof w:val="0"/>
          <w:color w:val="000000"/>
          <w:sz w:val="22"/>
          <w:szCs w:val="22"/>
          <w:lang w:val="en-US"/>
        </w:rPr>
        <w:t xml:space="preserve">ADK Vietnam Lawyers would like to introduce </w:t>
      </w:r>
      <w:r w:rsidR="006E12CE" w:rsidRPr="001D0E39">
        <w:rPr>
          <w:rFonts w:ascii="Cambria" w:hAnsi="Cambria"/>
          <w:noProof w:val="0"/>
          <w:color w:val="000000"/>
          <w:sz w:val="22"/>
          <w:szCs w:val="22"/>
          <w:lang w:val="en-US"/>
        </w:rPr>
        <w:t>to you the Legal Updates, Vol 40</w:t>
      </w:r>
      <w:r w:rsidRPr="001D0E39">
        <w:rPr>
          <w:rFonts w:ascii="Cambria" w:hAnsi="Cambria"/>
          <w:noProof w:val="0"/>
          <w:color w:val="000000"/>
          <w:sz w:val="22"/>
          <w:szCs w:val="22"/>
          <w:lang w:val="en-US"/>
        </w:rPr>
        <w:t xml:space="preserve"> of </w:t>
      </w:r>
      <w:r w:rsidR="001D0E39">
        <w:rPr>
          <w:rFonts w:ascii="Cambria" w:hAnsi="Cambria"/>
          <w:noProof w:val="0"/>
          <w:color w:val="000000"/>
          <w:sz w:val="22"/>
          <w:szCs w:val="22"/>
          <w:lang w:val="en-US"/>
        </w:rPr>
        <w:t>April</w:t>
      </w:r>
      <w:r w:rsidR="001D0E39" w:rsidRPr="001D0E39">
        <w:rPr>
          <w:rFonts w:ascii="Cambria" w:hAnsi="Cambria"/>
          <w:noProof w:val="0"/>
          <w:color w:val="000000"/>
          <w:sz w:val="22"/>
          <w:szCs w:val="22"/>
          <w:lang w:val="en-US"/>
        </w:rPr>
        <w:t xml:space="preserve"> </w:t>
      </w:r>
      <w:r w:rsidRPr="001D0E39">
        <w:rPr>
          <w:rFonts w:ascii="Cambria" w:hAnsi="Cambria"/>
          <w:noProof w:val="0"/>
          <w:color w:val="000000"/>
          <w:sz w:val="22"/>
          <w:szCs w:val="22"/>
          <w:lang w:val="en-US"/>
        </w:rPr>
        <w:t>2022 with new legal provisions with notable contents as follows</w:t>
      </w:r>
      <w:r w:rsidRPr="001D0E39">
        <w:rPr>
          <w:rFonts w:ascii="Cambria" w:hAnsi="Cambria"/>
          <w:noProof w:val="0"/>
          <w:sz w:val="22"/>
          <w:szCs w:val="22"/>
          <w:lang w:val="en-US"/>
        </w:rPr>
        <w:t>:</w:t>
      </w:r>
    </w:p>
    <w:p w:rsidR="00662B88" w:rsidRPr="001D0E39" w:rsidRDefault="00662B88" w:rsidP="001A14A5">
      <w:pPr>
        <w:jc w:val="both"/>
        <w:rPr>
          <w:rFonts w:ascii="Cambria" w:hAnsi="Cambria"/>
          <w:noProof w:val="0"/>
          <w:sz w:val="22"/>
          <w:szCs w:val="22"/>
          <w:lang w:val="en-US"/>
        </w:rPr>
      </w:pPr>
    </w:p>
    <w:p w:rsidR="00662B88" w:rsidRPr="001D0E39" w:rsidRDefault="001D0E39" w:rsidP="001A14A5">
      <w:pPr>
        <w:pStyle w:val="ListParagraph"/>
        <w:numPr>
          <w:ilvl w:val="0"/>
          <w:numId w:val="1"/>
        </w:numPr>
        <w:ind w:hanging="720"/>
        <w:jc w:val="both"/>
        <w:rPr>
          <w:rFonts w:ascii="Cambria" w:hAnsi="Cambria"/>
          <w:b/>
          <w:noProof w:val="0"/>
          <w:sz w:val="22"/>
          <w:szCs w:val="22"/>
          <w:lang w:val="en-US"/>
        </w:rPr>
      </w:pPr>
      <w:r>
        <w:rPr>
          <w:rFonts w:ascii="Cambria" w:hAnsi="Cambria"/>
          <w:b/>
          <w:noProof w:val="0"/>
          <w:sz w:val="22"/>
          <w:szCs w:val="22"/>
          <w:lang w:val="en-US"/>
        </w:rPr>
        <w:t>Guidance</w:t>
      </w:r>
      <w:r w:rsidRPr="001D0E39">
        <w:rPr>
          <w:rFonts w:ascii="Cambria" w:hAnsi="Cambria"/>
          <w:b/>
          <w:noProof w:val="0"/>
          <w:sz w:val="22"/>
          <w:szCs w:val="22"/>
          <w:lang w:val="en-US"/>
        </w:rPr>
        <w:t xml:space="preserve"> </w:t>
      </w:r>
      <w:r w:rsidR="006E12CE" w:rsidRPr="001D0E39">
        <w:rPr>
          <w:rFonts w:ascii="Cambria" w:hAnsi="Cambria"/>
          <w:b/>
          <w:noProof w:val="0"/>
          <w:sz w:val="22"/>
          <w:szCs w:val="22"/>
          <w:lang w:val="en-US"/>
        </w:rPr>
        <w:t>from the M</w:t>
      </w:r>
      <w:r w:rsidR="00644459" w:rsidRPr="001D0E39">
        <w:rPr>
          <w:rFonts w:ascii="Cambria" w:hAnsi="Cambria"/>
          <w:b/>
          <w:noProof w:val="0"/>
          <w:sz w:val="22"/>
          <w:szCs w:val="22"/>
          <w:lang w:val="en-US"/>
        </w:rPr>
        <w:t>inistry of Industry and Trade to business conditions for</w:t>
      </w:r>
      <w:r w:rsidR="006E12CE" w:rsidRPr="001D0E39">
        <w:rPr>
          <w:rFonts w:ascii="Cambria" w:hAnsi="Cambria"/>
          <w:b/>
          <w:noProof w:val="0"/>
          <w:sz w:val="22"/>
          <w:szCs w:val="22"/>
          <w:lang w:val="en-US"/>
        </w:rPr>
        <w:t xml:space="preserve"> rooftop solar power</w:t>
      </w:r>
    </w:p>
    <w:p w:rsidR="00644459" w:rsidRPr="001D0E39" w:rsidRDefault="00644459" w:rsidP="001A14A5">
      <w:pPr>
        <w:pStyle w:val="ListParagraph"/>
        <w:jc w:val="both"/>
        <w:rPr>
          <w:rFonts w:ascii="Cambria" w:hAnsi="Cambria"/>
          <w:b/>
          <w:noProof w:val="0"/>
          <w:sz w:val="22"/>
          <w:szCs w:val="22"/>
          <w:lang w:val="en-US"/>
        </w:rPr>
      </w:pPr>
    </w:p>
    <w:p w:rsidR="00644459" w:rsidRPr="001D0E39" w:rsidRDefault="00644459" w:rsidP="001A14A5">
      <w:pPr>
        <w:pStyle w:val="ListParagraph"/>
        <w:jc w:val="both"/>
        <w:rPr>
          <w:rFonts w:ascii="Cambria" w:hAnsi="Cambria"/>
          <w:noProof w:val="0"/>
          <w:sz w:val="22"/>
          <w:szCs w:val="22"/>
          <w:lang w:val="en-US"/>
        </w:rPr>
      </w:pPr>
      <w:r w:rsidRPr="001D0E39">
        <w:rPr>
          <w:rFonts w:ascii="Cambria" w:hAnsi="Cambria"/>
          <w:noProof w:val="0"/>
          <w:sz w:val="22"/>
          <w:szCs w:val="22"/>
          <w:lang w:val="en-US"/>
        </w:rPr>
        <w:t>After the document of the Ministry of Planning and Investment responding to the recommendation of Vietnam Energy Magazine, the Electricity Regulatory Authority - Ministry of Indu</w:t>
      </w:r>
      <w:r w:rsidR="00AB0ABB" w:rsidRPr="001D0E39">
        <w:rPr>
          <w:rFonts w:ascii="Cambria" w:hAnsi="Cambria"/>
          <w:noProof w:val="0"/>
          <w:sz w:val="22"/>
          <w:szCs w:val="22"/>
          <w:lang w:val="en-US"/>
        </w:rPr>
        <w:t>stry and Trade has just issued d</w:t>
      </w:r>
      <w:r w:rsidRPr="001D0E39">
        <w:rPr>
          <w:rFonts w:ascii="Cambria" w:hAnsi="Cambria"/>
          <w:noProof w:val="0"/>
          <w:sz w:val="22"/>
          <w:szCs w:val="22"/>
          <w:lang w:val="en-US"/>
        </w:rPr>
        <w:t xml:space="preserve">ocument No. 489/DTDL-CP dated April 29, 2022 to guide determining business conditions for rooftop solar power of organizations, households and individuals. The document is based on the provisions of the </w:t>
      </w:r>
      <w:r w:rsidR="0034390B" w:rsidRPr="001D0E39">
        <w:rPr>
          <w:rFonts w:ascii="Cambria" w:hAnsi="Cambria"/>
          <w:noProof w:val="0"/>
          <w:sz w:val="22"/>
          <w:szCs w:val="22"/>
          <w:lang w:val="en-US"/>
        </w:rPr>
        <w:t>Law on Investment</w:t>
      </w:r>
      <w:r w:rsidRPr="001D0E39">
        <w:rPr>
          <w:rFonts w:ascii="Cambria" w:hAnsi="Cambria"/>
          <w:noProof w:val="0"/>
          <w:sz w:val="22"/>
          <w:szCs w:val="22"/>
          <w:lang w:val="en-US"/>
        </w:rPr>
        <w:t xml:space="preserve"> and the Law </w:t>
      </w:r>
      <w:r w:rsidR="001D0E39">
        <w:rPr>
          <w:rFonts w:ascii="Cambria" w:hAnsi="Cambria"/>
          <w:noProof w:val="0"/>
          <w:sz w:val="22"/>
          <w:szCs w:val="22"/>
          <w:lang w:val="en-US"/>
        </w:rPr>
        <w:t xml:space="preserve">on </w:t>
      </w:r>
      <w:r w:rsidR="001D0E39" w:rsidRPr="001037E7">
        <w:rPr>
          <w:rFonts w:ascii="Cambria" w:hAnsi="Cambria"/>
          <w:noProof w:val="0"/>
          <w:sz w:val="22"/>
          <w:szCs w:val="22"/>
          <w:lang w:val="en-US"/>
        </w:rPr>
        <w:t xml:space="preserve">Electricity </w:t>
      </w:r>
      <w:r w:rsidRPr="001D0E39">
        <w:rPr>
          <w:rFonts w:ascii="Cambria" w:hAnsi="Cambria"/>
          <w:noProof w:val="0"/>
          <w:sz w:val="22"/>
          <w:szCs w:val="22"/>
          <w:lang w:val="en-US"/>
        </w:rPr>
        <w:t>to specifically explain:</w:t>
      </w:r>
      <w:r w:rsidR="0034390B" w:rsidRPr="001D0E39">
        <w:rPr>
          <w:rFonts w:ascii="Cambria" w:hAnsi="Cambria"/>
          <w:noProof w:val="0"/>
          <w:sz w:val="22"/>
          <w:szCs w:val="22"/>
          <w:lang w:val="en-US"/>
        </w:rPr>
        <w:t xml:space="preserve"> </w:t>
      </w:r>
    </w:p>
    <w:p w:rsidR="0034390B" w:rsidRPr="001D0E39" w:rsidRDefault="0034390B" w:rsidP="001A14A5">
      <w:pPr>
        <w:pStyle w:val="ListParagraph"/>
        <w:jc w:val="both"/>
        <w:rPr>
          <w:rFonts w:ascii="Cambria" w:hAnsi="Cambria"/>
          <w:noProof w:val="0"/>
          <w:sz w:val="22"/>
          <w:szCs w:val="22"/>
          <w:lang w:val="en-US"/>
        </w:rPr>
      </w:pPr>
    </w:p>
    <w:p w:rsidR="0034390B" w:rsidRPr="001D0E39" w:rsidRDefault="0034390B" w:rsidP="001A14A5">
      <w:pPr>
        <w:pStyle w:val="ListParagraph"/>
        <w:numPr>
          <w:ilvl w:val="0"/>
          <w:numId w:val="10"/>
        </w:numPr>
        <w:jc w:val="both"/>
        <w:rPr>
          <w:rFonts w:ascii="Cambria" w:hAnsi="Cambria"/>
          <w:noProof w:val="0"/>
          <w:sz w:val="22"/>
          <w:szCs w:val="22"/>
          <w:lang w:val="en-US"/>
        </w:rPr>
      </w:pPr>
      <w:r w:rsidRPr="001D0E39">
        <w:rPr>
          <w:rFonts w:ascii="Cambria" w:hAnsi="Cambria"/>
          <w:noProof w:val="0"/>
          <w:sz w:val="22"/>
          <w:szCs w:val="22"/>
          <w:lang w:val="en-US"/>
        </w:rPr>
        <w:t>Legal regulations on investment: Accordin</w:t>
      </w:r>
      <w:r w:rsidR="00855633" w:rsidRPr="001D0E39">
        <w:rPr>
          <w:rFonts w:ascii="Cambria" w:hAnsi="Cambria"/>
          <w:noProof w:val="0"/>
          <w:sz w:val="22"/>
          <w:szCs w:val="22"/>
          <w:lang w:val="en-US"/>
        </w:rPr>
        <w:t>g to the provisions of Clause 2</w:t>
      </w:r>
      <w:r w:rsidRPr="001D0E39">
        <w:rPr>
          <w:rFonts w:ascii="Cambria" w:hAnsi="Cambria"/>
          <w:noProof w:val="0"/>
          <w:sz w:val="22"/>
          <w:szCs w:val="22"/>
          <w:lang w:val="en-US"/>
        </w:rPr>
        <w:t xml:space="preserve"> Article 7 and Appendix IV of the Law on Investment in 2020, electricity generation fall under the list of conditional business lines. According to Article 11 of Decree 31/2021/ND-CP detailing and guiding the implementation of a number of articles of the Law on Investment: </w:t>
      </w:r>
    </w:p>
    <w:p w:rsidR="0034390B" w:rsidRPr="001D0E39" w:rsidRDefault="0034390B" w:rsidP="001A14A5">
      <w:pPr>
        <w:pStyle w:val="ListParagraph"/>
        <w:ind w:left="1440"/>
        <w:jc w:val="both"/>
        <w:rPr>
          <w:rFonts w:ascii="Cambria" w:hAnsi="Cambria"/>
          <w:noProof w:val="0"/>
          <w:sz w:val="22"/>
          <w:szCs w:val="22"/>
          <w:lang w:val="en-US"/>
        </w:rPr>
      </w:pPr>
    </w:p>
    <w:p w:rsidR="0034390B" w:rsidRPr="001D0E39" w:rsidRDefault="0034390B" w:rsidP="001A14A5">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Investors may invest in conditional business lines specified in Appendix IV of the Law on Investment as soon as the conditions are fulfilled and fulfillment of such conditions must be maintained throughout the business operation.</w:t>
      </w:r>
    </w:p>
    <w:p w:rsidR="00855633" w:rsidRPr="001D0E39" w:rsidRDefault="00855633" w:rsidP="001A14A5">
      <w:pPr>
        <w:jc w:val="both"/>
        <w:rPr>
          <w:rFonts w:ascii="Cambria" w:hAnsi="Cambria"/>
          <w:noProof w:val="0"/>
          <w:sz w:val="22"/>
          <w:szCs w:val="22"/>
          <w:lang w:val="en-US"/>
        </w:rPr>
      </w:pPr>
    </w:p>
    <w:p w:rsidR="00855633" w:rsidRPr="001D0E39" w:rsidRDefault="00855633" w:rsidP="001A14A5">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The investor that fulfill the business investment conditions are entitled to be granted the documents specified in Points a, b, c, d Clause 6 Article 7 of the Law on Investment or carry out business investment activities when the conditions specified in Point dd Clause 6 Article 7 of the Law on Investment are fulfilled</w:t>
      </w:r>
      <w:r w:rsidR="001D0E39">
        <w:rPr>
          <w:rFonts w:ascii="Cambria" w:hAnsi="Cambria"/>
          <w:noProof w:val="0"/>
          <w:sz w:val="22"/>
          <w:szCs w:val="22"/>
          <w:lang w:val="en-US"/>
        </w:rPr>
        <w:t>, etc.</w:t>
      </w:r>
    </w:p>
    <w:p w:rsidR="00855633" w:rsidRPr="001D0E39" w:rsidRDefault="00855633" w:rsidP="001A14A5">
      <w:pPr>
        <w:pStyle w:val="ListParagraph"/>
        <w:jc w:val="both"/>
        <w:rPr>
          <w:rFonts w:ascii="Cambria" w:hAnsi="Cambria"/>
          <w:noProof w:val="0"/>
          <w:sz w:val="22"/>
          <w:szCs w:val="22"/>
          <w:lang w:val="en-US"/>
        </w:rPr>
      </w:pPr>
    </w:p>
    <w:p w:rsidR="00855633" w:rsidRPr="001D0E39" w:rsidRDefault="00855633" w:rsidP="001A14A5">
      <w:pPr>
        <w:pStyle w:val="ListParagraph"/>
        <w:numPr>
          <w:ilvl w:val="0"/>
          <w:numId w:val="10"/>
        </w:numPr>
        <w:jc w:val="both"/>
        <w:rPr>
          <w:rFonts w:ascii="Cambria" w:hAnsi="Cambria"/>
          <w:noProof w:val="0"/>
          <w:sz w:val="22"/>
          <w:szCs w:val="22"/>
          <w:lang w:val="en-US"/>
        </w:rPr>
      </w:pPr>
      <w:r w:rsidRPr="001D0E39">
        <w:rPr>
          <w:rFonts w:ascii="Cambria" w:hAnsi="Cambria"/>
          <w:noProof w:val="0"/>
          <w:sz w:val="22"/>
          <w:szCs w:val="22"/>
          <w:lang w:val="en-US"/>
        </w:rPr>
        <w:t>Legal regulations on electricity:</w:t>
      </w:r>
    </w:p>
    <w:p w:rsidR="00855633" w:rsidRPr="001D0E39" w:rsidRDefault="00855633" w:rsidP="001A14A5">
      <w:pPr>
        <w:pStyle w:val="ListParagraph"/>
        <w:ind w:left="1440"/>
        <w:jc w:val="both"/>
        <w:rPr>
          <w:rFonts w:ascii="Cambria" w:hAnsi="Cambria"/>
          <w:noProof w:val="0"/>
          <w:sz w:val="22"/>
          <w:szCs w:val="22"/>
          <w:lang w:val="en-US"/>
        </w:rPr>
      </w:pPr>
    </w:p>
    <w:p w:rsidR="00855633" w:rsidRPr="001D0E39" w:rsidRDefault="00855633" w:rsidP="001A14A5">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According to the provisions of Clause 16 Article 1 of the Law amending and supplementing a number of articles of the Law</w:t>
      </w:r>
      <w:r w:rsidR="001D0E39">
        <w:rPr>
          <w:rFonts w:ascii="Cambria" w:hAnsi="Cambria"/>
          <w:noProof w:val="0"/>
          <w:sz w:val="22"/>
          <w:szCs w:val="22"/>
          <w:lang w:val="en-US"/>
        </w:rPr>
        <w:t xml:space="preserve"> on </w:t>
      </w:r>
      <w:r w:rsidR="001D0E39" w:rsidRPr="001037E7">
        <w:rPr>
          <w:rFonts w:ascii="Cambria" w:hAnsi="Cambria"/>
          <w:noProof w:val="0"/>
          <w:sz w:val="22"/>
          <w:szCs w:val="22"/>
          <w:lang w:val="en-US"/>
        </w:rPr>
        <w:t>Electricity</w:t>
      </w:r>
      <w:r w:rsidRPr="001D0E39">
        <w:rPr>
          <w:rFonts w:ascii="Cambria" w:hAnsi="Cambria"/>
          <w:noProof w:val="0"/>
          <w:sz w:val="22"/>
          <w:szCs w:val="22"/>
          <w:lang w:val="en-US"/>
        </w:rPr>
        <w:t xml:space="preserve">: Organizations, individuals are granted license for conducting one or many fields of electricity activity. </w:t>
      </w:r>
    </w:p>
    <w:p w:rsidR="00855633" w:rsidRPr="001D0E39" w:rsidRDefault="00855633" w:rsidP="001A14A5">
      <w:pPr>
        <w:jc w:val="both"/>
        <w:rPr>
          <w:rFonts w:ascii="Cambria" w:hAnsi="Cambria"/>
          <w:noProof w:val="0"/>
          <w:sz w:val="22"/>
          <w:szCs w:val="22"/>
          <w:lang w:val="en-US"/>
        </w:rPr>
      </w:pPr>
    </w:p>
    <w:p w:rsidR="00855633" w:rsidRPr="001D0E39" w:rsidRDefault="00855633" w:rsidP="001A14A5">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Besides, Point b Clause 1 Article 34 of the Electricity Law stipulates that one of the cases exempted from electricity licenses is: Organizations or individuals engaged in electricity generation with the installation capacity below the level prescribed by the Ministry of Industry and Trade.</w:t>
      </w:r>
    </w:p>
    <w:p w:rsidR="00641681" w:rsidRPr="001D0E39" w:rsidRDefault="00641681" w:rsidP="001A14A5">
      <w:pPr>
        <w:pStyle w:val="ListParagraph"/>
        <w:jc w:val="both"/>
        <w:rPr>
          <w:rFonts w:ascii="Cambria" w:hAnsi="Cambria"/>
          <w:noProof w:val="0"/>
          <w:sz w:val="22"/>
          <w:szCs w:val="22"/>
          <w:lang w:val="en-US"/>
        </w:rPr>
      </w:pPr>
    </w:p>
    <w:p w:rsidR="00641681" w:rsidRPr="001D0E39" w:rsidRDefault="00641681" w:rsidP="001A14A5">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 xml:space="preserve">Specifically, Clause 2 Article 3 Circular No. 21/2020/TT-BCT dated September 9, 2020 of the Minister of Industry and Trade stipulating procedures for issuance of </w:t>
      </w:r>
      <w:r w:rsidRPr="001D0E39">
        <w:rPr>
          <w:rFonts w:ascii="Cambria" w:hAnsi="Cambria"/>
          <w:noProof w:val="0"/>
          <w:sz w:val="22"/>
          <w:szCs w:val="22"/>
          <w:lang w:val="en-US"/>
        </w:rPr>
        <w:lastRenderedPageBreak/>
        <w:t xml:space="preserve">electricity licenses, in the case “Generation of electricity with an installed capacity of not exceeding 01 MW for selling to any other entities” exempted from electricity licenses. </w:t>
      </w:r>
    </w:p>
    <w:p w:rsidR="00641681" w:rsidRPr="001D0E39" w:rsidRDefault="00641681" w:rsidP="001A14A5">
      <w:pPr>
        <w:pStyle w:val="ListParagraph"/>
        <w:jc w:val="both"/>
        <w:rPr>
          <w:rFonts w:ascii="Cambria" w:hAnsi="Cambria"/>
          <w:noProof w:val="0"/>
          <w:sz w:val="22"/>
          <w:szCs w:val="22"/>
          <w:lang w:val="en-US"/>
        </w:rPr>
      </w:pPr>
    </w:p>
    <w:p w:rsidR="00641681" w:rsidRPr="001D0E39" w:rsidRDefault="00641681" w:rsidP="001A14A5">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In addition, the document also quoted in Clause 2 Article 34 of the Law</w:t>
      </w:r>
      <w:r w:rsidR="001D0E39">
        <w:rPr>
          <w:rFonts w:ascii="Cambria" w:hAnsi="Cambria"/>
          <w:noProof w:val="0"/>
          <w:sz w:val="22"/>
          <w:szCs w:val="22"/>
          <w:lang w:val="en-US"/>
        </w:rPr>
        <w:t xml:space="preserve"> on </w:t>
      </w:r>
      <w:r w:rsidR="001D0E39" w:rsidRPr="001037E7">
        <w:rPr>
          <w:rFonts w:ascii="Cambria" w:hAnsi="Cambria"/>
          <w:noProof w:val="0"/>
          <w:sz w:val="22"/>
          <w:szCs w:val="22"/>
          <w:lang w:val="en-US"/>
        </w:rPr>
        <w:t>Electricity</w:t>
      </w:r>
      <w:r w:rsidRPr="001D0E39">
        <w:rPr>
          <w:rFonts w:ascii="Cambria" w:hAnsi="Cambria"/>
          <w:noProof w:val="0"/>
          <w:sz w:val="22"/>
          <w:szCs w:val="22"/>
          <w:lang w:val="en-US"/>
        </w:rPr>
        <w:t>, which stipulates: “Organizations and individuals exempt from electricity activity licenses under the provisions of Clause 1 of this Article must comply with the procedures and regulations on operation management, regulations on electricity prices, technical conditions and safety prescribed in this Law”</w:t>
      </w:r>
      <w:r w:rsidR="00DA0796" w:rsidRPr="001D0E39">
        <w:rPr>
          <w:rFonts w:ascii="Cambria" w:hAnsi="Cambria"/>
          <w:noProof w:val="0"/>
          <w:sz w:val="22"/>
          <w:szCs w:val="22"/>
          <w:lang w:val="en-US"/>
        </w:rPr>
        <w:t>.</w:t>
      </w:r>
      <w:r w:rsidRPr="001D0E39">
        <w:rPr>
          <w:rFonts w:ascii="Cambria" w:hAnsi="Cambria"/>
          <w:noProof w:val="0"/>
          <w:sz w:val="22"/>
          <w:szCs w:val="22"/>
          <w:lang w:val="en-US"/>
        </w:rPr>
        <w:t xml:space="preserve"> </w:t>
      </w:r>
      <w:r w:rsidR="00DA0796" w:rsidRPr="001D0E39">
        <w:rPr>
          <w:rFonts w:ascii="Cambria" w:hAnsi="Cambria"/>
          <w:noProof w:val="0"/>
          <w:sz w:val="22"/>
          <w:szCs w:val="22"/>
          <w:lang w:val="en-US"/>
        </w:rPr>
        <w:t>The above processes and regulations have all been checked and accepted by EVN representatives before putting the rooftop solar power system into operation.</w:t>
      </w:r>
    </w:p>
    <w:p w:rsidR="00DA0796" w:rsidRPr="001D0E39" w:rsidRDefault="00DA0796" w:rsidP="001A14A5">
      <w:pPr>
        <w:pStyle w:val="ListParagraph"/>
        <w:jc w:val="both"/>
        <w:rPr>
          <w:rFonts w:ascii="Cambria" w:hAnsi="Cambria"/>
          <w:noProof w:val="0"/>
          <w:sz w:val="22"/>
          <w:szCs w:val="22"/>
          <w:lang w:val="en-US"/>
        </w:rPr>
      </w:pPr>
    </w:p>
    <w:p w:rsidR="00DA0796" w:rsidRPr="001D0E39" w:rsidRDefault="00DA0796" w:rsidP="001A14A5">
      <w:pPr>
        <w:pStyle w:val="ListParagraph"/>
        <w:jc w:val="both"/>
        <w:rPr>
          <w:rFonts w:ascii="Cambria" w:hAnsi="Cambria"/>
          <w:noProof w:val="0"/>
          <w:sz w:val="22"/>
          <w:szCs w:val="22"/>
          <w:lang w:val="en-US"/>
        </w:rPr>
      </w:pPr>
      <w:r w:rsidRPr="001D0E39">
        <w:rPr>
          <w:rFonts w:ascii="Cambria" w:hAnsi="Cambria"/>
          <w:noProof w:val="0"/>
          <w:sz w:val="22"/>
          <w:szCs w:val="22"/>
          <w:lang w:val="en-US"/>
        </w:rPr>
        <w:t xml:space="preserve">In conclusion, according to the provisions of the </w:t>
      </w:r>
      <w:r w:rsidR="001D0E39">
        <w:rPr>
          <w:rFonts w:ascii="Cambria" w:hAnsi="Cambria"/>
          <w:noProof w:val="0"/>
          <w:sz w:val="22"/>
          <w:szCs w:val="22"/>
          <w:lang w:val="en-US"/>
        </w:rPr>
        <w:t>L</w:t>
      </w:r>
      <w:r w:rsidRPr="001D0E39">
        <w:rPr>
          <w:rFonts w:ascii="Cambria" w:hAnsi="Cambria"/>
          <w:noProof w:val="0"/>
          <w:sz w:val="22"/>
          <w:szCs w:val="22"/>
          <w:lang w:val="en-US"/>
        </w:rPr>
        <w:t xml:space="preserve">aw on </w:t>
      </w:r>
      <w:r w:rsidR="001D0E39">
        <w:rPr>
          <w:rFonts w:ascii="Cambria" w:hAnsi="Cambria"/>
          <w:noProof w:val="0"/>
          <w:sz w:val="22"/>
          <w:szCs w:val="22"/>
          <w:lang w:val="en-US"/>
        </w:rPr>
        <w:t>I</w:t>
      </w:r>
      <w:r w:rsidRPr="001D0E39">
        <w:rPr>
          <w:rFonts w:ascii="Cambria" w:hAnsi="Cambria"/>
          <w:noProof w:val="0"/>
          <w:sz w:val="22"/>
          <w:szCs w:val="22"/>
          <w:lang w:val="en-US"/>
        </w:rPr>
        <w:t>nves</w:t>
      </w:r>
      <w:r w:rsidR="001A14A5" w:rsidRPr="001D0E39">
        <w:rPr>
          <w:rFonts w:ascii="Cambria" w:hAnsi="Cambria"/>
          <w:noProof w:val="0"/>
          <w:sz w:val="22"/>
          <w:szCs w:val="22"/>
          <w:lang w:val="en-US"/>
        </w:rPr>
        <w:t xml:space="preserve">tment and </w:t>
      </w:r>
      <w:r w:rsidR="001D0E39">
        <w:rPr>
          <w:rFonts w:ascii="Cambria" w:hAnsi="Cambria"/>
          <w:noProof w:val="0"/>
          <w:sz w:val="22"/>
          <w:szCs w:val="22"/>
          <w:lang w:val="en-US"/>
        </w:rPr>
        <w:t>the L</w:t>
      </w:r>
      <w:r w:rsidR="001A14A5" w:rsidRPr="001D0E39">
        <w:rPr>
          <w:rFonts w:ascii="Cambria" w:hAnsi="Cambria"/>
          <w:noProof w:val="0"/>
          <w:sz w:val="22"/>
          <w:szCs w:val="22"/>
          <w:lang w:val="en-US"/>
        </w:rPr>
        <w:t>aw</w:t>
      </w:r>
      <w:r w:rsidR="001D0E39">
        <w:rPr>
          <w:rFonts w:ascii="Cambria" w:hAnsi="Cambria"/>
          <w:noProof w:val="0"/>
          <w:sz w:val="22"/>
          <w:szCs w:val="22"/>
          <w:lang w:val="en-US"/>
        </w:rPr>
        <w:t xml:space="preserve"> on </w:t>
      </w:r>
      <w:r w:rsidR="001D0E39" w:rsidRPr="001037E7">
        <w:rPr>
          <w:rFonts w:ascii="Cambria" w:hAnsi="Cambria"/>
          <w:noProof w:val="0"/>
          <w:sz w:val="22"/>
          <w:szCs w:val="22"/>
          <w:lang w:val="en-US"/>
        </w:rPr>
        <w:t>Electricity</w:t>
      </w:r>
      <w:r w:rsidRPr="001D0E39">
        <w:rPr>
          <w:rFonts w:ascii="Cambria" w:hAnsi="Cambria"/>
          <w:noProof w:val="0"/>
          <w:sz w:val="22"/>
          <w:szCs w:val="22"/>
          <w:lang w:val="en-US"/>
        </w:rPr>
        <w:t>, organizations and individuals having power generation with an installed capacity of not exceeding 01 MW in general and organi</w:t>
      </w:r>
      <w:r w:rsidR="001A14A5" w:rsidRPr="001D0E39">
        <w:rPr>
          <w:rFonts w:ascii="Cambria" w:hAnsi="Cambria"/>
          <w:noProof w:val="0"/>
          <w:sz w:val="22"/>
          <w:szCs w:val="22"/>
          <w:lang w:val="en-US"/>
        </w:rPr>
        <w:t>zations and individuals having r</w:t>
      </w:r>
      <w:r w:rsidRPr="001D0E39">
        <w:rPr>
          <w:rFonts w:ascii="Cambria" w:hAnsi="Cambria"/>
          <w:noProof w:val="0"/>
          <w:sz w:val="22"/>
          <w:szCs w:val="22"/>
          <w:lang w:val="en-US"/>
        </w:rPr>
        <w:t>ooftop solar power  with an installed capacity of up to 01 MW in particular must comply with the conditions for electricity generation and be e</w:t>
      </w:r>
      <w:r w:rsidR="00A03296" w:rsidRPr="001D0E39">
        <w:rPr>
          <w:rFonts w:ascii="Cambria" w:hAnsi="Cambria"/>
          <w:noProof w:val="0"/>
          <w:sz w:val="22"/>
          <w:szCs w:val="22"/>
          <w:lang w:val="en-US"/>
        </w:rPr>
        <w:t>xempted from electricity licenses</w:t>
      </w:r>
      <w:r w:rsidRPr="001D0E39">
        <w:rPr>
          <w:rFonts w:ascii="Cambria" w:hAnsi="Cambria"/>
          <w:noProof w:val="0"/>
          <w:sz w:val="22"/>
          <w:szCs w:val="22"/>
          <w:lang w:val="en-US"/>
        </w:rPr>
        <w:t>.</w:t>
      </w:r>
    </w:p>
    <w:p w:rsidR="0004480A" w:rsidRPr="001D0E39" w:rsidRDefault="0004480A" w:rsidP="001A14A5">
      <w:pPr>
        <w:pStyle w:val="ListParagraph"/>
        <w:jc w:val="both"/>
        <w:rPr>
          <w:rFonts w:ascii="Cambria" w:hAnsi="Cambria"/>
          <w:noProof w:val="0"/>
          <w:sz w:val="22"/>
          <w:szCs w:val="22"/>
          <w:lang w:val="en-US"/>
        </w:rPr>
      </w:pPr>
    </w:p>
    <w:p w:rsidR="0004480A" w:rsidRPr="001D0E39" w:rsidRDefault="0004480A" w:rsidP="0004480A">
      <w:pPr>
        <w:pStyle w:val="ListParagraph"/>
        <w:numPr>
          <w:ilvl w:val="0"/>
          <w:numId w:val="1"/>
        </w:numPr>
        <w:ind w:hanging="720"/>
        <w:jc w:val="both"/>
        <w:rPr>
          <w:rFonts w:ascii="Cambria" w:hAnsi="Cambria"/>
          <w:b/>
          <w:noProof w:val="0"/>
          <w:sz w:val="22"/>
          <w:szCs w:val="22"/>
          <w:lang w:val="en-US"/>
        </w:rPr>
      </w:pPr>
      <w:r w:rsidRPr="001D0E39">
        <w:rPr>
          <w:rFonts w:ascii="Cambria" w:hAnsi="Cambria"/>
          <w:b/>
          <w:noProof w:val="0"/>
          <w:sz w:val="22"/>
          <w:szCs w:val="22"/>
          <w:lang w:val="en-US"/>
        </w:rPr>
        <w:t>Draft Decision on piloting the direct trading mechanism between renewable energy genera</w:t>
      </w:r>
      <w:r w:rsidR="00E9555F" w:rsidRPr="001D0E39">
        <w:rPr>
          <w:rFonts w:ascii="Cambria" w:hAnsi="Cambria"/>
          <w:b/>
          <w:noProof w:val="0"/>
          <w:sz w:val="22"/>
          <w:szCs w:val="22"/>
          <w:lang w:val="en-US"/>
        </w:rPr>
        <w:t>tors and large electricity clients</w:t>
      </w:r>
    </w:p>
    <w:p w:rsidR="0004480A" w:rsidRPr="001D0E39" w:rsidRDefault="0004480A" w:rsidP="0004480A">
      <w:pPr>
        <w:pStyle w:val="ListParagraph"/>
        <w:jc w:val="both"/>
        <w:rPr>
          <w:rFonts w:ascii="Cambria" w:hAnsi="Cambria"/>
          <w:b/>
          <w:noProof w:val="0"/>
          <w:sz w:val="22"/>
          <w:szCs w:val="22"/>
          <w:lang w:val="en-US"/>
        </w:rPr>
      </w:pPr>
    </w:p>
    <w:p w:rsidR="0004480A" w:rsidRPr="001D0E39" w:rsidRDefault="0004480A" w:rsidP="0004480A">
      <w:pPr>
        <w:pStyle w:val="ListParagraph"/>
        <w:jc w:val="both"/>
        <w:rPr>
          <w:rFonts w:ascii="Cambria" w:hAnsi="Cambria"/>
          <w:noProof w:val="0"/>
          <w:sz w:val="22"/>
          <w:szCs w:val="22"/>
          <w:lang w:val="en-US"/>
        </w:rPr>
      </w:pPr>
      <w:r w:rsidRPr="001D0E39">
        <w:rPr>
          <w:rFonts w:ascii="Cambria" w:hAnsi="Cambria"/>
          <w:noProof w:val="0"/>
          <w:sz w:val="22"/>
          <w:szCs w:val="22"/>
          <w:lang w:val="en-US"/>
        </w:rPr>
        <w:t>The Ministry of Industry and Trade is collecting comments with the draft Decision of the Prime Minister stipula</w:t>
      </w:r>
      <w:r w:rsidR="00630958" w:rsidRPr="001D0E39">
        <w:rPr>
          <w:rFonts w:ascii="Cambria" w:hAnsi="Cambria"/>
          <w:noProof w:val="0"/>
          <w:sz w:val="22"/>
          <w:szCs w:val="22"/>
          <w:lang w:val="en-US"/>
        </w:rPr>
        <w:t>ting the pilot mechanism direct trading</w:t>
      </w:r>
      <w:r w:rsidRPr="001D0E39">
        <w:rPr>
          <w:rFonts w:ascii="Cambria" w:hAnsi="Cambria"/>
          <w:noProof w:val="0"/>
          <w:sz w:val="22"/>
          <w:szCs w:val="22"/>
          <w:lang w:val="en-US"/>
        </w:rPr>
        <w:t xml:space="preserve"> between renewable energy ge</w:t>
      </w:r>
      <w:r w:rsidR="00E9555F" w:rsidRPr="001D0E39">
        <w:rPr>
          <w:rFonts w:ascii="Cambria" w:hAnsi="Cambria"/>
          <w:noProof w:val="0"/>
          <w:sz w:val="22"/>
          <w:szCs w:val="22"/>
          <w:lang w:val="en-US"/>
        </w:rPr>
        <w:t>nerators and large electricity clients</w:t>
      </w:r>
      <w:r w:rsidRPr="001D0E39">
        <w:rPr>
          <w:rFonts w:ascii="Cambria" w:hAnsi="Cambria"/>
          <w:noProof w:val="0"/>
          <w:sz w:val="22"/>
          <w:szCs w:val="22"/>
          <w:lang w:val="en-US"/>
        </w:rPr>
        <w:t>. . The draft has the following notable points:</w:t>
      </w:r>
    </w:p>
    <w:p w:rsidR="00630958" w:rsidRPr="001D0E39" w:rsidRDefault="00630958" w:rsidP="0004480A">
      <w:pPr>
        <w:pStyle w:val="ListParagraph"/>
        <w:jc w:val="both"/>
        <w:rPr>
          <w:rFonts w:ascii="Cambria" w:hAnsi="Cambria"/>
          <w:noProof w:val="0"/>
          <w:sz w:val="22"/>
          <w:szCs w:val="22"/>
          <w:lang w:val="en-US"/>
        </w:rPr>
      </w:pPr>
    </w:p>
    <w:p w:rsidR="00630958" w:rsidRPr="001D0E39" w:rsidRDefault="00630958" w:rsidP="0004480A">
      <w:pPr>
        <w:pStyle w:val="ListParagraph"/>
        <w:jc w:val="both"/>
        <w:rPr>
          <w:rFonts w:ascii="Cambria" w:hAnsi="Cambria"/>
          <w:noProof w:val="0"/>
          <w:sz w:val="22"/>
          <w:szCs w:val="22"/>
          <w:lang w:val="en-US"/>
        </w:rPr>
      </w:pPr>
      <w:r w:rsidRPr="001D0E39">
        <w:rPr>
          <w:rFonts w:ascii="Cambria" w:hAnsi="Cambria"/>
          <w:noProof w:val="0"/>
          <w:sz w:val="22"/>
          <w:szCs w:val="22"/>
          <w:lang w:val="en-US"/>
        </w:rPr>
        <w:t>The regulation scope of this draft Decision is to pilot the direct trading mechanism between renewable energy generating units and large electricity users participating in the pilot. The total capacity of power plants participating in the pilot program of direct purchase and sale of electricity must not exceed 1,000 MW.</w:t>
      </w:r>
      <w:r w:rsidR="003D0C7A" w:rsidRPr="001D0E39">
        <w:rPr>
          <w:rFonts w:ascii="Cambria" w:hAnsi="Cambria"/>
          <w:noProof w:val="0"/>
          <w:sz w:val="22"/>
          <w:szCs w:val="22"/>
          <w:lang w:val="en-US"/>
        </w:rPr>
        <w:t xml:space="preserve"> </w:t>
      </w:r>
    </w:p>
    <w:p w:rsidR="003D0C7A" w:rsidRPr="001D0E39" w:rsidRDefault="003D0C7A" w:rsidP="0004480A">
      <w:pPr>
        <w:pStyle w:val="ListParagraph"/>
        <w:jc w:val="both"/>
        <w:rPr>
          <w:rFonts w:ascii="Cambria" w:hAnsi="Cambria"/>
          <w:noProof w:val="0"/>
          <w:sz w:val="22"/>
          <w:szCs w:val="22"/>
          <w:lang w:val="en-US"/>
        </w:rPr>
      </w:pPr>
    </w:p>
    <w:p w:rsidR="003D0C7A" w:rsidRPr="001D0E39" w:rsidRDefault="003D0C7A" w:rsidP="0004480A">
      <w:pPr>
        <w:pStyle w:val="ListParagraph"/>
        <w:jc w:val="both"/>
        <w:rPr>
          <w:rFonts w:ascii="Cambria" w:hAnsi="Cambria"/>
          <w:noProof w:val="0"/>
          <w:sz w:val="22"/>
          <w:szCs w:val="22"/>
          <w:lang w:val="en-US"/>
        </w:rPr>
      </w:pPr>
      <w:r w:rsidRPr="001D0E39">
        <w:rPr>
          <w:rFonts w:ascii="Cambria" w:hAnsi="Cambria"/>
          <w:noProof w:val="0"/>
          <w:sz w:val="22"/>
          <w:szCs w:val="22"/>
          <w:lang w:val="en-US"/>
        </w:rPr>
        <w:t>The Chapter II of the Draft deals with the Transactions in the pilot direct electricity trading including:</w:t>
      </w:r>
    </w:p>
    <w:p w:rsidR="0004480A" w:rsidRPr="001D0E39" w:rsidRDefault="0004480A" w:rsidP="0004480A">
      <w:pPr>
        <w:jc w:val="both"/>
        <w:rPr>
          <w:rFonts w:ascii="Cambria" w:hAnsi="Cambria"/>
          <w:noProof w:val="0"/>
          <w:sz w:val="22"/>
          <w:szCs w:val="22"/>
          <w:lang w:val="en-US"/>
        </w:rPr>
      </w:pPr>
    </w:p>
    <w:p w:rsidR="00A838CA" w:rsidRPr="001D0E39" w:rsidRDefault="00A838CA" w:rsidP="005F5A3D">
      <w:pPr>
        <w:pStyle w:val="ListParagraph"/>
        <w:numPr>
          <w:ilvl w:val="0"/>
          <w:numId w:val="12"/>
        </w:numPr>
        <w:jc w:val="both"/>
        <w:rPr>
          <w:rFonts w:ascii="Cambria" w:hAnsi="Cambria"/>
          <w:noProof w:val="0"/>
          <w:sz w:val="22"/>
          <w:szCs w:val="22"/>
          <w:lang w:val="en-US"/>
        </w:rPr>
      </w:pPr>
      <w:r w:rsidRPr="001D0E39">
        <w:rPr>
          <w:rFonts w:ascii="Cambria" w:hAnsi="Cambria"/>
          <w:noProof w:val="0"/>
          <w:sz w:val="22"/>
          <w:szCs w:val="22"/>
          <w:lang w:val="en-US"/>
        </w:rPr>
        <w:t xml:space="preserve">Bilateral contract between the Customer and the electricity Generator. </w:t>
      </w:r>
      <w:r w:rsidR="00E9555F" w:rsidRPr="001D0E39">
        <w:rPr>
          <w:rFonts w:ascii="Cambria" w:hAnsi="Cambria"/>
          <w:noProof w:val="0"/>
          <w:sz w:val="22"/>
          <w:szCs w:val="22"/>
          <w:lang w:val="en-US"/>
        </w:rPr>
        <w:t>The electricity Generator and the Client directly negotiate and sign a bilateral cont</w:t>
      </w:r>
      <w:r w:rsidR="005F5A3D" w:rsidRPr="001D0E39">
        <w:rPr>
          <w:rFonts w:ascii="Cambria" w:hAnsi="Cambria"/>
          <w:noProof w:val="0"/>
          <w:sz w:val="22"/>
          <w:szCs w:val="22"/>
          <w:lang w:val="en-US"/>
        </w:rPr>
        <w:t>ract in the form of a forward</w:t>
      </w:r>
      <w:r w:rsidR="00E9555F" w:rsidRPr="001D0E39">
        <w:rPr>
          <w:rFonts w:ascii="Cambria" w:hAnsi="Cambria"/>
          <w:noProof w:val="0"/>
          <w:sz w:val="22"/>
          <w:szCs w:val="22"/>
          <w:lang w:val="en-US"/>
        </w:rPr>
        <w:t xml:space="preserve"> contract. The two parties also negotiate the term of the contract, the contract price and the committed power capacity in the contract for future trading cycles as agreed by the two parties. </w:t>
      </w:r>
      <w:r w:rsidR="005F5A3D" w:rsidRPr="001D0E39">
        <w:rPr>
          <w:rFonts w:ascii="Cambria" w:hAnsi="Cambria"/>
          <w:noProof w:val="0"/>
          <w:sz w:val="22"/>
          <w:szCs w:val="22"/>
          <w:lang w:val="en-US"/>
        </w:rPr>
        <w:t>The main terms of the forward contract are specified in Appendix III issued together with the Draft Decision.</w:t>
      </w:r>
    </w:p>
    <w:p w:rsidR="005F5A3D" w:rsidRPr="001D0E39" w:rsidRDefault="005F5A3D" w:rsidP="005F5A3D">
      <w:pPr>
        <w:jc w:val="both"/>
        <w:rPr>
          <w:rFonts w:ascii="Cambria" w:hAnsi="Cambria"/>
          <w:noProof w:val="0"/>
          <w:sz w:val="22"/>
          <w:szCs w:val="22"/>
          <w:lang w:val="en-US"/>
        </w:rPr>
      </w:pPr>
    </w:p>
    <w:p w:rsidR="005F5A3D" w:rsidRPr="001D0E39" w:rsidRDefault="005F5A3D" w:rsidP="00904C2B">
      <w:pPr>
        <w:pStyle w:val="ListParagraph"/>
        <w:numPr>
          <w:ilvl w:val="0"/>
          <w:numId w:val="12"/>
        </w:numPr>
        <w:jc w:val="both"/>
        <w:rPr>
          <w:rFonts w:ascii="Cambria" w:hAnsi="Cambria"/>
          <w:noProof w:val="0"/>
          <w:sz w:val="22"/>
          <w:szCs w:val="22"/>
          <w:lang w:val="en-US"/>
        </w:rPr>
      </w:pPr>
      <w:r w:rsidRPr="001D0E39">
        <w:rPr>
          <w:rFonts w:ascii="Cambria" w:hAnsi="Cambria"/>
          <w:noProof w:val="0"/>
          <w:sz w:val="22"/>
          <w:szCs w:val="22"/>
          <w:lang w:val="en-US"/>
        </w:rPr>
        <w:t xml:space="preserve">Trading of electricity by the electricity generators through the spot electricity market. </w:t>
      </w:r>
      <w:r w:rsidR="00BA10CC" w:rsidRPr="001D0E39">
        <w:rPr>
          <w:rFonts w:ascii="Cambria" w:hAnsi="Cambria"/>
          <w:noProof w:val="0"/>
          <w:sz w:val="22"/>
          <w:szCs w:val="22"/>
          <w:lang w:val="en-US"/>
        </w:rPr>
        <w:t>The electricity G</w:t>
      </w:r>
      <w:r w:rsidR="00904C2B" w:rsidRPr="001D0E39">
        <w:rPr>
          <w:rFonts w:ascii="Cambria" w:hAnsi="Cambria"/>
          <w:noProof w:val="0"/>
          <w:sz w:val="22"/>
          <w:szCs w:val="22"/>
          <w:lang w:val="en-US"/>
        </w:rPr>
        <w:t>enerator signs a contract with the Vietnam Electricity Group according to the provisions in Appendix II issued with the draft Decision to participate in the competitive wholesale electricity market and sell all the electricity of the project electricity to the spot electricity market in the competitive wholesale electricity market.</w:t>
      </w:r>
    </w:p>
    <w:p w:rsidR="00904C2B" w:rsidRPr="001D0E39" w:rsidRDefault="00904C2B" w:rsidP="00904C2B">
      <w:pPr>
        <w:pStyle w:val="ListParagraph"/>
        <w:rPr>
          <w:rFonts w:ascii="Cambria" w:hAnsi="Cambria"/>
          <w:noProof w:val="0"/>
          <w:sz w:val="22"/>
          <w:szCs w:val="22"/>
          <w:lang w:val="en-US"/>
        </w:rPr>
      </w:pPr>
    </w:p>
    <w:p w:rsidR="00904C2B" w:rsidRPr="001D0E39" w:rsidRDefault="00904C2B" w:rsidP="00904C2B">
      <w:pPr>
        <w:pStyle w:val="ListParagraph"/>
        <w:ind w:left="1440"/>
        <w:jc w:val="both"/>
        <w:rPr>
          <w:rFonts w:ascii="Cambria" w:hAnsi="Cambria"/>
          <w:noProof w:val="0"/>
          <w:sz w:val="22"/>
          <w:szCs w:val="22"/>
          <w:lang w:val="en-US"/>
        </w:rPr>
      </w:pPr>
      <w:r w:rsidRPr="001D0E39">
        <w:rPr>
          <w:rFonts w:ascii="Cambria" w:hAnsi="Cambria"/>
          <w:noProof w:val="0"/>
          <w:sz w:val="22"/>
          <w:szCs w:val="22"/>
          <w:lang w:val="en-US"/>
        </w:rPr>
        <w:t>The electrici</w:t>
      </w:r>
      <w:r w:rsidR="00BA10CC" w:rsidRPr="001D0E39">
        <w:rPr>
          <w:rFonts w:ascii="Cambria" w:hAnsi="Cambria"/>
          <w:noProof w:val="0"/>
          <w:sz w:val="22"/>
          <w:szCs w:val="22"/>
          <w:lang w:val="en-US"/>
        </w:rPr>
        <w:t>ty G</w:t>
      </w:r>
      <w:r w:rsidRPr="001D0E39">
        <w:rPr>
          <w:rFonts w:ascii="Cambria" w:hAnsi="Cambria"/>
          <w:noProof w:val="0"/>
          <w:sz w:val="22"/>
          <w:szCs w:val="22"/>
          <w:lang w:val="en-US"/>
        </w:rPr>
        <w:t xml:space="preserve">enerator is responsible for: </w:t>
      </w:r>
    </w:p>
    <w:p w:rsidR="00904C2B" w:rsidRPr="001D0E39" w:rsidRDefault="00904C2B" w:rsidP="00904C2B">
      <w:pPr>
        <w:pStyle w:val="ListParagraph"/>
        <w:ind w:left="1440"/>
        <w:jc w:val="both"/>
        <w:rPr>
          <w:rFonts w:ascii="Cambria" w:hAnsi="Cambria"/>
          <w:noProof w:val="0"/>
          <w:sz w:val="22"/>
          <w:szCs w:val="22"/>
          <w:lang w:val="en-US"/>
        </w:rPr>
      </w:pPr>
    </w:p>
    <w:p w:rsidR="00904C2B" w:rsidRPr="001D0E39" w:rsidRDefault="00904C2B" w:rsidP="00904C2B">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 xml:space="preserve">Register to participate in the competitive wholesale electricity market; </w:t>
      </w:r>
    </w:p>
    <w:p w:rsidR="00904C2B" w:rsidRPr="001D0E39" w:rsidRDefault="00904C2B" w:rsidP="00904C2B">
      <w:pPr>
        <w:jc w:val="both"/>
        <w:rPr>
          <w:rFonts w:ascii="Cambria" w:hAnsi="Cambria"/>
          <w:noProof w:val="0"/>
          <w:sz w:val="22"/>
          <w:szCs w:val="22"/>
          <w:lang w:val="en-US"/>
        </w:rPr>
      </w:pPr>
    </w:p>
    <w:p w:rsidR="00904C2B" w:rsidRPr="001D0E39" w:rsidRDefault="00904C2B" w:rsidP="00904C2B">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Send the announcement of the capacity of the power plant to the electricity system and market operator.</w:t>
      </w:r>
    </w:p>
    <w:p w:rsidR="00BA10CC" w:rsidRPr="001D0E39" w:rsidRDefault="00BA10CC" w:rsidP="00BA10CC">
      <w:pPr>
        <w:pStyle w:val="ListParagraph"/>
        <w:rPr>
          <w:rFonts w:ascii="Cambria" w:hAnsi="Cambria"/>
          <w:noProof w:val="0"/>
          <w:sz w:val="22"/>
          <w:szCs w:val="22"/>
          <w:lang w:val="en-US"/>
        </w:rPr>
      </w:pPr>
    </w:p>
    <w:p w:rsidR="00BA10CC" w:rsidRPr="001D0E39" w:rsidRDefault="00BA10CC" w:rsidP="00BA10CC">
      <w:pPr>
        <w:ind w:left="1440"/>
        <w:jc w:val="both"/>
        <w:rPr>
          <w:rFonts w:ascii="Cambria" w:hAnsi="Cambria"/>
          <w:noProof w:val="0"/>
          <w:sz w:val="22"/>
          <w:szCs w:val="22"/>
          <w:lang w:val="en-US"/>
        </w:rPr>
      </w:pPr>
      <w:r w:rsidRPr="001D0E39">
        <w:rPr>
          <w:rFonts w:ascii="Cambria" w:hAnsi="Cambria"/>
          <w:noProof w:val="0"/>
          <w:sz w:val="22"/>
          <w:szCs w:val="22"/>
          <w:lang w:val="en-US"/>
        </w:rPr>
        <w:t xml:space="preserve">The electricity system and market Operator is responsible for: </w:t>
      </w:r>
    </w:p>
    <w:p w:rsidR="00BA10CC" w:rsidRPr="001D0E39" w:rsidRDefault="00BA10CC" w:rsidP="00BA10CC">
      <w:pPr>
        <w:ind w:left="1440"/>
        <w:jc w:val="both"/>
        <w:rPr>
          <w:rFonts w:ascii="Cambria" w:hAnsi="Cambria"/>
          <w:noProof w:val="0"/>
          <w:sz w:val="22"/>
          <w:szCs w:val="22"/>
          <w:lang w:val="en-US"/>
        </w:rPr>
      </w:pPr>
    </w:p>
    <w:p w:rsidR="00BA10CC" w:rsidRPr="001D0E39" w:rsidRDefault="00BA10CC" w:rsidP="00BA10CC">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Compare, contrast the forecasted capacity value from other independent forecast sources, and perform mobilization scheduling to prioritize exploiting the full capacity and power of the above power plant similar to the power source renewable energy operation;</w:t>
      </w:r>
    </w:p>
    <w:p w:rsidR="00BA10CC" w:rsidRPr="001D0E39" w:rsidRDefault="00BA10CC" w:rsidP="00BA10CC">
      <w:pPr>
        <w:jc w:val="both"/>
        <w:rPr>
          <w:rFonts w:ascii="Cambria" w:hAnsi="Cambria"/>
          <w:noProof w:val="0"/>
          <w:sz w:val="22"/>
          <w:szCs w:val="22"/>
          <w:lang w:val="en-US"/>
        </w:rPr>
      </w:pPr>
    </w:p>
    <w:p w:rsidR="00BA10CC" w:rsidRPr="001D0E39" w:rsidRDefault="00BA10CC" w:rsidP="00BA10CC">
      <w:pPr>
        <w:pStyle w:val="ListParagraph"/>
        <w:numPr>
          <w:ilvl w:val="0"/>
          <w:numId w:val="11"/>
        </w:numPr>
        <w:jc w:val="both"/>
        <w:rPr>
          <w:rFonts w:ascii="Cambria" w:hAnsi="Cambria"/>
          <w:noProof w:val="0"/>
          <w:sz w:val="22"/>
          <w:szCs w:val="22"/>
          <w:lang w:val="en-US"/>
        </w:rPr>
      </w:pPr>
      <w:r w:rsidRPr="001D0E39">
        <w:rPr>
          <w:rFonts w:ascii="Cambria" w:hAnsi="Cambria"/>
          <w:noProof w:val="0"/>
          <w:sz w:val="22"/>
          <w:szCs w:val="22"/>
          <w:lang w:val="en-US"/>
        </w:rPr>
        <w:t>Calculation of revenue of the electricity Generator in the spot electricity market during the billing cycle.</w:t>
      </w:r>
    </w:p>
    <w:p w:rsidR="00BA10CC" w:rsidRPr="001D0E39" w:rsidRDefault="00BA10CC" w:rsidP="00BA10CC">
      <w:pPr>
        <w:pStyle w:val="ListParagraph"/>
        <w:rPr>
          <w:rFonts w:ascii="Cambria" w:hAnsi="Cambria"/>
          <w:noProof w:val="0"/>
          <w:sz w:val="22"/>
          <w:szCs w:val="22"/>
          <w:lang w:val="en-US"/>
        </w:rPr>
      </w:pPr>
    </w:p>
    <w:p w:rsidR="00BA10CC" w:rsidRPr="001D0E39" w:rsidRDefault="00BA10CC" w:rsidP="0094145F">
      <w:pPr>
        <w:pStyle w:val="ListParagraph"/>
        <w:numPr>
          <w:ilvl w:val="0"/>
          <w:numId w:val="12"/>
        </w:numPr>
        <w:jc w:val="both"/>
        <w:rPr>
          <w:rFonts w:ascii="Cambria" w:hAnsi="Cambria"/>
          <w:noProof w:val="0"/>
          <w:sz w:val="22"/>
          <w:szCs w:val="22"/>
          <w:lang w:val="en-US"/>
        </w:rPr>
      </w:pPr>
      <w:r w:rsidRPr="001D0E39">
        <w:rPr>
          <w:rFonts w:ascii="Cambria" w:hAnsi="Cambria"/>
          <w:noProof w:val="0"/>
          <w:sz w:val="22"/>
          <w:szCs w:val="22"/>
          <w:lang w:val="en-US"/>
        </w:rPr>
        <w:t xml:space="preserve">Trading of Electricity and payment between the </w:t>
      </w:r>
      <w:r w:rsidR="0094145F" w:rsidRPr="001D0E39">
        <w:rPr>
          <w:rFonts w:ascii="Cambria" w:hAnsi="Cambria"/>
          <w:noProof w:val="0"/>
          <w:sz w:val="22"/>
          <w:szCs w:val="22"/>
          <w:lang w:val="en-US"/>
        </w:rPr>
        <w:t>Client</w:t>
      </w:r>
      <w:r w:rsidRPr="001D0E39">
        <w:rPr>
          <w:rFonts w:ascii="Cambria" w:hAnsi="Cambria"/>
          <w:noProof w:val="0"/>
          <w:sz w:val="22"/>
          <w:szCs w:val="22"/>
          <w:lang w:val="en-US"/>
        </w:rPr>
        <w:t xml:space="preserve"> and the Electricity Corporation under the Vietnam Electricity Group.</w:t>
      </w:r>
      <w:r w:rsidR="0094145F" w:rsidRPr="001D0E39">
        <w:rPr>
          <w:rFonts w:ascii="Cambria" w:hAnsi="Cambria"/>
          <w:noProof w:val="0"/>
          <w:sz w:val="22"/>
          <w:szCs w:val="22"/>
          <w:lang w:val="en-US"/>
        </w:rPr>
        <w:t xml:space="preserve"> The Electricity Corporation under the Vietnam Electricity Group distributes and supplies electricity to Clients to meet the need for electricity for production activities of Clients at the registered pilot location trading electricity directly at the regulated retail price. </w:t>
      </w:r>
    </w:p>
    <w:p w:rsidR="0094145F" w:rsidRPr="001D0E39" w:rsidRDefault="0094145F" w:rsidP="0069549E">
      <w:pPr>
        <w:jc w:val="both"/>
        <w:rPr>
          <w:rFonts w:ascii="Cambria" w:hAnsi="Cambria"/>
          <w:noProof w:val="0"/>
          <w:sz w:val="22"/>
          <w:szCs w:val="22"/>
          <w:lang w:val="en-US"/>
        </w:rPr>
      </w:pPr>
    </w:p>
    <w:p w:rsidR="0069549E" w:rsidRPr="001D0E39" w:rsidRDefault="0069549E" w:rsidP="0069549E">
      <w:pPr>
        <w:pStyle w:val="ListParagraph"/>
        <w:numPr>
          <w:ilvl w:val="0"/>
          <w:numId w:val="1"/>
        </w:numPr>
        <w:ind w:hanging="720"/>
        <w:jc w:val="both"/>
        <w:rPr>
          <w:rFonts w:ascii="Cambria" w:hAnsi="Cambria"/>
          <w:b/>
          <w:noProof w:val="0"/>
          <w:sz w:val="22"/>
          <w:szCs w:val="22"/>
          <w:lang w:val="en-US"/>
        </w:rPr>
      </w:pPr>
      <w:r w:rsidRPr="001D0E39">
        <w:rPr>
          <w:rFonts w:ascii="Cambria" w:hAnsi="Cambria"/>
          <w:b/>
          <w:noProof w:val="0"/>
          <w:sz w:val="22"/>
          <w:szCs w:val="22"/>
          <w:lang w:val="en-US"/>
        </w:rPr>
        <w:t>Ho Chi Minh City: Construction works that affect traffic are not allowed</w:t>
      </w:r>
    </w:p>
    <w:p w:rsidR="0069549E" w:rsidRPr="001D0E39" w:rsidRDefault="0069549E" w:rsidP="0069549E">
      <w:pPr>
        <w:pStyle w:val="ListParagraph"/>
        <w:jc w:val="both"/>
        <w:rPr>
          <w:rFonts w:ascii="Cambria" w:hAnsi="Cambria"/>
          <w:noProof w:val="0"/>
          <w:sz w:val="22"/>
          <w:szCs w:val="22"/>
          <w:lang w:val="en-US"/>
        </w:rPr>
      </w:pPr>
    </w:p>
    <w:p w:rsidR="001D0E39" w:rsidRDefault="001D0E39" w:rsidP="0069549E">
      <w:pPr>
        <w:ind w:left="720"/>
        <w:jc w:val="both"/>
        <w:rPr>
          <w:rFonts w:ascii="Cambria" w:hAnsi="Cambria"/>
          <w:noProof w:val="0"/>
          <w:sz w:val="22"/>
          <w:szCs w:val="22"/>
          <w:lang w:val="en-US"/>
        </w:rPr>
      </w:pPr>
      <w:r w:rsidRPr="001D0E39">
        <w:rPr>
          <w:rFonts w:ascii="Cambria" w:hAnsi="Cambria"/>
          <w:noProof w:val="0"/>
          <w:sz w:val="22"/>
          <w:szCs w:val="22"/>
          <w:lang w:val="en-US"/>
        </w:rPr>
        <w:t>The Department of Transport of Ho Chi Minh City has just issued a guide to connecting and assessing the traffic impact of construction works connected to the road system in the city.</w:t>
      </w:r>
    </w:p>
    <w:p w:rsidR="001D0E39" w:rsidRDefault="001D0E39" w:rsidP="0069549E">
      <w:pPr>
        <w:ind w:left="720"/>
        <w:jc w:val="both"/>
        <w:rPr>
          <w:rFonts w:ascii="Cambria" w:hAnsi="Cambria"/>
          <w:noProof w:val="0"/>
          <w:sz w:val="22"/>
          <w:szCs w:val="22"/>
          <w:lang w:val="en-US"/>
        </w:rPr>
      </w:pPr>
    </w:p>
    <w:p w:rsidR="003D0C7A" w:rsidRPr="001D0E39" w:rsidRDefault="0069549E" w:rsidP="0069549E">
      <w:pPr>
        <w:ind w:left="720"/>
        <w:jc w:val="both"/>
        <w:rPr>
          <w:rFonts w:ascii="Cambria" w:hAnsi="Cambria"/>
          <w:noProof w:val="0"/>
          <w:sz w:val="22"/>
          <w:szCs w:val="22"/>
          <w:lang w:val="en-US"/>
        </w:rPr>
      </w:pPr>
      <w:r w:rsidRPr="001D0E39">
        <w:rPr>
          <w:rFonts w:ascii="Cambria" w:hAnsi="Cambria"/>
          <w:noProof w:val="0"/>
          <w:sz w:val="22"/>
          <w:szCs w:val="22"/>
          <w:lang w:val="en-US"/>
        </w:rPr>
        <w:t xml:space="preserve">Apartment projects, low-rise housing areas, commercial centers, schools, wedding restaurants... in Ho Chi Minh City before deployment must assess traffic impacts. If the evaluation fails, the project is not eligible for implementation. </w:t>
      </w:r>
    </w:p>
    <w:p w:rsidR="0069549E" w:rsidRPr="001D0E39" w:rsidRDefault="0069549E" w:rsidP="0069549E">
      <w:pPr>
        <w:ind w:left="720"/>
        <w:jc w:val="both"/>
        <w:rPr>
          <w:rFonts w:ascii="Cambria" w:hAnsi="Cambria"/>
          <w:noProof w:val="0"/>
          <w:sz w:val="22"/>
          <w:szCs w:val="22"/>
          <w:lang w:val="en-US"/>
        </w:rPr>
      </w:pPr>
    </w:p>
    <w:p w:rsidR="0069549E" w:rsidRPr="001D0E39" w:rsidRDefault="0069549E" w:rsidP="0069549E">
      <w:pPr>
        <w:ind w:left="720"/>
        <w:jc w:val="both"/>
        <w:rPr>
          <w:rFonts w:ascii="Cambria" w:hAnsi="Cambria"/>
          <w:noProof w:val="0"/>
          <w:sz w:val="22"/>
          <w:szCs w:val="22"/>
          <w:lang w:val="en-US"/>
        </w:rPr>
      </w:pPr>
      <w:r w:rsidRPr="001D0E39">
        <w:rPr>
          <w:rFonts w:ascii="Cambria" w:hAnsi="Cambria"/>
          <w:noProof w:val="0"/>
          <w:sz w:val="22"/>
          <w:szCs w:val="22"/>
          <w:lang w:val="en-US"/>
        </w:rPr>
        <w:t>In case the traffic impact assessment fails when the project is put into operation and in the future, the project will not meet the requirements for approval of the investment policy.</w:t>
      </w:r>
    </w:p>
    <w:p w:rsidR="0069549E" w:rsidRPr="001D0E39" w:rsidRDefault="0069549E" w:rsidP="0069549E">
      <w:pPr>
        <w:ind w:left="720"/>
        <w:jc w:val="both"/>
        <w:rPr>
          <w:rFonts w:ascii="Cambria" w:hAnsi="Cambria"/>
          <w:noProof w:val="0"/>
          <w:sz w:val="22"/>
          <w:szCs w:val="22"/>
          <w:lang w:val="en-US"/>
        </w:rPr>
      </w:pPr>
    </w:p>
    <w:p w:rsidR="0069549E" w:rsidRPr="001D0E39" w:rsidRDefault="0069549E" w:rsidP="0069549E">
      <w:pPr>
        <w:ind w:left="720"/>
        <w:jc w:val="both"/>
        <w:rPr>
          <w:rFonts w:ascii="Cambria" w:hAnsi="Cambria"/>
          <w:noProof w:val="0"/>
          <w:sz w:val="22"/>
          <w:szCs w:val="22"/>
          <w:lang w:val="en-US"/>
        </w:rPr>
      </w:pPr>
      <w:r w:rsidRPr="001D0E39">
        <w:rPr>
          <w:rFonts w:ascii="Cambria" w:hAnsi="Cambria"/>
          <w:noProof w:val="0"/>
          <w:sz w:val="22"/>
          <w:szCs w:val="22"/>
          <w:lang w:val="en-US"/>
        </w:rPr>
        <w:t xml:space="preserve">In case of failure when the project is put into operation and achieved in the future, it is possible to consider reducing the investment scale or diverging the project investment in stages. </w:t>
      </w:r>
    </w:p>
    <w:p w:rsidR="0069549E" w:rsidRPr="001D0E39" w:rsidRDefault="0069549E" w:rsidP="0069549E">
      <w:pPr>
        <w:ind w:left="720"/>
        <w:jc w:val="both"/>
        <w:rPr>
          <w:rFonts w:ascii="Cambria" w:hAnsi="Cambria"/>
          <w:noProof w:val="0"/>
          <w:sz w:val="22"/>
          <w:szCs w:val="22"/>
          <w:lang w:val="en-US"/>
        </w:rPr>
      </w:pPr>
    </w:p>
    <w:p w:rsidR="0069549E" w:rsidRPr="001D0E39" w:rsidRDefault="0069549E" w:rsidP="0069549E">
      <w:pPr>
        <w:ind w:left="720"/>
        <w:jc w:val="both"/>
        <w:rPr>
          <w:rFonts w:ascii="Cambria" w:hAnsi="Cambria"/>
          <w:noProof w:val="0"/>
          <w:sz w:val="22"/>
          <w:szCs w:val="22"/>
          <w:lang w:val="en-US"/>
        </w:rPr>
      </w:pPr>
      <w:r w:rsidRPr="001D0E39">
        <w:rPr>
          <w:rFonts w:ascii="Cambria" w:hAnsi="Cambria"/>
          <w:noProof w:val="0"/>
          <w:sz w:val="22"/>
          <w:szCs w:val="22"/>
          <w:lang w:val="en-US"/>
        </w:rPr>
        <w:t xml:space="preserve">In case the project meets the requirements when it is put into operation but neither does in the future, the project investment will be diverged in stages. </w:t>
      </w:r>
    </w:p>
    <w:p w:rsidR="0069549E" w:rsidRPr="001D0E39" w:rsidRDefault="0069549E" w:rsidP="0069549E">
      <w:pPr>
        <w:ind w:left="720"/>
        <w:jc w:val="both"/>
        <w:rPr>
          <w:rFonts w:ascii="Cambria" w:hAnsi="Cambria"/>
          <w:noProof w:val="0"/>
          <w:sz w:val="22"/>
          <w:szCs w:val="22"/>
          <w:lang w:val="en-US"/>
        </w:rPr>
      </w:pPr>
    </w:p>
    <w:p w:rsidR="0069549E" w:rsidRPr="001D0E39" w:rsidRDefault="00741A69" w:rsidP="0069549E">
      <w:pPr>
        <w:ind w:left="720"/>
        <w:jc w:val="both"/>
        <w:rPr>
          <w:rFonts w:ascii="Cambria" w:hAnsi="Cambria"/>
          <w:noProof w:val="0"/>
          <w:sz w:val="22"/>
          <w:szCs w:val="22"/>
          <w:lang w:val="en-US"/>
        </w:rPr>
      </w:pPr>
      <w:r w:rsidRPr="001D0E39">
        <w:rPr>
          <w:rFonts w:ascii="Cambria" w:hAnsi="Cambria"/>
          <w:noProof w:val="0"/>
          <w:sz w:val="22"/>
          <w:szCs w:val="22"/>
          <w:lang w:val="en-US"/>
        </w:rPr>
        <w:t>Impact assessment is a mandatory requirement for projects in industrial parks, ports, logistics and urban areas, other works depending on the size and area to apply. In which, for apartments or low-rise buildings; motels, hotels with a minimum floor area of 50,000m2, schools, hospitals, commercial centers, supermarkets, from 10,000m2 must be assessed. Particularly for the construction of restaurants and wedding parties, the minimum area of ​​5,000m2, office from 15,000m2 must be assessed.</w:t>
      </w:r>
    </w:p>
    <w:p w:rsidR="00741A69" w:rsidRPr="001D0E39" w:rsidRDefault="00741A69" w:rsidP="0069549E">
      <w:pPr>
        <w:ind w:left="720"/>
        <w:jc w:val="both"/>
        <w:rPr>
          <w:rFonts w:ascii="Cambria" w:hAnsi="Cambria"/>
          <w:noProof w:val="0"/>
          <w:sz w:val="22"/>
          <w:szCs w:val="22"/>
          <w:lang w:val="en-US"/>
        </w:rPr>
      </w:pPr>
    </w:p>
    <w:p w:rsidR="00741A69" w:rsidRPr="001D0E39" w:rsidRDefault="00741A69" w:rsidP="0069549E">
      <w:pPr>
        <w:ind w:left="720"/>
        <w:jc w:val="both"/>
        <w:rPr>
          <w:rFonts w:ascii="Cambria" w:hAnsi="Cambria"/>
          <w:noProof w:val="0"/>
          <w:sz w:val="22"/>
          <w:szCs w:val="22"/>
          <w:lang w:val="en-US"/>
        </w:rPr>
      </w:pPr>
      <w:r w:rsidRPr="001D0E39">
        <w:rPr>
          <w:rFonts w:ascii="Cambria" w:hAnsi="Cambria"/>
          <w:noProof w:val="0"/>
          <w:sz w:val="22"/>
          <w:szCs w:val="22"/>
          <w:lang w:val="en-US"/>
        </w:rPr>
        <w:lastRenderedPageBreak/>
        <w:t>In terms of scope, the project in the inner city will assess the impact within a radius of 0.5km, including the following districts: 1, 3, 4, 5, 6, 7, 8, 10, 11, 12, Phu Nhuan, Binh Thanh , Tan Binh, Go Vap, Binh Tan, Tan Phu, City. Thu Duc. The suburban area has a radius of 0.3 km, including the following districts: Hoc Mon, Binh Chanh, Nha Be, Cu Chi and Can Gio.</w:t>
      </w:r>
    </w:p>
    <w:p w:rsidR="00741A69" w:rsidRPr="001D0E39" w:rsidRDefault="00741A69" w:rsidP="0069549E">
      <w:pPr>
        <w:ind w:left="720"/>
        <w:jc w:val="both"/>
        <w:rPr>
          <w:rFonts w:ascii="Cambria" w:hAnsi="Cambria"/>
          <w:noProof w:val="0"/>
          <w:sz w:val="22"/>
          <w:szCs w:val="22"/>
          <w:lang w:val="en-US"/>
        </w:rPr>
      </w:pPr>
    </w:p>
    <w:p w:rsidR="00741A69" w:rsidRPr="001D0E39" w:rsidRDefault="00741A69" w:rsidP="0069549E">
      <w:pPr>
        <w:ind w:left="720"/>
        <w:jc w:val="both"/>
        <w:rPr>
          <w:rFonts w:ascii="Cambria" w:hAnsi="Cambria"/>
          <w:noProof w:val="0"/>
          <w:sz w:val="22"/>
          <w:szCs w:val="22"/>
          <w:lang w:val="en-US"/>
        </w:rPr>
      </w:pPr>
      <w:r w:rsidRPr="001D0E39">
        <w:rPr>
          <w:rFonts w:ascii="Cambria" w:hAnsi="Cambria"/>
          <w:noProof w:val="0"/>
          <w:sz w:val="22"/>
          <w:szCs w:val="22"/>
          <w:lang w:val="en-US"/>
        </w:rPr>
        <w:t xml:space="preserve">This decision was made in the context of many projects being implemented but the external infrastructure is not adequate, causing congestion and pollution... </w:t>
      </w:r>
    </w:p>
    <w:p w:rsidR="00741A69" w:rsidRPr="001D0E39" w:rsidRDefault="00741A69" w:rsidP="0069549E">
      <w:pPr>
        <w:ind w:left="720"/>
        <w:jc w:val="both"/>
        <w:rPr>
          <w:rFonts w:ascii="Cambria" w:hAnsi="Cambria"/>
          <w:noProof w:val="0"/>
          <w:sz w:val="22"/>
          <w:szCs w:val="22"/>
          <w:lang w:val="en-US"/>
        </w:rPr>
      </w:pPr>
    </w:p>
    <w:p w:rsidR="00741A69" w:rsidRPr="001D0E39" w:rsidRDefault="00741A69" w:rsidP="0069549E">
      <w:pPr>
        <w:ind w:left="720"/>
        <w:jc w:val="both"/>
        <w:rPr>
          <w:rFonts w:ascii="Cambria" w:hAnsi="Cambria"/>
          <w:noProof w:val="0"/>
          <w:sz w:val="22"/>
          <w:szCs w:val="22"/>
          <w:lang w:val="en-US"/>
        </w:rPr>
      </w:pPr>
      <w:r w:rsidRPr="001D0E39">
        <w:rPr>
          <w:rFonts w:ascii="Cambria" w:hAnsi="Cambria"/>
          <w:noProof w:val="0"/>
          <w:sz w:val="22"/>
          <w:szCs w:val="22"/>
          <w:lang w:val="en-US"/>
        </w:rPr>
        <w:t>The HCMC Department of Transport is still developing specific guidelines on carrying out traffic impact assessments for construction investment projects connected to the</w:t>
      </w:r>
      <w:r w:rsidR="00456F8B" w:rsidRPr="001D0E39">
        <w:rPr>
          <w:rFonts w:ascii="Cambria" w:hAnsi="Cambria"/>
          <w:noProof w:val="0"/>
          <w:sz w:val="22"/>
          <w:szCs w:val="22"/>
          <w:lang w:val="en-US"/>
        </w:rPr>
        <w:t xml:space="preserve"> city's road transport system. </w:t>
      </w:r>
    </w:p>
    <w:p w:rsidR="00456F8B" w:rsidRPr="001D0E39" w:rsidRDefault="00456F8B" w:rsidP="0069549E">
      <w:pPr>
        <w:ind w:left="720"/>
        <w:jc w:val="both"/>
        <w:rPr>
          <w:rFonts w:ascii="Cambria" w:hAnsi="Cambria"/>
          <w:noProof w:val="0"/>
          <w:sz w:val="22"/>
          <w:szCs w:val="22"/>
          <w:lang w:val="en-US"/>
        </w:rPr>
      </w:pPr>
    </w:p>
    <w:p w:rsidR="00456F8B" w:rsidRPr="001D0E39" w:rsidRDefault="00456F8B" w:rsidP="00456F8B">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r w:rsidRPr="001D0E39">
        <w:rPr>
          <w:rFonts w:ascii="Cambria" w:hAnsi="Cambria"/>
          <w:noProof w:val="0"/>
          <w:color w:val="000000"/>
          <w:sz w:val="22"/>
          <w:szCs w:val="22"/>
          <w:lang w:val="en-US"/>
        </w:rPr>
        <w:t>We hope you found this brief legal update informative.</w:t>
      </w:r>
    </w:p>
    <w:p w:rsidR="00456F8B" w:rsidRPr="001D0E39" w:rsidRDefault="00456F8B" w:rsidP="00456F8B">
      <w:pPr>
        <w:pStyle w:val="NormalWeb"/>
        <w:shd w:val="clear" w:color="auto" w:fill="FFFFFF"/>
        <w:spacing w:before="0" w:beforeAutospacing="0" w:after="0" w:afterAutospacing="0" w:line="259" w:lineRule="auto"/>
        <w:ind w:left="1418" w:hanging="90"/>
        <w:contextualSpacing/>
        <w:jc w:val="both"/>
        <w:rPr>
          <w:rFonts w:ascii="Cambria" w:hAnsi="Cambria"/>
          <w:noProof w:val="0"/>
          <w:color w:val="000000"/>
          <w:sz w:val="22"/>
          <w:szCs w:val="22"/>
          <w:lang w:val="en-US"/>
        </w:rPr>
      </w:pPr>
      <w:r w:rsidRPr="001D0E39">
        <w:rPr>
          <w:rFonts w:ascii="Cambria" w:hAnsi="Cambria"/>
          <w:noProof w:val="0"/>
          <w:color w:val="000000"/>
          <w:sz w:val="22"/>
          <w:szCs w:val="22"/>
          <w:lang w:val="en-US"/>
        </w:rPr>
        <w:t> </w:t>
      </w:r>
    </w:p>
    <w:p w:rsidR="00741A69" w:rsidRPr="001D0E39" w:rsidRDefault="00456F8B" w:rsidP="003E66C2">
      <w:pPr>
        <w:jc w:val="both"/>
        <w:rPr>
          <w:rFonts w:ascii="Cambria" w:hAnsi="Cambria"/>
          <w:noProof w:val="0"/>
          <w:sz w:val="22"/>
          <w:szCs w:val="22"/>
          <w:lang w:val="en-US"/>
        </w:rPr>
      </w:pPr>
      <w:r w:rsidRPr="001D0E39">
        <w:rPr>
          <w:rFonts w:ascii="Cambria" w:hAnsi="Cambria"/>
          <w:noProof w:val="0"/>
          <w:color w:val="000000"/>
          <w:sz w:val="22"/>
          <w:szCs w:val="22"/>
          <w:lang w:val="en-US"/>
        </w:rPr>
        <w:t>Kind regards</w:t>
      </w:r>
      <w:r w:rsidRPr="001D0E39">
        <w:rPr>
          <w:rFonts w:ascii="Cambria" w:hAnsi="Cambria"/>
          <w:noProof w:val="0"/>
          <w:sz w:val="22"/>
          <w:szCs w:val="22"/>
          <w:lang w:val="en-US"/>
        </w:rPr>
        <w:t>./.</w:t>
      </w:r>
    </w:p>
    <w:p w:rsidR="00741A69" w:rsidRPr="001D0E39" w:rsidRDefault="00741A69" w:rsidP="0069549E">
      <w:pPr>
        <w:ind w:left="720"/>
        <w:jc w:val="both"/>
        <w:rPr>
          <w:rFonts w:ascii="Cambria" w:hAnsi="Cambria"/>
          <w:noProof w:val="0"/>
          <w:sz w:val="22"/>
          <w:szCs w:val="22"/>
          <w:lang w:val="en-US"/>
        </w:rPr>
      </w:pPr>
    </w:p>
    <w:p w:rsidR="00662B88" w:rsidRPr="001D0E39" w:rsidRDefault="00662B88" w:rsidP="001A14A5">
      <w:pPr>
        <w:spacing w:after="160" w:line="259" w:lineRule="auto"/>
        <w:jc w:val="both"/>
        <w:rPr>
          <w:rFonts w:ascii="Cambria" w:hAnsi="Cambria"/>
          <w:noProof w:val="0"/>
          <w:sz w:val="22"/>
          <w:szCs w:val="22"/>
          <w:lang w:val="en-US"/>
        </w:rPr>
      </w:pPr>
      <w:r w:rsidRPr="001D0E39">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662B88" w:rsidRPr="001D0E39" w:rsidTr="00A50F2A">
        <w:trPr>
          <w:trHeight w:val="4343"/>
        </w:trPr>
        <w:tc>
          <w:tcPr>
            <w:tcW w:w="20" w:type="dxa"/>
            <w:tcBorders>
              <w:top w:val="nil"/>
              <w:left w:val="nil"/>
              <w:right w:val="nil"/>
            </w:tcBorders>
          </w:tcPr>
          <w:p w:rsidR="00662B88" w:rsidRPr="001D0E39" w:rsidRDefault="00662B88" w:rsidP="001A14A5">
            <w:pPr>
              <w:jc w:val="both"/>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662B88" w:rsidRPr="001D0E39" w:rsidRDefault="00662B88" w:rsidP="001A14A5">
            <w:pPr>
              <w:jc w:val="both"/>
              <w:rPr>
                <w:rFonts w:ascii="Cambria" w:hAnsi="Cambria"/>
                <w:b/>
                <w:noProof w:val="0"/>
                <w:color w:val="000000" w:themeColor="text1"/>
                <w:sz w:val="22"/>
                <w:szCs w:val="22"/>
                <w:lang w:val="en-US"/>
              </w:rPr>
            </w:pPr>
          </w:p>
          <w:p w:rsidR="00662B88" w:rsidRPr="001D0E39" w:rsidRDefault="00662B88" w:rsidP="001A14A5">
            <w:pPr>
              <w:widowControl w:val="0"/>
              <w:autoSpaceDE w:val="0"/>
              <w:autoSpaceDN w:val="0"/>
              <w:ind w:left="68" w:right="102" w:hanging="17"/>
              <w:contextualSpacing/>
              <w:jc w:val="both"/>
              <w:rPr>
                <w:rFonts w:ascii="Cambria" w:hAnsi="Cambria" w:cs="Arial"/>
                <w:noProof w:val="0"/>
                <w:lang w:val="en-US" w:eastAsia="en-GB"/>
              </w:rPr>
            </w:pPr>
            <w:r w:rsidRPr="001D0E39">
              <w:rPr>
                <w:rFonts w:ascii="Cambria" w:hAnsi="Cambria" w:cs="Arial"/>
                <w:noProof w:val="0"/>
                <w:lang w:val="en-US" w:eastAsia="en-GB"/>
              </w:rPr>
              <w:t>This document has been only prepared for general</w:t>
            </w:r>
            <w:r w:rsidRPr="001D0E39">
              <w:rPr>
                <w:rFonts w:ascii="Cambria" w:hAnsi="Cambria"/>
                <w:noProof w:val="0"/>
                <w:lang w:val="en-US"/>
              </w:rPr>
              <w:t xml:space="preserve"> </w:t>
            </w:r>
            <w:r w:rsidRPr="001D0E39">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662B88" w:rsidRPr="001D0E39" w:rsidRDefault="00662B88" w:rsidP="001A14A5">
            <w:pPr>
              <w:widowControl w:val="0"/>
              <w:autoSpaceDE w:val="0"/>
              <w:autoSpaceDN w:val="0"/>
              <w:ind w:left="68" w:right="102" w:hanging="17"/>
              <w:contextualSpacing/>
              <w:jc w:val="both"/>
              <w:rPr>
                <w:rFonts w:ascii="Cambria" w:hAnsi="Cambria" w:cs="Arial"/>
                <w:noProof w:val="0"/>
                <w:lang w:val="en-US" w:eastAsia="en-GB"/>
              </w:rPr>
            </w:pPr>
          </w:p>
          <w:p w:rsidR="00662B88" w:rsidRPr="001D0E39" w:rsidRDefault="00662B88" w:rsidP="001A14A5">
            <w:pPr>
              <w:widowControl w:val="0"/>
              <w:autoSpaceDE w:val="0"/>
              <w:autoSpaceDN w:val="0"/>
              <w:ind w:left="68" w:right="102" w:hanging="17"/>
              <w:contextualSpacing/>
              <w:jc w:val="both"/>
              <w:rPr>
                <w:rFonts w:ascii="Cambria" w:hAnsi="Cambria" w:cs="Arial"/>
                <w:noProof w:val="0"/>
                <w:lang w:val="en-US" w:eastAsia="en-GB"/>
              </w:rPr>
            </w:pPr>
            <w:r w:rsidRPr="001D0E39">
              <w:rPr>
                <w:rFonts w:ascii="Cambria" w:hAnsi="Cambria" w:cs="Arial"/>
                <w:noProof w:val="0"/>
                <w:lang w:val="en-US" w:eastAsia="en-GB"/>
              </w:rPr>
              <w:t>If you have or suspect that you may have a particular problem, you should contact us or your lawyer for specific advice on the matter.</w:t>
            </w:r>
          </w:p>
          <w:p w:rsidR="00662B88" w:rsidRPr="001D0E39" w:rsidRDefault="00662B88" w:rsidP="001A14A5">
            <w:pPr>
              <w:widowControl w:val="0"/>
              <w:autoSpaceDE w:val="0"/>
              <w:autoSpaceDN w:val="0"/>
              <w:ind w:left="68" w:right="102" w:hanging="17"/>
              <w:contextualSpacing/>
              <w:jc w:val="both"/>
              <w:rPr>
                <w:rFonts w:ascii="Cambria" w:hAnsi="Cambria" w:cs="Arial"/>
                <w:noProof w:val="0"/>
                <w:lang w:val="en-US" w:eastAsia="en-GB"/>
              </w:rPr>
            </w:pPr>
          </w:p>
          <w:p w:rsidR="00662B88" w:rsidRPr="001D0E39" w:rsidRDefault="00662B88" w:rsidP="001A14A5">
            <w:pPr>
              <w:widowControl w:val="0"/>
              <w:autoSpaceDE w:val="0"/>
              <w:autoSpaceDN w:val="0"/>
              <w:ind w:left="68" w:right="102" w:hanging="17"/>
              <w:contextualSpacing/>
              <w:jc w:val="both"/>
              <w:rPr>
                <w:rFonts w:ascii="Cambria" w:hAnsi="Cambria" w:cs="Arial"/>
                <w:b/>
                <w:bCs/>
                <w:noProof w:val="0"/>
                <w:lang w:val="en-US" w:eastAsia="en-GB"/>
              </w:rPr>
            </w:pPr>
            <w:r w:rsidRPr="001D0E39">
              <w:rPr>
                <w:rFonts w:ascii="Cambria" w:hAnsi="Cambria" w:cs="Arial"/>
                <w:b/>
                <w:bCs/>
                <w:noProof w:val="0"/>
                <w:lang w:val="en-US" w:eastAsia="en-GB"/>
              </w:rPr>
              <w:t>ADK VIET NAM LAWYERS</w:t>
            </w:r>
          </w:p>
          <w:p w:rsidR="00662B88" w:rsidRPr="001D0E39" w:rsidRDefault="00662B88" w:rsidP="001A14A5">
            <w:pPr>
              <w:widowControl w:val="0"/>
              <w:autoSpaceDE w:val="0"/>
              <w:autoSpaceDN w:val="0"/>
              <w:ind w:left="68" w:right="102" w:hanging="17"/>
              <w:contextualSpacing/>
              <w:jc w:val="both"/>
              <w:rPr>
                <w:rFonts w:ascii="Cambria" w:hAnsi="Cambria" w:cs="Arial"/>
                <w:b/>
                <w:bCs/>
                <w:noProof w:val="0"/>
                <w:lang w:val="en-US" w:eastAsia="en-GB"/>
              </w:rPr>
            </w:pPr>
          </w:p>
          <w:p w:rsidR="00662B88" w:rsidRPr="001D0E39" w:rsidRDefault="00662B88" w:rsidP="001A14A5">
            <w:pPr>
              <w:jc w:val="both"/>
              <w:rPr>
                <w:rFonts w:ascii="Cambria" w:hAnsi="Cambria"/>
                <w:noProof w:val="0"/>
                <w:color w:val="000000"/>
                <w:lang w:val="en-US"/>
              </w:rPr>
            </w:pPr>
            <w:r w:rsidRPr="001D0E39">
              <w:rPr>
                <w:rFonts w:ascii="Cambria" w:hAnsi="Cambria"/>
                <w:b/>
                <w:bCs/>
                <w:noProof w:val="0"/>
                <w:color w:val="000000"/>
                <w:lang w:val="en-US"/>
              </w:rPr>
              <w:t>Ho Chi Minh Office</w:t>
            </w:r>
            <w:r w:rsidRPr="001D0E39">
              <w:rPr>
                <w:rFonts w:ascii="Cambria" w:hAnsi="Cambria"/>
                <w:noProof w:val="0"/>
                <w:color w:val="000000"/>
                <w:lang w:val="en-US"/>
              </w:rPr>
              <w:t>: Ground Fl. HBT Tower, 456-458 Hai Ba Trung Str., Tan Dinh Ward, District 1, HCM City, VN</w:t>
            </w:r>
          </w:p>
          <w:p w:rsidR="00662B88" w:rsidRPr="001D0E39" w:rsidRDefault="00662B88" w:rsidP="001A14A5">
            <w:pPr>
              <w:jc w:val="both"/>
              <w:rPr>
                <w:rFonts w:ascii="Cambria" w:hAnsi="Cambria"/>
                <w:noProof w:val="0"/>
                <w:color w:val="000000"/>
                <w:lang w:val="en-US"/>
              </w:rPr>
            </w:pPr>
            <w:r w:rsidRPr="001D0E39">
              <w:rPr>
                <w:rFonts w:ascii="Cambria" w:hAnsi="Cambria"/>
                <w:b/>
                <w:bCs/>
                <w:noProof w:val="0"/>
                <w:color w:val="000000"/>
                <w:lang w:val="en-US"/>
              </w:rPr>
              <w:t>Ha Noi Office</w:t>
            </w:r>
            <w:r w:rsidRPr="001D0E39">
              <w:rPr>
                <w:rFonts w:ascii="Cambria" w:hAnsi="Cambria"/>
                <w:noProof w:val="0"/>
                <w:color w:val="000000"/>
                <w:lang w:val="en-US"/>
              </w:rPr>
              <w:t>: </w:t>
            </w:r>
            <w:r w:rsidRPr="001D0E39">
              <w:rPr>
                <w:rFonts w:ascii="Cambria" w:hAnsi="Cambria"/>
                <w:noProof w:val="0"/>
                <w:color w:val="333333"/>
                <w:lang w:val="en-US"/>
              </w:rPr>
              <w:t>Ground Fl. Pax Sky Building, 63-65 Ngo Thi Nham Str., Pham Dinh Ho Ward, Hai Ba Trung District, Hanoi City, VN</w:t>
            </w:r>
            <w:r w:rsidRPr="001D0E39">
              <w:rPr>
                <w:rFonts w:ascii="Cambria" w:hAnsi="Cambria"/>
                <w:noProof w:val="0"/>
                <w:color w:val="000000"/>
                <w:lang w:val="en-US"/>
              </w:rPr>
              <w:t>    </w:t>
            </w:r>
          </w:p>
          <w:p w:rsidR="00662B88" w:rsidRPr="001D0E39" w:rsidRDefault="00662B88" w:rsidP="001A14A5">
            <w:pPr>
              <w:pStyle w:val="ListParagraph"/>
              <w:spacing w:line="264" w:lineRule="auto"/>
              <w:ind w:left="0"/>
              <w:jc w:val="both"/>
              <w:rPr>
                <w:rFonts w:ascii="Cambria" w:hAnsi="Cambria" w:cs="Arial"/>
                <w:noProof w:val="0"/>
                <w:lang w:val="en-US" w:eastAsia="en-GB"/>
              </w:rPr>
            </w:pPr>
            <w:r w:rsidRPr="001D0E39">
              <w:rPr>
                <w:rFonts w:ascii="Cambria" w:hAnsi="Cambria" w:cs="Arial"/>
                <w:noProof w:val="0"/>
                <w:lang w:val="en-US" w:eastAsia="en-GB"/>
              </w:rPr>
              <w:t>Hotline: (+84) 28 66 79 79 66 or (+84) 939 107 387</w:t>
            </w:r>
          </w:p>
          <w:p w:rsidR="00662B88" w:rsidRPr="001D0E39" w:rsidRDefault="00662B88" w:rsidP="001A14A5">
            <w:pPr>
              <w:widowControl w:val="0"/>
              <w:autoSpaceDE w:val="0"/>
              <w:autoSpaceDN w:val="0"/>
              <w:ind w:left="68" w:right="102" w:hanging="17"/>
              <w:contextualSpacing/>
              <w:jc w:val="both"/>
              <w:rPr>
                <w:rFonts w:ascii="Cambria" w:hAnsi="Cambria" w:cs="Arial"/>
                <w:noProof w:val="0"/>
                <w:color w:val="0000FF"/>
                <w:u w:val="single"/>
                <w:lang w:val="en-US" w:eastAsia="en-GB"/>
              </w:rPr>
            </w:pPr>
            <w:r w:rsidRPr="001D0E39">
              <w:rPr>
                <w:rFonts w:ascii="Cambria" w:hAnsi="Cambria" w:cs="Arial"/>
                <w:noProof w:val="0"/>
                <w:lang w:val="en-US" w:eastAsia="en-GB"/>
              </w:rPr>
              <w:t xml:space="preserve">Email: </w:t>
            </w:r>
            <w:hyperlink r:id="rId8" w:history="1">
              <w:r w:rsidRPr="001D0E39">
                <w:rPr>
                  <w:rFonts w:ascii="Cambria" w:hAnsi="Cambria" w:cs="Arial"/>
                  <w:noProof w:val="0"/>
                  <w:color w:val="0000FF"/>
                  <w:u w:val="single"/>
                  <w:lang w:val="en-US" w:eastAsia="en-GB"/>
                </w:rPr>
                <w:t>info@adk-lawyers.com</w:t>
              </w:r>
            </w:hyperlink>
          </w:p>
          <w:p w:rsidR="00662B88" w:rsidRPr="001D0E39" w:rsidRDefault="00662B88" w:rsidP="001A14A5">
            <w:pPr>
              <w:widowControl w:val="0"/>
              <w:autoSpaceDE w:val="0"/>
              <w:autoSpaceDN w:val="0"/>
              <w:ind w:left="68" w:right="102" w:hanging="17"/>
              <w:contextualSpacing/>
              <w:jc w:val="both"/>
              <w:rPr>
                <w:rFonts w:ascii="Cambria" w:hAnsi="Cambria" w:cs="Arial"/>
                <w:noProof w:val="0"/>
                <w:lang w:val="en-US" w:eastAsia="en-GB"/>
              </w:rPr>
            </w:pPr>
            <w:r w:rsidRPr="001D0E39">
              <w:rPr>
                <w:rFonts w:ascii="Cambria" w:hAnsi="Cambria" w:cs="Arial"/>
                <w:noProof w:val="0"/>
                <w:lang w:val="en-US" w:eastAsia="en-GB"/>
              </w:rPr>
              <w:t>W</w:t>
            </w:r>
            <w:r w:rsidRPr="001D0E39">
              <w:rPr>
                <w:rFonts w:ascii="Cambria" w:hAnsi="Cambria" w:cs="Arial"/>
                <w:noProof w:val="0"/>
                <w:lang w:val="en-US"/>
              </w:rPr>
              <w:t xml:space="preserve">ebsite: </w:t>
            </w:r>
            <w:hyperlink r:id="rId9" w:history="1">
              <w:r w:rsidRPr="001D0E39">
                <w:rPr>
                  <w:rFonts w:ascii="Cambria" w:hAnsi="Cambria" w:cs="Arial"/>
                  <w:noProof w:val="0"/>
                  <w:color w:val="0000FF"/>
                  <w:u w:val="single"/>
                  <w:lang w:val="en-US"/>
                </w:rPr>
                <w:t>www.adk-lawyers.com</w:t>
              </w:r>
            </w:hyperlink>
            <w:r w:rsidRPr="001D0E39">
              <w:rPr>
                <w:rFonts w:ascii="Cambria" w:hAnsi="Cambria" w:cs="Arial"/>
                <w:noProof w:val="0"/>
                <w:lang w:val="en-US"/>
              </w:rPr>
              <w:t xml:space="preserve">  </w:t>
            </w:r>
          </w:p>
          <w:p w:rsidR="00662B88" w:rsidRPr="001D0E39" w:rsidRDefault="00662B88" w:rsidP="001A14A5">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662B88" w:rsidRPr="001D0E39" w:rsidRDefault="00662B88" w:rsidP="001A14A5">
            <w:pPr>
              <w:jc w:val="both"/>
              <w:rPr>
                <w:rFonts w:ascii="Cambria" w:hAnsi="Cambria"/>
                <w:noProof w:val="0"/>
                <w:color w:val="000000" w:themeColor="text1"/>
                <w:lang w:val="en-US"/>
              </w:rPr>
            </w:pPr>
          </w:p>
        </w:tc>
      </w:tr>
      <w:bookmarkEnd w:id="1"/>
    </w:tbl>
    <w:p w:rsidR="00662B88" w:rsidRPr="001D0E39" w:rsidRDefault="00662B88" w:rsidP="001A14A5">
      <w:pPr>
        <w:jc w:val="both"/>
        <w:rPr>
          <w:rFonts w:ascii="Cambria" w:hAnsi="Cambria"/>
          <w:noProof w:val="0"/>
          <w:lang w:val="en-US"/>
        </w:rPr>
      </w:pPr>
    </w:p>
    <w:p w:rsidR="00662B88" w:rsidRPr="001D0E39" w:rsidRDefault="00662B88" w:rsidP="001A14A5">
      <w:pPr>
        <w:jc w:val="both"/>
        <w:rPr>
          <w:rFonts w:ascii="Cambria" w:hAnsi="Cambria"/>
          <w:noProof w:val="0"/>
          <w:lang w:val="en-US"/>
        </w:rPr>
      </w:pPr>
    </w:p>
    <w:p w:rsidR="00662B88" w:rsidRPr="001D0E39" w:rsidRDefault="00662B88" w:rsidP="001A14A5">
      <w:pPr>
        <w:spacing w:line="252" w:lineRule="auto"/>
        <w:jc w:val="both"/>
        <w:rPr>
          <w:rFonts w:ascii="Cambria" w:hAnsi="Cambria"/>
          <w:noProof w:val="0"/>
          <w:lang w:val="en-US"/>
        </w:rPr>
      </w:pPr>
    </w:p>
    <w:p w:rsidR="009F1ED6" w:rsidRPr="001D0E39" w:rsidRDefault="00716067" w:rsidP="001A14A5">
      <w:pPr>
        <w:jc w:val="both"/>
        <w:rPr>
          <w:noProof w:val="0"/>
          <w:lang w:val="en-US"/>
        </w:rPr>
      </w:pPr>
    </w:p>
    <w:sectPr w:rsidR="009F1ED6" w:rsidRPr="001D0E39"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67" w:rsidRDefault="00716067">
      <w:r>
        <w:separator/>
      </w:r>
    </w:p>
  </w:endnote>
  <w:endnote w:type="continuationSeparator" w:id="0">
    <w:p w:rsidR="00716067" w:rsidRDefault="0071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7B48BF"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71606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7B48BF" w:rsidRPr="00D644F3">
            <w:rPr>
              <w:rStyle w:val="Hyperlink"/>
              <w:rFonts w:ascii="Palatino Linotype" w:hAnsi="Palatino Linotype"/>
              <w:sz w:val="18"/>
              <w:szCs w:val="18"/>
            </w:rPr>
            <w:t>www.adk-lawyers.com</w:t>
          </w:r>
        </w:hyperlink>
      </w:p>
      <w:p w:rsidR="00112037" w:rsidRDefault="00716067"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67" w:rsidRDefault="00716067">
      <w:r>
        <w:separator/>
      </w:r>
    </w:p>
  </w:footnote>
  <w:footnote w:type="continuationSeparator" w:id="0">
    <w:p w:rsidR="00716067" w:rsidRDefault="00716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37" w:rsidRDefault="007B48BF" w:rsidP="00CA0056">
    <w:pPr>
      <w:pStyle w:val="Header"/>
      <w:ind w:left="-1440"/>
    </w:pPr>
    <w:r>
      <w:rPr>
        <w:lang w:val="en-US"/>
      </w:rPr>
      <w:drawing>
        <wp:inline distT="0" distB="0" distL="0" distR="0" wp14:anchorId="7FAFFE09" wp14:editId="1DB199DB">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1ACC"/>
    <w:multiLevelType w:val="hybridMultilevel"/>
    <w:tmpl w:val="9CA8826E"/>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3DB3977"/>
    <w:multiLevelType w:val="hybridMultilevel"/>
    <w:tmpl w:val="B538A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956A25"/>
    <w:multiLevelType w:val="hybridMultilevel"/>
    <w:tmpl w:val="B558A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EF4674"/>
    <w:multiLevelType w:val="hybridMultilevel"/>
    <w:tmpl w:val="09B84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133308"/>
    <w:multiLevelType w:val="hybridMultilevel"/>
    <w:tmpl w:val="E48C5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E65F9C"/>
    <w:multiLevelType w:val="hybridMultilevel"/>
    <w:tmpl w:val="87506D7C"/>
    <w:lvl w:ilvl="0" w:tplc="BB5AFD6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8F42C7"/>
    <w:multiLevelType w:val="hybridMultilevel"/>
    <w:tmpl w:val="2EA4C7A0"/>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3A45B07"/>
    <w:multiLevelType w:val="hybridMultilevel"/>
    <w:tmpl w:val="F66AFD46"/>
    <w:lvl w:ilvl="0" w:tplc="075CD174">
      <w:start w:val="1"/>
      <w:numFmt w:val="bullet"/>
      <w:lvlText w:val="-"/>
      <w:lvlJc w:val="left"/>
      <w:pPr>
        <w:ind w:left="1789" w:hanging="360"/>
      </w:pPr>
      <w:rPr>
        <w:rFonts w:ascii="Cambria" w:eastAsia="Times New Roman" w:hAnsi="Cambria"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5"/>
  </w:num>
  <w:num w:numId="6">
    <w:abstractNumId w:val="7"/>
  </w:num>
  <w:num w:numId="7">
    <w:abstractNumId w:val="2"/>
  </w:num>
  <w:num w:numId="8">
    <w:abstractNumId w:val="10"/>
  </w:num>
  <w:num w:numId="9">
    <w:abstractNumId w:val="9"/>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28"/>
    <w:rsid w:val="00002F8A"/>
    <w:rsid w:val="0004480A"/>
    <w:rsid w:val="001244C0"/>
    <w:rsid w:val="001A14A5"/>
    <w:rsid w:val="001B5CFD"/>
    <w:rsid w:val="001D0E39"/>
    <w:rsid w:val="0034390B"/>
    <w:rsid w:val="003D0C7A"/>
    <w:rsid w:val="003E66C2"/>
    <w:rsid w:val="004512FF"/>
    <w:rsid w:val="00456F8B"/>
    <w:rsid w:val="00457676"/>
    <w:rsid w:val="004843D3"/>
    <w:rsid w:val="00534AFD"/>
    <w:rsid w:val="005F4CFC"/>
    <w:rsid w:val="005F5A3D"/>
    <w:rsid w:val="0060463D"/>
    <w:rsid w:val="00630958"/>
    <w:rsid w:val="00641681"/>
    <w:rsid w:val="00644459"/>
    <w:rsid w:val="00662B88"/>
    <w:rsid w:val="0069549E"/>
    <w:rsid w:val="006C6528"/>
    <w:rsid w:val="006E12CE"/>
    <w:rsid w:val="00716067"/>
    <w:rsid w:val="00741A69"/>
    <w:rsid w:val="007B48BF"/>
    <w:rsid w:val="00833005"/>
    <w:rsid w:val="00855633"/>
    <w:rsid w:val="00904C2B"/>
    <w:rsid w:val="0094145F"/>
    <w:rsid w:val="00960955"/>
    <w:rsid w:val="00A03296"/>
    <w:rsid w:val="00A838CA"/>
    <w:rsid w:val="00A8718F"/>
    <w:rsid w:val="00AB0ABB"/>
    <w:rsid w:val="00AB7187"/>
    <w:rsid w:val="00BA10CC"/>
    <w:rsid w:val="00DA0796"/>
    <w:rsid w:val="00E9555F"/>
    <w:rsid w:val="00FE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29A0D-84E9-4167-A174-704FAA0F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88"/>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B8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2B88"/>
    <w:rPr>
      <w:noProof/>
      <w:lang w:val="vi-VN"/>
    </w:rPr>
  </w:style>
  <w:style w:type="paragraph" w:styleId="Footer">
    <w:name w:val="footer"/>
    <w:basedOn w:val="Normal"/>
    <w:link w:val="FooterChar"/>
    <w:uiPriority w:val="99"/>
    <w:unhideWhenUsed/>
    <w:rsid w:val="00662B8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2B88"/>
    <w:rPr>
      <w:noProof/>
      <w:lang w:val="vi-VN"/>
    </w:rPr>
  </w:style>
  <w:style w:type="character" w:styleId="Strong">
    <w:name w:val="Strong"/>
    <w:basedOn w:val="DefaultParagraphFont"/>
    <w:uiPriority w:val="22"/>
    <w:qFormat/>
    <w:rsid w:val="00662B88"/>
    <w:rPr>
      <w:b/>
      <w:bCs/>
    </w:rPr>
  </w:style>
  <w:style w:type="paragraph" w:styleId="NormalWeb">
    <w:name w:val="Normal (Web)"/>
    <w:basedOn w:val="Normal"/>
    <w:uiPriority w:val="99"/>
    <w:unhideWhenUsed/>
    <w:rsid w:val="00662B88"/>
    <w:pPr>
      <w:spacing w:before="100" w:beforeAutospacing="1" w:after="100" w:afterAutospacing="1"/>
    </w:pPr>
  </w:style>
  <w:style w:type="character" w:styleId="Hyperlink">
    <w:name w:val="Hyperlink"/>
    <w:basedOn w:val="DefaultParagraphFont"/>
    <w:uiPriority w:val="99"/>
    <w:unhideWhenUsed/>
    <w:rsid w:val="00662B88"/>
    <w:rPr>
      <w:color w:val="0000FF"/>
      <w:u w:val="single"/>
    </w:rPr>
  </w:style>
  <w:style w:type="paragraph" w:styleId="ListParagraph">
    <w:name w:val="List Paragraph"/>
    <w:basedOn w:val="Normal"/>
    <w:link w:val="ListParagraphChar"/>
    <w:uiPriority w:val="34"/>
    <w:qFormat/>
    <w:rsid w:val="00662B88"/>
    <w:pPr>
      <w:ind w:left="720"/>
      <w:contextualSpacing/>
    </w:pPr>
  </w:style>
  <w:style w:type="character" w:customStyle="1" w:styleId="ListParagraphChar">
    <w:name w:val="List Paragraph Char"/>
    <w:link w:val="ListParagraph"/>
    <w:uiPriority w:val="34"/>
    <w:locked/>
    <w:rsid w:val="00662B88"/>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6E12CE"/>
    <w:rPr>
      <w:rFonts w:ascii="Tahoma" w:hAnsi="Tahoma" w:cs="Tahoma"/>
      <w:sz w:val="16"/>
      <w:szCs w:val="16"/>
    </w:rPr>
  </w:style>
  <w:style w:type="character" w:customStyle="1" w:styleId="BalloonTextChar">
    <w:name w:val="Balloon Text Char"/>
    <w:basedOn w:val="DefaultParagraphFont"/>
    <w:link w:val="BalloonText"/>
    <w:uiPriority w:val="99"/>
    <w:semiHidden/>
    <w:rsid w:val="006E12CE"/>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FB38-C079-4313-89A2-F620B314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Tin Hoc Luna</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Nguyen (ADK Lawyers)</dc:creator>
  <cp:keywords/>
  <dc:description/>
  <cp:lastModifiedBy>ADK-003</cp:lastModifiedBy>
  <cp:revision>17</cp:revision>
  <dcterms:created xsi:type="dcterms:W3CDTF">2022-03-17T01:41:00Z</dcterms:created>
  <dcterms:modified xsi:type="dcterms:W3CDTF">2022-05-12T08:25:00Z</dcterms:modified>
</cp:coreProperties>
</file>