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65" w:rsidRPr="00AB138E" w:rsidRDefault="00755865" w:rsidP="00755865">
      <w:pPr>
        <w:pStyle w:val="Title"/>
        <w:spacing w:before="0" w:line="252" w:lineRule="auto"/>
        <w:ind w:left="0"/>
        <w:jc w:val="right"/>
        <w:rPr>
          <w:rFonts w:ascii="Cambria" w:hAnsi="Cambria"/>
          <w:sz w:val="28"/>
          <w:szCs w:val="28"/>
        </w:rPr>
      </w:pPr>
      <w:r w:rsidRPr="00572236">
        <w:rPr>
          <w:rFonts w:ascii="Cambria" w:hAnsi="Cambria"/>
          <w:lang w:val="en"/>
        </w:rPr>
        <w:t xml:space="preserve"> </w:t>
      </w:r>
      <w:r w:rsidRPr="00572236">
        <w:rPr>
          <w:rFonts w:ascii="Cambria" w:hAnsi="Cambria"/>
          <w:spacing w:val="-9"/>
          <w:sz w:val="28"/>
          <w:szCs w:val="28"/>
          <w:lang w:val="en"/>
        </w:rPr>
        <w:t xml:space="preserve"> </w:t>
      </w:r>
      <w:r w:rsidRPr="00572236">
        <w:rPr>
          <w:rFonts w:ascii="Cambria" w:hAnsi="Cambria"/>
          <w:lang w:val="en"/>
        </w:rPr>
        <w:t xml:space="preserve"> </w:t>
      </w:r>
      <w:r w:rsidRPr="00572236">
        <w:rPr>
          <w:rFonts w:ascii="Cambria" w:hAnsi="Cambria"/>
          <w:spacing w:val="-8"/>
          <w:sz w:val="28"/>
          <w:szCs w:val="28"/>
          <w:lang w:val="en"/>
        </w:rPr>
        <w:t xml:space="preserve"> </w:t>
      </w:r>
      <w:r w:rsidRPr="00572236">
        <w:rPr>
          <w:rFonts w:ascii="Cambria" w:hAnsi="Cambria"/>
          <w:lang w:val="en"/>
        </w:rPr>
        <w:t xml:space="preserve"> </w:t>
      </w:r>
      <w:r w:rsidRPr="00AB138E">
        <w:rPr>
          <w:rFonts w:ascii="Cambria" w:hAnsi="Cambria"/>
          <w:sz w:val="28"/>
          <w:szCs w:val="28"/>
          <w:lang w:val="en"/>
        </w:rPr>
        <w:t>LEGAL</w:t>
      </w:r>
      <w:r w:rsidRPr="00AB138E">
        <w:rPr>
          <w:rFonts w:ascii="Cambria" w:hAnsi="Cambria"/>
          <w:spacing w:val="-31"/>
          <w:sz w:val="28"/>
          <w:szCs w:val="28"/>
          <w:lang w:val="en"/>
        </w:rPr>
        <w:t xml:space="preserve"> </w:t>
      </w:r>
      <w:r w:rsidRPr="00AB138E">
        <w:rPr>
          <w:rFonts w:ascii="Cambria" w:hAnsi="Cambria"/>
          <w:sz w:val="28"/>
          <w:szCs w:val="28"/>
          <w:lang w:val="en"/>
        </w:rPr>
        <w:t>NEWSLETTER</w:t>
      </w:r>
    </w:p>
    <w:p w:rsidR="00755865" w:rsidRPr="00572236" w:rsidRDefault="00755865" w:rsidP="00755865">
      <w:pPr>
        <w:pStyle w:val="BodyText"/>
        <w:spacing w:line="252" w:lineRule="auto"/>
        <w:ind w:left="5529" w:right="497"/>
        <w:jc w:val="right"/>
        <w:rPr>
          <w:rFonts w:ascii="Cambria" w:hAnsi="Cambria"/>
        </w:rPr>
      </w:pPr>
      <w:r>
        <w:rPr>
          <w:rFonts w:ascii="Cambria" w:hAnsi="Cambria"/>
          <w:spacing w:val="-9"/>
          <w:lang w:val="en"/>
        </w:rPr>
        <w:t>April</w:t>
      </w:r>
      <w:r w:rsidRPr="00572236">
        <w:rPr>
          <w:rFonts w:ascii="Cambria" w:hAnsi="Cambria"/>
          <w:spacing w:val="-9"/>
          <w:lang w:val="en"/>
        </w:rPr>
        <w:t>/</w:t>
      </w:r>
      <w:r>
        <w:rPr>
          <w:rFonts w:ascii="Cambria" w:hAnsi="Cambria"/>
          <w:spacing w:val="-9"/>
          <w:lang w:val="en"/>
        </w:rPr>
        <w:t xml:space="preserve"> 2022</w:t>
      </w:r>
    </w:p>
    <w:p w:rsidR="00755865" w:rsidRPr="00572236" w:rsidRDefault="00755865" w:rsidP="00755865">
      <w:pPr>
        <w:pStyle w:val="Heading1"/>
        <w:tabs>
          <w:tab w:val="right" w:pos="9360"/>
        </w:tabs>
        <w:spacing w:line="252" w:lineRule="auto"/>
        <w:ind w:left="5529"/>
        <w:rPr>
          <w:rFonts w:ascii="Cambria" w:hAnsi="Cambria"/>
          <w:lang w:val="en-US"/>
        </w:rPr>
      </w:pPr>
    </w:p>
    <w:p w:rsidR="00755865" w:rsidRPr="00572236" w:rsidRDefault="00755865" w:rsidP="00755865">
      <w:pPr>
        <w:pStyle w:val="Heading1"/>
        <w:spacing w:line="252" w:lineRule="auto"/>
        <w:ind w:hanging="837"/>
        <w:rPr>
          <w:rFonts w:ascii="Cambria" w:hAnsi="Cambria"/>
        </w:rPr>
      </w:pPr>
      <w:r w:rsidRPr="00572236">
        <w:rPr>
          <w:rFonts w:ascii="Cambria" w:hAnsi="Cambria"/>
          <w:lang w:val="en"/>
        </w:rPr>
        <w:t>Dear Value C</w:t>
      </w:r>
      <w:r>
        <w:rPr>
          <w:rFonts w:ascii="Cambria" w:hAnsi="Cambria"/>
          <w:lang w:val="en"/>
        </w:rPr>
        <w:t>lient</w:t>
      </w:r>
      <w:r w:rsidRPr="00572236">
        <w:rPr>
          <w:rFonts w:ascii="Cambria" w:hAnsi="Cambria"/>
          <w:lang w:val="en"/>
        </w:rPr>
        <w:t>s and Partners,</w:t>
      </w:r>
    </w:p>
    <w:p w:rsidR="00755865" w:rsidRPr="00572236" w:rsidRDefault="00755865" w:rsidP="00755865">
      <w:pPr>
        <w:pStyle w:val="BodyText"/>
        <w:spacing w:line="252" w:lineRule="auto"/>
        <w:rPr>
          <w:rFonts w:ascii="Cambria" w:hAnsi="Cambria"/>
          <w:b/>
        </w:rPr>
      </w:pPr>
    </w:p>
    <w:p w:rsidR="00755865" w:rsidRPr="00572236" w:rsidRDefault="00755865" w:rsidP="00755865">
      <w:pPr>
        <w:pStyle w:val="BodyText"/>
        <w:spacing w:line="252" w:lineRule="auto"/>
        <w:ind w:right="146"/>
        <w:jc w:val="both"/>
        <w:rPr>
          <w:rFonts w:ascii="Cambria" w:hAnsi="Cambria"/>
        </w:rPr>
      </w:pPr>
      <w:r w:rsidRPr="00572236">
        <w:rPr>
          <w:rFonts w:ascii="Cambria" w:hAnsi="Cambria"/>
          <w:lang w:val="en"/>
        </w:rPr>
        <w:t xml:space="preserve">ADK Vietnam Lawyers would like to introduce to you the </w:t>
      </w:r>
      <w:r>
        <w:rPr>
          <w:rFonts w:ascii="Cambria" w:hAnsi="Cambria"/>
          <w:lang w:val="en"/>
        </w:rPr>
        <w:t>April 2022</w:t>
      </w:r>
      <w:r w:rsidRPr="00572236">
        <w:rPr>
          <w:rFonts w:ascii="Cambria" w:hAnsi="Cambria"/>
          <w:lang w:val="en"/>
        </w:rPr>
        <w:t xml:space="preserve"> Legal Newsletter with the following main contents:</w:t>
      </w:r>
    </w:p>
    <w:p w:rsidR="00755865" w:rsidRPr="00572236" w:rsidRDefault="00755865" w:rsidP="00755865">
      <w:pPr>
        <w:pStyle w:val="BodyText"/>
        <w:spacing w:line="252" w:lineRule="auto"/>
        <w:rPr>
          <w:rFonts w:ascii="Cambria" w:hAnsi="Cambria"/>
        </w:rPr>
      </w:pPr>
    </w:p>
    <w:p w:rsidR="00755865" w:rsidRPr="00B55567" w:rsidRDefault="00755865" w:rsidP="00755865">
      <w:pPr>
        <w:pStyle w:val="Heading1"/>
        <w:numPr>
          <w:ilvl w:val="0"/>
          <w:numId w:val="1"/>
        </w:numPr>
        <w:tabs>
          <w:tab w:val="left" w:pos="836"/>
          <w:tab w:val="left" w:pos="837"/>
        </w:tabs>
        <w:spacing w:line="252" w:lineRule="auto"/>
        <w:ind w:left="709"/>
        <w:rPr>
          <w:rFonts w:ascii="Cambria" w:hAnsi="Cambria"/>
          <w:lang w:val="en-US"/>
        </w:rPr>
      </w:pPr>
      <w:bookmarkStart w:id="0" w:name="1._Phỏng_vấn_với_Asia_Law_Portal"/>
      <w:bookmarkEnd w:id="0"/>
      <w:r>
        <w:rPr>
          <w:rFonts w:ascii="Cambria" w:hAnsi="Cambria"/>
          <w:lang w:val="en"/>
        </w:rPr>
        <w:t>Legal Spotlight</w:t>
      </w:r>
    </w:p>
    <w:p w:rsidR="00755865" w:rsidRDefault="00755865" w:rsidP="00755865">
      <w:pPr>
        <w:pStyle w:val="Heading1"/>
        <w:tabs>
          <w:tab w:val="left" w:pos="836"/>
          <w:tab w:val="left" w:pos="837"/>
        </w:tabs>
        <w:spacing w:line="252" w:lineRule="auto"/>
        <w:ind w:left="709" w:firstLine="0"/>
        <w:rPr>
          <w:rFonts w:ascii="Cambria" w:hAnsi="Cambria"/>
          <w:lang w:val="en"/>
        </w:rPr>
      </w:pPr>
    </w:p>
    <w:p w:rsidR="00755865" w:rsidRPr="00B55567" w:rsidRDefault="00755865" w:rsidP="00755865">
      <w:pPr>
        <w:pStyle w:val="ListParagraph"/>
        <w:widowControl/>
        <w:numPr>
          <w:ilvl w:val="1"/>
          <w:numId w:val="4"/>
        </w:numPr>
        <w:autoSpaceDE/>
        <w:autoSpaceDN/>
        <w:ind w:left="709" w:hanging="709"/>
        <w:contextualSpacing/>
        <w:jc w:val="both"/>
        <w:rPr>
          <w:rFonts w:ascii="Cambria" w:hAnsi="Cambria"/>
          <w:lang w:val="en-US"/>
        </w:rPr>
      </w:pPr>
      <w:r>
        <w:rPr>
          <w:rFonts w:ascii="Cambria" w:hAnsi="Cambria"/>
          <w:b/>
          <w:bCs/>
          <w:lang w:val="en-US"/>
        </w:rPr>
        <w:t xml:space="preserve">Draft on peer-to-peer lending trial </w:t>
      </w:r>
    </w:p>
    <w:p w:rsidR="00755865" w:rsidRDefault="00755865" w:rsidP="00755865">
      <w:pPr>
        <w:pStyle w:val="ListParagraph"/>
        <w:widowControl/>
        <w:autoSpaceDE/>
        <w:autoSpaceDN/>
        <w:ind w:left="709" w:firstLine="0"/>
        <w:contextualSpacing/>
        <w:jc w:val="both"/>
        <w:rPr>
          <w:rFonts w:ascii="Cambria" w:hAnsi="Cambria"/>
          <w:b/>
          <w:bCs/>
          <w:lang w:val="en-US"/>
        </w:rPr>
      </w:pPr>
    </w:p>
    <w:p w:rsidR="00755865" w:rsidRPr="00DA0AF6" w:rsidRDefault="00755865" w:rsidP="00755865">
      <w:pPr>
        <w:pStyle w:val="ListParagraph"/>
        <w:ind w:left="709" w:firstLine="0"/>
        <w:jc w:val="both"/>
        <w:rPr>
          <w:rFonts w:ascii="Cambria" w:hAnsi="Cambria"/>
          <w:lang w:val="en-US"/>
        </w:rPr>
      </w:pPr>
      <w:r w:rsidRPr="00DA0AF6">
        <w:rPr>
          <w:rFonts w:ascii="Cambria" w:hAnsi="Cambria"/>
          <w:lang w:val="en-US"/>
        </w:rPr>
        <w:t>The State Bank of Vietnam has just published the second draft of the Decree on the Controlled Regulatory Sandbox of financial technology operations in the Banking Sector. Accordingly, the draft Decree allows the trial of a Fintech solution for peer-to-peer lending (P2P Lending) at the Regulatory Sandbox with several of outstanding regulations as follows:</w:t>
      </w:r>
    </w:p>
    <w:p w:rsidR="00755865" w:rsidRPr="00DA0AF6" w:rsidRDefault="00755865" w:rsidP="00755865">
      <w:pPr>
        <w:pStyle w:val="ListParagraph"/>
        <w:ind w:left="709"/>
        <w:jc w:val="both"/>
        <w:rPr>
          <w:rFonts w:ascii="Cambria" w:hAnsi="Cambria"/>
          <w:lang w:val="en-US"/>
        </w:rPr>
      </w:pPr>
    </w:p>
    <w:p w:rsidR="00755865" w:rsidRPr="00DA0AF6" w:rsidRDefault="00755865" w:rsidP="00755865">
      <w:pPr>
        <w:pStyle w:val="ListParagraph"/>
        <w:widowControl/>
        <w:numPr>
          <w:ilvl w:val="0"/>
          <w:numId w:val="9"/>
        </w:numPr>
        <w:autoSpaceDE/>
        <w:autoSpaceDN/>
        <w:contextualSpacing/>
        <w:jc w:val="both"/>
        <w:rPr>
          <w:rFonts w:ascii="Cambria" w:hAnsi="Cambria"/>
          <w:lang w:val="en-US"/>
        </w:rPr>
      </w:pPr>
      <w:r w:rsidRPr="00DA0AF6">
        <w:rPr>
          <w:rFonts w:ascii="Cambria" w:hAnsi="Cambria"/>
          <w:lang w:val="en-US"/>
        </w:rPr>
        <w:t>Regarding the duration and scope of the peer-to-peer lending trial:</w:t>
      </w:r>
    </w:p>
    <w:p w:rsidR="00755865" w:rsidRPr="00DA0AF6" w:rsidRDefault="00755865" w:rsidP="00755865">
      <w:pPr>
        <w:pStyle w:val="ListParagraph"/>
        <w:ind w:left="1429"/>
        <w:jc w:val="both"/>
        <w:rPr>
          <w:rFonts w:ascii="Cambria" w:hAnsi="Cambria"/>
          <w:lang w:val="en-US"/>
        </w:rPr>
      </w:pPr>
    </w:p>
    <w:p w:rsidR="00755865" w:rsidRPr="00DA0AF6" w:rsidRDefault="00755865" w:rsidP="00755865">
      <w:pPr>
        <w:pStyle w:val="ListParagraph"/>
        <w:widowControl/>
        <w:numPr>
          <w:ilvl w:val="0"/>
          <w:numId w:val="10"/>
        </w:numPr>
        <w:autoSpaceDE/>
        <w:autoSpaceDN/>
        <w:contextualSpacing/>
        <w:jc w:val="both"/>
        <w:rPr>
          <w:rFonts w:ascii="Cambria" w:hAnsi="Cambria"/>
          <w:lang w:val="en-US"/>
        </w:rPr>
      </w:pPr>
      <w:r w:rsidRPr="00DA0AF6">
        <w:rPr>
          <w:rFonts w:ascii="Cambria" w:hAnsi="Cambria"/>
          <w:lang w:val="en-US"/>
        </w:rPr>
        <w:t>The trial period for peer-to-peer lending can be up to two (02) years from the time it is granted the Certificate of Participation in the Regulatory Sandbox by the State Bank. Several factors are considered to determine the trial period including, but not limited to, the complexity, innovativeness of the peer-to-peer lending solution in the Fintech sector, and the specific proposal of the organization registering to participate in the trial.</w:t>
      </w:r>
    </w:p>
    <w:p w:rsidR="00755865" w:rsidRPr="00DA0AF6" w:rsidRDefault="00755865" w:rsidP="00755865">
      <w:pPr>
        <w:pStyle w:val="ListParagraph"/>
        <w:ind w:left="1800"/>
        <w:jc w:val="both"/>
        <w:rPr>
          <w:rFonts w:ascii="Cambria" w:hAnsi="Cambria"/>
          <w:lang w:val="en-US"/>
        </w:rPr>
      </w:pPr>
    </w:p>
    <w:p w:rsidR="00755865" w:rsidRPr="00DA0AF6" w:rsidRDefault="00755865" w:rsidP="00755865">
      <w:pPr>
        <w:pStyle w:val="ListParagraph"/>
        <w:widowControl/>
        <w:numPr>
          <w:ilvl w:val="0"/>
          <w:numId w:val="10"/>
        </w:numPr>
        <w:autoSpaceDE/>
        <w:autoSpaceDN/>
        <w:contextualSpacing/>
        <w:jc w:val="both"/>
        <w:rPr>
          <w:rFonts w:ascii="Cambria" w:hAnsi="Cambria"/>
          <w:lang w:val="en-US"/>
        </w:rPr>
      </w:pPr>
      <w:r w:rsidRPr="00DA0AF6">
        <w:rPr>
          <w:rFonts w:ascii="Cambria" w:hAnsi="Cambria"/>
          <w:lang w:val="en-US"/>
        </w:rPr>
        <w:t>The scope of the peer-to-peer lending trial is decided by the State Bank based on the nature of the peer-to-peer lending solution and the specific proposal of the organization registering to participate in the trial.</w:t>
      </w:r>
    </w:p>
    <w:p w:rsidR="00755865" w:rsidRPr="00DA0AF6" w:rsidRDefault="00755865" w:rsidP="00755865">
      <w:pPr>
        <w:pStyle w:val="ListParagraph"/>
        <w:ind w:left="1789"/>
        <w:jc w:val="both"/>
        <w:rPr>
          <w:rFonts w:ascii="Cambria" w:hAnsi="Cambria"/>
          <w:lang w:val="en-US"/>
        </w:rPr>
      </w:pPr>
    </w:p>
    <w:p w:rsidR="00755865" w:rsidRPr="00DA0AF6" w:rsidRDefault="00755865" w:rsidP="00755865">
      <w:pPr>
        <w:pStyle w:val="ListParagraph"/>
        <w:widowControl/>
        <w:numPr>
          <w:ilvl w:val="0"/>
          <w:numId w:val="9"/>
        </w:numPr>
        <w:autoSpaceDE/>
        <w:autoSpaceDN/>
        <w:contextualSpacing/>
        <w:jc w:val="both"/>
        <w:rPr>
          <w:rFonts w:ascii="Cambria" w:hAnsi="Cambria"/>
          <w:lang w:val="en-US"/>
        </w:rPr>
      </w:pPr>
      <w:r w:rsidRPr="00DA0AF6">
        <w:rPr>
          <w:rFonts w:ascii="Cambria" w:hAnsi="Cambria"/>
          <w:lang w:val="en-US"/>
        </w:rPr>
        <w:t>A peer-to-peer lending company in the process of participating in the Regulatory Sandbox must not perform the following acts:</w:t>
      </w:r>
    </w:p>
    <w:p w:rsidR="00755865" w:rsidRPr="00DA0AF6" w:rsidRDefault="00755865" w:rsidP="00755865">
      <w:pPr>
        <w:jc w:val="both"/>
        <w:rPr>
          <w:rFonts w:ascii="Cambria" w:hAnsi="Cambria"/>
          <w:lang w:val="en-US"/>
        </w:rPr>
      </w:pPr>
    </w:p>
    <w:p w:rsidR="00755865" w:rsidRPr="00DA0AF6" w:rsidRDefault="00755865" w:rsidP="00755865">
      <w:pPr>
        <w:pStyle w:val="ListParagraph"/>
        <w:widowControl/>
        <w:numPr>
          <w:ilvl w:val="0"/>
          <w:numId w:val="10"/>
        </w:numPr>
        <w:autoSpaceDE/>
        <w:autoSpaceDN/>
        <w:contextualSpacing/>
        <w:jc w:val="both"/>
        <w:rPr>
          <w:rFonts w:ascii="Cambria" w:hAnsi="Cambria"/>
          <w:lang w:val="en-US"/>
        </w:rPr>
      </w:pPr>
      <w:r w:rsidRPr="00DA0AF6">
        <w:rPr>
          <w:rFonts w:ascii="Cambria" w:hAnsi="Cambria"/>
          <w:lang w:val="en-US"/>
        </w:rPr>
        <w:t>Providing loan security measures;</w:t>
      </w:r>
    </w:p>
    <w:p w:rsidR="00755865" w:rsidRPr="00DA0AF6" w:rsidRDefault="00755865" w:rsidP="00755865">
      <w:pPr>
        <w:pStyle w:val="ListParagraph"/>
        <w:ind w:left="1800"/>
        <w:jc w:val="both"/>
        <w:rPr>
          <w:rFonts w:ascii="Cambria" w:hAnsi="Cambria"/>
          <w:lang w:val="en-US"/>
        </w:rPr>
      </w:pPr>
    </w:p>
    <w:p w:rsidR="00755865" w:rsidRPr="00DA0AF6" w:rsidRDefault="00755865" w:rsidP="00755865">
      <w:pPr>
        <w:pStyle w:val="ListParagraph"/>
        <w:widowControl/>
        <w:numPr>
          <w:ilvl w:val="0"/>
          <w:numId w:val="10"/>
        </w:numPr>
        <w:autoSpaceDE/>
        <w:autoSpaceDN/>
        <w:contextualSpacing/>
        <w:jc w:val="both"/>
        <w:rPr>
          <w:rFonts w:ascii="Cambria" w:hAnsi="Cambria"/>
          <w:lang w:val="en-US"/>
        </w:rPr>
      </w:pPr>
      <w:r w:rsidRPr="00DA0AF6">
        <w:rPr>
          <w:rFonts w:ascii="Cambria" w:hAnsi="Cambria"/>
          <w:lang w:val="en-US"/>
        </w:rPr>
        <w:t>Providing information brokerage services for borrowing money for stock investment activities and other high-risk activities;</w:t>
      </w:r>
    </w:p>
    <w:p w:rsidR="00755865" w:rsidRPr="00DA0AF6" w:rsidRDefault="00755865" w:rsidP="00755865">
      <w:pPr>
        <w:pStyle w:val="ListParagraph"/>
        <w:rPr>
          <w:rFonts w:ascii="Cambria" w:hAnsi="Cambria"/>
          <w:lang w:val="en-US"/>
        </w:rPr>
      </w:pPr>
    </w:p>
    <w:p w:rsidR="00755865" w:rsidRPr="00DA0AF6" w:rsidRDefault="00755865" w:rsidP="00755865">
      <w:pPr>
        <w:pStyle w:val="ListParagraph"/>
        <w:widowControl/>
        <w:numPr>
          <w:ilvl w:val="0"/>
          <w:numId w:val="10"/>
        </w:numPr>
        <w:autoSpaceDE/>
        <w:autoSpaceDN/>
        <w:contextualSpacing/>
        <w:jc w:val="both"/>
        <w:rPr>
          <w:rFonts w:ascii="Cambria" w:hAnsi="Cambria"/>
          <w:lang w:val="en-US"/>
        </w:rPr>
      </w:pPr>
      <w:r w:rsidRPr="00DA0AF6">
        <w:rPr>
          <w:rFonts w:ascii="Cambria" w:hAnsi="Cambria"/>
          <w:lang w:val="en-US"/>
        </w:rPr>
        <w:t>Unauthorized use of money from customers;</w:t>
      </w:r>
    </w:p>
    <w:p w:rsidR="00755865" w:rsidRPr="00DA0AF6" w:rsidRDefault="00755865" w:rsidP="00755865">
      <w:pPr>
        <w:pStyle w:val="ListParagraph"/>
        <w:rPr>
          <w:rFonts w:ascii="Cambria" w:hAnsi="Cambria"/>
          <w:lang w:val="en-US"/>
        </w:rPr>
      </w:pPr>
    </w:p>
    <w:p w:rsidR="00755865" w:rsidRPr="00DA0AF6" w:rsidRDefault="00755865" w:rsidP="00755865">
      <w:pPr>
        <w:pStyle w:val="ListParagraph"/>
        <w:widowControl/>
        <w:numPr>
          <w:ilvl w:val="0"/>
          <w:numId w:val="10"/>
        </w:numPr>
        <w:autoSpaceDE/>
        <w:autoSpaceDN/>
        <w:contextualSpacing/>
        <w:jc w:val="both"/>
        <w:rPr>
          <w:rFonts w:ascii="Cambria" w:hAnsi="Cambria"/>
          <w:lang w:val="en-US"/>
        </w:rPr>
      </w:pPr>
      <w:r w:rsidRPr="00DA0AF6">
        <w:rPr>
          <w:rFonts w:ascii="Cambria" w:hAnsi="Cambria"/>
          <w:lang w:val="en-US"/>
        </w:rPr>
        <w:t>The founder, executive managers participate in borrowing and lending and are the securing parties or guarantors through the Fintech solution they operate, taking advantage of the management and operation to change the information through Fintech solutions, performing acts of fraud, fraudulent, appropriation of customers' assets;</w:t>
      </w:r>
    </w:p>
    <w:p w:rsidR="00755865" w:rsidRPr="00DA0AF6" w:rsidRDefault="00755865" w:rsidP="00755865">
      <w:pPr>
        <w:pStyle w:val="ListParagraph"/>
        <w:rPr>
          <w:rFonts w:ascii="Cambria" w:hAnsi="Cambria"/>
          <w:lang w:val="en-US"/>
        </w:rPr>
      </w:pPr>
    </w:p>
    <w:p w:rsidR="00755865" w:rsidRPr="00DA0AF6" w:rsidRDefault="00755865" w:rsidP="00755865">
      <w:pPr>
        <w:pStyle w:val="ListParagraph"/>
        <w:widowControl/>
        <w:numPr>
          <w:ilvl w:val="0"/>
          <w:numId w:val="10"/>
        </w:numPr>
        <w:autoSpaceDE/>
        <w:autoSpaceDN/>
        <w:contextualSpacing/>
        <w:jc w:val="both"/>
        <w:rPr>
          <w:rFonts w:ascii="Cambria" w:hAnsi="Cambria"/>
          <w:lang w:val="en-US"/>
        </w:rPr>
      </w:pPr>
      <w:r w:rsidRPr="00DA0AF6">
        <w:rPr>
          <w:rFonts w:ascii="Cambria" w:hAnsi="Cambria"/>
          <w:lang w:val="en-US"/>
        </w:rPr>
        <w:lastRenderedPageBreak/>
        <w:t>The managers and executives of the peer-to-peer lending company are also the owners, managers and executives of the financial service, credit, pawn, multi-level business enterprise, owners of the tontine, or they are either working in the banking sector or working in fields related to intermediary payment services, e-wallets.</w:t>
      </w:r>
    </w:p>
    <w:p w:rsidR="00755865" w:rsidRDefault="00755865" w:rsidP="00755865">
      <w:pPr>
        <w:pStyle w:val="ListParagraph"/>
        <w:widowControl/>
        <w:autoSpaceDE/>
        <w:autoSpaceDN/>
        <w:ind w:left="709" w:firstLine="0"/>
        <w:contextualSpacing/>
        <w:jc w:val="both"/>
        <w:rPr>
          <w:rFonts w:ascii="Cambria" w:hAnsi="Cambria"/>
          <w:lang w:val="en-US"/>
        </w:rPr>
      </w:pPr>
    </w:p>
    <w:p w:rsidR="00755865" w:rsidRPr="00B55567" w:rsidRDefault="00755865" w:rsidP="00755865">
      <w:pPr>
        <w:pStyle w:val="ListParagraph"/>
        <w:widowControl/>
        <w:numPr>
          <w:ilvl w:val="1"/>
          <w:numId w:val="4"/>
        </w:numPr>
        <w:autoSpaceDE/>
        <w:autoSpaceDN/>
        <w:ind w:left="709" w:hanging="709"/>
        <w:contextualSpacing/>
        <w:jc w:val="both"/>
        <w:rPr>
          <w:rFonts w:ascii="Cambria" w:hAnsi="Cambria"/>
          <w:lang w:val="en-US"/>
        </w:rPr>
      </w:pPr>
      <w:r>
        <w:rPr>
          <w:rFonts w:ascii="Cambria" w:hAnsi="Cambria"/>
          <w:b/>
          <w:lang w:val="en-US"/>
        </w:rPr>
        <w:t>Reduction of environmental protection tax rates for petrol, oil and grease</w:t>
      </w:r>
    </w:p>
    <w:p w:rsidR="00755865" w:rsidRDefault="00755865" w:rsidP="00755865">
      <w:pPr>
        <w:pStyle w:val="ListParagraph"/>
        <w:widowControl/>
        <w:autoSpaceDE/>
        <w:autoSpaceDN/>
        <w:ind w:left="709" w:firstLine="0"/>
        <w:contextualSpacing/>
        <w:jc w:val="both"/>
        <w:rPr>
          <w:rFonts w:ascii="Cambria" w:hAnsi="Cambria"/>
          <w:b/>
          <w:lang w:val="en-US"/>
        </w:rPr>
      </w:pPr>
    </w:p>
    <w:p w:rsidR="00755865" w:rsidRPr="00DA0AF6" w:rsidRDefault="00755865" w:rsidP="00755865">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 xml:space="preserve">On March 23, 2022, the Standing Committee of the National Assembly issues Resolution No. 18/2022/UBTVQH15 on </w:t>
      </w:r>
      <w:r w:rsidRPr="00DA0AF6">
        <w:rPr>
          <w:rFonts w:ascii="Cambria" w:hAnsi="Cambria"/>
          <w:bCs/>
          <w:noProof w:val="0"/>
          <w:sz w:val="22"/>
          <w:szCs w:val="22"/>
          <w:lang w:val="en-US"/>
        </w:rPr>
        <w:t>environmental protection tax rates for petrol, oil and grease.</w:t>
      </w:r>
    </w:p>
    <w:p w:rsidR="00755865" w:rsidRPr="00DA0AF6" w:rsidRDefault="00755865" w:rsidP="00755865">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p>
    <w:p w:rsidR="00755865" w:rsidRPr="00DA0AF6" w:rsidRDefault="00755865" w:rsidP="00755865">
      <w:pPr>
        <w:pStyle w:val="NormalWeb"/>
        <w:shd w:val="clear" w:color="auto" w:fill="FFFFFF"/>
        <w:spacing w:before="0" w:beforeAutospacing="0" w:after="0" w:afterAutospacing="0" w:line="252" w:lineRule="auto"/>
        <w:ind w:left="709"/>
        <w:contextualSpacing/>
        <w:jc w:val="both"/>
        <w:rPr>
          <w:rFonts w:ascii="Cambria" w:hAnsi="Cambria"/>
          <w:noProof w:val="0"/>
          <w:sz w:val="22"/>
          <w:szCs w:val="22"/>
          <w:lang w:val="en-US"/>
        </w:rPr>
      </w:pPr>
      <w:r w:rsidRPr="00DA0AF6">
        <w:rPr>
          <w:rFonts w:ascii="Cambria" w:hAnsi="Cambria"/>
          <w:bCs/>
          <w:noProof w:val="0"/>
          <w:color w:val="000000"/>
          <w:sz w:val="22"/>
          <w:szCs w:val="22"/>
          <w:lang w:val="en-US"/>
        </w:rPr>
        <w:t>Accordingly, this Resolution regulate</w:t>
      </w:r>
      <w:r w:rsidRPr="00DA0AF6">
        <w:rPr>
          <w:rFonts w:ascii="Cambria" w:hAnsi="Cambria"/>
          <w:noProof w:val="0"/>
          <w:sz w:val="22"/>
          <w:szCs w:val="22"/>
          <w:lang w:val="en-US"/>
        </w:rPr>
        <w:t>s several outstanding contents as follows:</w:t>
      </w:r>
    </w:p>
    <w:p w:rsidR="00755865" w:rsidRPr="00DA0AF6" w:rsidRDefault="00755865" w:rsidP="00755865">
      <w:pPr>
        <w:pStyle w:val="ListParagraph"/>
        <w:jc w:val="both"/>
        <w:rPr>
          <w:rFonts w:ascii="Cambria" w:hAnsi="Cambria"/>
          <w:b/>
          <w:lang w:val="en-US"/>
        </w:rPr>
      </w:pPr>
    </w:p>
    <w:p w:rsidR="00755865" w:rsidRPr="00DA0AF6" w:rsidRDefault="00755865" w:rsidP="00755865">
      <w:pPr>
        <w:pStyle w:val="ListParagraph"/>
        <w:widowControl/>
        <w:numPr>
          <w:ilvl w:val="0"/>
          <w:numId w:val="11"/>
        </w:numPr>
        <w:autoSpaceDE/>
        <w:autoSpaceDN/>
        <w:contextualSpacing/>
        <w:jc w:val="both"/>
        <w:rPr>
          <w:rFonts w:ascii="Cambria" w:hAnsi="Cambria"/>
          <w:lang w:val="en-US"/>
        </w:rPr>
      </w:pPr>
      <w:r w:rsidRPr="00DA0AF6">
        <w:rPr>
          <w:rFonts w:ascii="Cambria" w:hAnsi="Cambria"/>
          <w:lang w:val="en-US"/>
        </w:rPr>
        <w:t>Reducing 50% of the environmental protection tax rates provided in Section I, Article 1.1 of Resolution No. 579/2018/UBTVQH14 for petrol (except ethanol), diesel oil, mazut, lubricant and grease from April 1, 2022 to the end of December 31, 2022. Thus, the tax rates for petrol (except ethanol), diesel oil, mazut, lubricant and grease are as follows:</w:t>
      </w:r>
    </w:p>
    <w:p w:rsidR="00755865" w:rsidRPr="00DA0AF6" w:rsidRDefault="00755865" w:rsidP="00755865">
      <w:pPr>
        <w:pStyle w:val="ListParagraph"/>
        <w:ind w:left="1440"/>
        <w:jc w:val="both"/>
        <w:rPr>
          <w:rFonts w:ascii="Cambria" w:hAnsi="Cambria"/>
          <w:lang w:val="en-US"/>
        </w:rPr>
      </w:pPr>
    </w:p>
    <w:p w:rsidR="00755865" w:rsidRPr="00DA0AF6" w:rsidRDefault="00755865" w:rsidP="00755865">
      <w:pPr>
        <w:pStyle w:val="ListParagraph"/>
        <w:widowControl/>
        <w:numPr>
          <w:ilvl w:val="0"/>
          <w:numId w:val="7"/>
        </w:numPr>
        <w:autoSpaceDE/>
        <w:autoSpaceDN/>
        <w:ind w:left="2160"/>
        <w:contextualSpacing/>
        <w:jc w:val="both"/>
        <w:rPr>
          <w:rFonts w:ascii="Cambria" w:hAnsi="Cambria"/>
          <w:lang w:val="en-US"/>
        </w:rPr>
      </w:pPr>
      <w:r w:rsidRPr="00DA0AF6">
        <w:rPr>
          <w:rFonts w:ascii="Cambria" w:hAnsi="Cambria"/>
          <w:lang w:val="en-US"/>
        </w:rPr>
        <w:t>Petrol (except ethanol) will be reduced from 4,000 VND per liter to 2,000 VND per liter;</w:t>
      </w:r>
    </w:p>
    <w:p w:rsidR="00755865" w:rsidRPr="00DA0AF6" w:rsidRDefault="00755865" w:rsidP="00755865">
      <w:pPr>
        <w:pStyle w:val="ListParagraph"/>
        <w:ind w:left="1811"/>
        <w:jc w:val="both"/>
        <w:rPr>
          <w:rFonts w:ascii="Cambria" w:hAnsi="Cambria"/>
          <w:lang w:val="en-US"/>
        </w:rPr>
      </w:pPr>
    </w:p>
    <w:p w:rsidR="00755865" w:rsidRPr="00DA0AF6" w:rsidRDefault="00755865" w:rsidP="00755865">
      <w:pPr>
        <w:pStyle w:val="ListParagraph"/>
        <w:widowControl/>
        <w:numPr>
          <w:ilvl w:val="0"/>
          <w:numId w:val="7"/>
        </w:numPr>
        <w:autoSpaceDE/>
        <w:autoSpaceDN/>
        <w:ind w:left="2160"/>
        <w:contextualSpacing/>
        <w:jc w:val="both"/>
        <w:rPr>
          <w:rFonts w:ascii="Cambria" w:hAnsi="Cambria"/>
          <w:lang w:val="en-US"/>
        </w:rPr>
      </w:pPr>
      <w:r w:rsidRPr="00DA0AF6">
        <w:rPr>
          <w:rFonts w:ascii="Cambria" w:hAnsi="Cambria"/>
          <w:lang w:val="en-US"/>
        </w:rPr>
        <w:t>Diesel oil will be reduced from 2,000 VND per liter to 1,000 VND per liter;</w:t>
      </w:r>
    </w:p>
    <w:p w:rsidR="00755865" w:rsidRPr="00DA0AF6" w:rsidRDefault="00755865" w:rsidP="00755865">
      <w:pPr>
        <w:pStyle w:val="ListParagraph"/>
        <w:ind w:left="1091"/>
        <w:rPr>
          <w:rFonts w:ascii="Cambria" w:hAnsi="Cambria"/>
          <w:lang w:val="en-US"/>
        </w:rPr>
      </w:pPr>
    </w:p>
    <w:p w:rsidR="00755865" w:rsidRPr="00DA0AF6" w:rsidRDefault="00755865" w:rsidP="00755865">
      <w:pPr>
        <w:pStyle w:val="ListParagraph"/>
        <w:widowControl/>
        <w:numPr>
          <w:ilvl w:val="0"/>
          <w:numId w:val="7"/>
        </w:numPr>
        <w:autoSpaceDE/>
        <w:autoSpaceDN/>
        <w:ind w:left="2160"/>
        <w:contextualSpacing/>
        <w:jc w:val="both"/>
        <w:rPr>
          <w:rFonts w:ascii="Cambria" w:hAnsi="Cambria"/>
          <w:lang w:val="en-US"/>
        </w:rPr>
      </w:pPr>
      <w:r w:rsidRPr="00DA0AF6">
        <w:rPr>
          <w:rFonts w:ascii="Cambria" w:hAnsi="Cambria"/>
          <w:lang w:val="en-US"/>
        </w:rPr>
        <w:t>Mazut will be reduced from 2,000 VND per liter to 1,000 VND per liter;</w:t>
      </w:r>
    </w:p>
    <w:p w:rsidR="00755865" w:rsidRPr="00DA0AF6" w:rsidRDefault="00755865" w:rsidP="00755865">
      <w:pPr>
        <w:pStyle w:val="ListParagraph"/>
        <w:ind w:left="1091"/>
        <w:rPr>
          <w:rFonts w:ascii="Cambria" w:hAnsi="Cambria"/>
          <w:lang w:val="en-US"/>
        </w:rPr>
      </w:pPr>
    </w:p>
    <w:p w:rsidR="00755865" w:rsidRPr="00DA0AF6" w:rsidRDefault="00755865" w:rsidP="00755865">
      <w:pPr>
        <w:pStyle w:val="ListParagraph"/>
        <w:widowControl/>
        <w:numPr>
          <w:ilvl w:val="0"/>
          <w:numId w:val="7"/>
        </w:numPr>
        <w:autoSpaceDE/>
        <w:autoSpaceDN/>
        <w:ind w:left="2160"/>
        <w:contextualSpacing/>
        <w:jc w:val="both"/>
        <w:rPr>
          <w:rFonts w:ascii="Cambria" w:hAnsi="Cambria"/>
          <w:lang w:val="en-US"/>
        </w:rPr>
      </w:pPr>
      <w:r w:rsidRPr="00DA0AF6">
        <w:rPr>
          <w:rFonts w:ascii="Cambria" w:hAnsi="Cambria"/>
          <w:lang w:val="en-US"/>
        </w:rPr>
        <w:t>Lubricant will be reduced from 2,000 VND per liter to 1,000 VND per liter;</w:t>
      </w:r>
    </w:p>
    <w:p w:rsidR="00755865" w:rsidRPr="00DA0AF6" w:rsidRDefault="00755865" w:rsidP="00755865">
      <w:pPr>
        <w:pStyle w:val="ListParagraph"/>
        <w:ind w:left="1091"/>
        <w:rPr>
          <w:rFonts w:ascii="Cambria" w:hAnsi="Cambria"/>
          <w:lang w:val="en-US"/>
        </w:rPr>
      </w:pPr>
    </w:p>
    <w:p w:rsidR="00755865" w:rsidRPr="00DA0AF6" w:rsidRDefault="00755865" w:rsidP="00755865">
      <w:pPr>
        <w:pStyle w:val="ListParagraph"/>
        <w:widowControl/>
        <w:numPr>
          <w:ilvl w:val="0"/>
          <w:numId w:val="7"/>
        </w:numPr>
        <w:autoSpaceDE/>
        <w:autoSpaceDN/>
        <w:ind w:left="2160"/>
        <w:contextualSpacing/>
        <w:jc w:val="both"/>
        <w:rPr>
          <w:rFonts w:ascii="Cambria" w:hAnsi="Cambria"/>
          <w:lang w:val="en-US"/>
        </w:rPr>
      </w:pPr>
      <w:r w:rsidRPr="00DA0AF6">
        <w:rPr>
          <w:rFonts w:ascii="Cambria" w:hAnsi="Cambria"/>
          <w:lang w:val="en-US"/>
        </w:rPr>
        <w:t>Grease will be reduced from 2,000 VND per liter to 1,000 VND per liter;</w:t>
      </w:r>
    </w:p>
    <w:p w:rsidR="00755865" w:rsidRPr="00DA0AF6" w:rsidRDefault="00755865" w:rsidP="00755865">
      <w:pPr>
        <w:pStyle w:val="ListParagraph"/>
        <w:ind w:left="1440"/>
        <w:jc w:val="both"/>
        <w:rPr>
          <w:rFonts w:ascii="Cambria" w:hAnsi="Cambria"/>
          <w:lang w:val="en-US"/>
        </w:rPr>
      </w:pPr>
    </w:p>
    <w:p w:rsidR="00755865" w:rsidRPr="00DA0AF6" w:rsidRDefault="00755865" w:rsidP="00755865">
      <w:pPr>
        <w:pStyle w:val="ListParagraph"/>
        <w:widowControl/>
        <w:numPr>
          <w:ilvl w:val="0"/>
          <w:numId w:val="11"/>
        </w:numPr>
        <w:autoSpaceDE/>
        <w:autoSpaceDN/>
        <w:contextualSpacing/>
        <w:jc w:val="both"/>
        <w:rPr>
          <w:rFonts w:ascii="Cambria" w:hAnsi="Cambria"/>
          <w:lang w:val="en-US"/>
        </w:rPr>
      </w:pPr>
      <w:r w:rsidRPr="00DA0AF6">
        <w:rPr>
          <w:rFonts w:ascii="Cambria" w:hAnsi="Cambria"/>
          <w:lang w:val="en-US"/>
        </w:rPr>
        <w:t>Reducing 70% of the environmental protection tax rate provided in Section I, Article 1.1 of Resolution No. 579/2018/UBTVQH14 for kerosene from April 1, 2022 to the end of December 31, 2022. In particular, the tax rate for kerosene is reduced from 1,000 VND per liter to 300 VND per liter.</w:t>
      </w:r>
    </w:p>
    <w:p w:rsidR="00755865" w:rsidRPr="00DA0AF6" w:rsidRDefault="00755865" w:rsidP="00755865">
      <w:pPr>
        <w:pStyle w:val="ListParagraph"/>
        <w:ind w:left="709"/>
        <w:jc w:val="both"/>
        <w:rPr>
          <w:rFonts w:ascii="Cambria" w:hAnsi="Cambria"/>
          <w:b/>
          <w:lang w:val="en-US"/>
        </w:rPr>
      </w:pPr>
    </w:p>
    <w:p w:rsidR="00755865" w:rsidRPr="00DA0AF6" w:rsidRDefault="00755865" w:rsidP="00755865">
      <w:pPr>
        <w:pStyle w:val="ListParagraph"/>
        <w:ind w:left="709" w:firstLine="0"/>
        <w:jc w:val="both"/>
        <w:rPr>
          <w:rFonts w:ascii="Cambria" w:hAnsi="Cambria"/>
          <w:bCs/>
          <w:lang w:val="en-US"/>
        </w:rPr>
      </w:pPr>
      <w:r w:rsidRPr="00DA0AF6">
        <w:rPr>
          <w:rFonts w:ascii="Cambria" w:hAnsi="Cambria"/>
          <w:b/>
          <w:lang w:val="en-US"/>
        </w:rPr>
        <w:t>Resolution No. 18/UBTVQH15</w:t>
      </w:r>
      <w:r w:rsidRPr="00DA0AF6">
        <w:rPr>
          <w:rFonts w:ascii="Cambria" w:hAnsi="Cambria"/>
          <w:b/>
          <w:bCs/>
          <w:lang w:val="en-US"/>
        </w:rPr>
        <w:t xml:space="preserve"> take</w:t>
      </w:r>
      <w:r>
        <w:rPr>
          <w:rFonts w:ascii="Cambria" w:hAnsi="Cambria"/>
          <w:b/>
          <w:bCs/>
          <w:lang w:val="en-US"/>
        </w:rPr>
        <w:t>s</w:t>
      </w:r>
      <w:r w:rsidRPr="00DA0AF6">
        <w:rPr>
          <w:rFonts w:ascii="Cambria" w:hAnsi="Cambria"/>
          <w:b/>
          <w:bCs/>
          <w:lang w:val="en-US"/>
        </w:rPr>
        <w:t xml:space="preserve"> effect from 01 April, 2022</w:t>
      </w:r>
      <w:r w:rsidRPr="00DA0AF6">
        <w:rPr>
          <w:rFonts w:ascii="Cambria" w:hAnsi="Cambria"/>
          <w:bCs/>
          <w:lang w:val="en-US"/>
        </w:rPr>
        <w:t xml:space="preserve"> and does not apply the environmental protection tax rates for petrol, oil and grease provided in Section I, Article 1.1 of Resolution No. 579/2018/UBTVQH14 from April 1, 2022 to the end of December 31, 2022.</w:t>
      </w:r>
    </w:p>
    <w:p w:rsidR="00755865" w:rsidRPr="00B55567" w:rsidRDefault="00755865" w:rsidP="00755865">
      <w:pPr>
        <w:pStyle w:val="ListParagraph"/>
        <w:widowControl/>
        <w:autoSpaceDE/>
        <w:autoSpaceDN/>
        <w:ind w:left="709" w:firstLine="0"/>
        <w:contextualSpacing/>
        <w:jc w:val="both"/>
        <w:rPr>
          <w:rFonts w:ascii="Cambria" w:hAnsi="Cambria"/>
          <w:lang w:val="en-US"/>
        </w:rPr>
      </w:pPr>
    </w:p>
    <w:p w:rsidR="00755865" w:rsidRPr="00B55567" w:rsidRDefault="00755865" w:rsidP="00755865">
      <w:pPr>
        <w:pStyle w:val="ListParagraph"/>
        <w:widowControl/>
        <w:numPr>
          <w:ilvl w:val="1"/>
          <w:numId w:val="4"/>
        </w:numPr>
        <w:autoSpaceDE/>
        <w:autoSpaceDN/>
        <w:ind w:left="709" w:hanging="709"/>
        <w:contextualSpacing/>
        <w:jc w:val="both"/>
        <w:rPr>
          <w:rFonts w:ascii="Cambria" w:hAnsi="Cambria"/>
          <w:lang w:val="en-US"/>
        </w:rPr>
      </w:pPr>
      <w:r>
        <w:rPr>
          <w:rFonts w:ascii="Cambria" w:hAnsi="Cambria"/>
          <w:b/>
          <w:lang w:val="en-US"/>
        </w:rPr>
        <w:t xml:space="preserve">Increase the number of overtime working hours in the context of Covid-19 pandemic prevention and control </w:t>
      </w:r>
    </w:p>
    <w:p w:rsidR="00755865" w:rsidRDefault="00755865" w:rsidP="00755865">
      <w:pPr>
        <w:pStyle w:val="ListParagraph"/>
        <w:widowControl/>
        <w:autoSpaceDE/>
        <w:autoSpaceDN/>
        <w:ind w:left="709" w:firstLine="0"/>
        <w:contextualSpacing/>
        <w:jc w:val="both"/>
        <w:rPr>
          <w:rFonts w:ascii="Cambria" w:hAnsi="Cambria"/>
          <w:b/>
          <w:lang w:val="en-US"/>
        </w:rPr>
      </w:pPr>
    </w:p>
    <w:p w:rsidR="00755865" w:rsidRPr="00DA0AF6" w:rsidRDefault="00755865" w:rsidP="00755865">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The Standing Committee of the National Assembly has recently promulgated Resolution No. 17/2022/UBTVQH15 on March 23, 2022 on the number of overtime working hours in a year and a month for employees in the context of Covid-19 pandemic prevention, control and socio-economic recovery, development.</w:t>
      </w:r>
    </w:p>
    <w:p w:rsidR="00755865" w:rsidRPr="00DA0AF6" w:rsidRDefault="00755865" w:rsidP="00755865">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p>
    <w:p w:rsidR="00755865" w:rsidRPr="00DA0AF6" w:rsidRDefault="00755865" w:rsidP="00755865">
      <w:pPr>
        <w:pStyle w:val="NormalWeb"/>
        <w:shd w:val="clear" w:color="auto" w:fill="FFFFFF"/>
        <w:spacing w:before="0" w:beforeAutospacing="0" w:after="0" w:afterAutospacing="0" w:line="252" w:lineRule="auto"/>
        <w:ind w:left="709"/>
        <w:contextualSpacing/>
        <w:jc w:val="both"/>
        <w:rPr>
          <w:rFonts w:ascii="Cambria" w:hAnsi="Cambria"/>
          <w:noProof w:val="0"/>
          <w:sz w:val="22"/>
          <w:szCs w:val="22"/>
          <w:lang w:val="en-US"/>
        </w:rPr>
      </w:pPr>
      <w:r w:rsidRPr="00DA0AF6">
        <w:rPr>
          <w:rFonts w:ascii="Cambria" w:hAnsi="Cambria"/>
          <w:bCs/>
          <w:noProof w:val="0"/>
          <w:color w:val="000000"/>
          <w:sz w:val="22"/>
          <w:szCs w:val="22"/>
          <w:lang w:val="en-US"/>
        </w:rPr>
        <w:t>Accordingly, this Resolution regulate</w:t>
      </w:r>
      <w:r w:rsidRPr="00DA0AF6">
        <w:rPr>
          <w:rFonts w:ascii="Cambria" w:hAnsi="Cambria"/>
          <w:noProof w:val="0"/>
          <w:sz w:val="22"/>
          <w:szCs w:val="22"/>
          <w:lang w:val="en-US"/>
        </w:rPr>
        <w:t>s several outstanding contents as follows:</w:t>
      </w:r>
    </w:p>
    <w:p w:rsidR="00755865" w:rsidRPr="00DA0AF6" w:rsidRDefault="00755865" w:rsidP="00755865">
      <w:pPr>
        <w:pStyle w:val="NormalWeb"/>
        <w:shd w:val="clear" w:color="auto" w:fill="FFFFFF"/>
        <w:spacing w:before="0" w:beforeAutospacing="0" w:after="0" w:afterAutospacing="0" w:line="252" w:lineRule="auto"/>
        <w:ind w:left="709"/>
        <w:contextualSpacing/>
        <w:jc w:val="both"/>
        <w:rPr>
          <w:rFonts w:ascii="Cambria" w:hAnsi="Cambria"/>
          <w:noProof w:val="0"/>
          <w:sz w:val="22"/>
          <w:szCs w:val="22"/>
          <w:lang w:val="en-US"/>
        </w:rPr>
      </w:pPr>
    </w:p>
    <w:p w:rsidR="00755865" w:rsidRPr="00DA0AF6" w:rsidRDefault="00755865" w:rsidP="00755865">
      <w:pPr>
        <w:pStyle w:val="NormalWeb"/>
        <w:numPr>
          <w:ilvl w:val="0"/>
          <w:numId w:val="12"/>
        </w:numPr>
        <w:shd w:val="clear" w:color="auto" w:fill="FFFFFF"/>
        <w:spacing w:before="0" w:beforeAutospacing="0" w:after="0" w:afterAutospacing="0" w:line="252" w:lineRule="auto"/>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In case the employers need and get the employee's consent, the employers may have the right to request the employees to work overtime for more than 200 hours but not exceed 300 hours in one (01) year and thereby, have the right to request employees to work overtime for more than 40 hours but not exceed 60 hours in one (01) month.</w:t>
      </w:r>
    </w:p>
    <w:p w:rsidR="00755865" w:rsidRPr="00DA0AF6" w:rsidRDefault="00755865" w:rsidP="00755865">
      <w:pPr>
        <w:pStyle w:val="NormalWeb"/>
        <w:shd w:val="clear" w:color="auto" w:fill="FFFFFF"/>
        <w:spacing w:before="0" w:beforeAutospacing="0" w:after="0" w:afterAutospacing="0" w:line="252" w:lineRule="auto"/>
        <w:ind w:left="1429"/>
        <w:contextualSpacing/>
        <w:jc w:val="both"/>
        <w:rPr>
          <w:rFonts w:ascii="Cambria" w:hAnsi="Cambria"/>
          <w:bCs/>
          <w:noProof w:val="0"/>
          <w:color w:val="000000"/>
          <w:sz w:val="22"/>
          <w:szCs w:val="22"/>
          <w:lang w:val="en-US"/>
        </w:rPr>
      </w:pPr>
    </w:p>
    <w:p w:rsidR="00755865" w:rsidRPr="00DA0AF6" w:rsidRDefault="00755865" w:rsidP="00755865">
      <w:pPr>
        <w:pStyle w:val="NormalWeb"/>
        <w:numPr>
          <w:ilvl w:val="0"/>
          <w:numId w:val="12"/>
        </w:numPr>
        <w:shd w:val="clear" w:color="auto" w:fill="FFFFFF"/>
        <w:spacing w:before="0" w:beforeAutospacing="0" w:after="0" w:afterAutospacing="0" w:line="252" w:lineRule="auto"/>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However, the above provisions do not apply to the case of employees aged 15 years old to under 18 years old; employees with work capacity reduction of at least 51%, serious or very serious disabilities; employees doing laborious, toxic or dangerous works, or highly laborious, toxic or dangerous works; female employees reach her seventh month of pregnancy; or her sixth month of pregnancy when working in upland, remote, border and island areas; female employees who are raising children under 12 months of age.</w:t>
      </w:r>
    </w:p>
    <w:p w:rsidR="00755865" w:rsidRPr="00DA0AF6" w:rsidRDefault="00755865" w:rsidP="00755865">
      <w:pPr>
        <w:pStyle w:val="ListParagraph"/>
        <w:rPr>
          <w:rFonts w:ascii="Cambria" w:hAnsi="Cambria"/>
          <w:bCs/>
          <w:color w:val="000000"/>
          <w:lang w:val="en-US"/>
        </w:rPr>
      </w:pPr>
    </w:p>
    <w:p w:rsidR="00755865" w:rsidRPr="00DA0AF6" w:rsidRDefault="00755865" w:rsidP="00755865">
      <w:pPr>
        <w:pStyle w:val="NormalWeb"/>
        <w:numPr>
          <w:ilvl w:val="0"/>
          <w:numId w:val="12"/>
        </w:numPr>
        <w:shd w:val="clear" w:color="auto" w:fill="FFFFFF"/>
        <w:spacing w:before="0" w:beforeAutospacing="0" w:after="0" w:afterAutospacing="0" w:line="252" w:lineRule="auto"/>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When organizing overtime work according to the above provisions, the employers must notify in writing the specialized labor authority under the provincial People's Committee. In addition, the employers are responsible for applying measures to improve labor productivity and other measures to reduce overtime work; in the case of overtime work, the employer shall implement welfare regimes to ensure that the employees have more favorable conditions than prescribed by the law of Labor.</w:t>
      </w:r>
    </w:p>
    <w:p w:rsidR="00755865" w:rsidRPr="00DA0AF6" w:rsidRDefault="00755865" w:rsidP="00755865">
      <w:pPr>
        <w:pStyle w:val="NormalWeb"/>
        <w:shd w:val="clear" w:color="auto" w:fill="FFFFFF"/>
        <w:spacing w:before="0" w:beforeAutospacing="0" w:after="0" w:afterAutospacing="0" w:line="252" w:lineRule="auto"/>
        <w:ind w:left="709"/>
        <w:contextualSpacing/>
        <w:jc w:val="both"/>
        <w:rPr>
          <w:rFonts w:ascii="Cambria" w:hAnsi="Cambria"/>
          <w:b/>
          <w:noProof w:val="0"/>
          <w:color w:val="000000"/>
          <w:sz w:val="22"/>
          <w:szCs w:val="22"/>
          <w:lang w:val="en-US"/>
        </w:rPr>
      </w:pPr>
    </w:p>
    <w:p w:rsidR="00755865" w:rsidRPr="00DA0AF6" w:rsidRDefault="00755865" w:rsidP="00755865">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r w:rsidRPr="00DA0AF6">
        <w:rPr>
          <w:rFonts w:ascii="Cambria" w:hAnsi="Cambria"/>
          <w:b/>
          <w:noProof w:val="0"/>
          <w:color w:val="000000"/>
          <w:sz w:val="22"/>
          <w:szCs w:val="22"/>
          <w:lang w:val="en-US"/>
        </w:rPr>
        <w:t xml:space="preserve">Resolution No. 17/2022/UBTVQH </w:t>
      </w:r>
      <w:r w:rsidRPr="00DA0AF6">
        <w:rPr>
          <w:rFonts w:ascii="Cambria" w:hAnsi="Cambria"/>
          <w:b/>
          <w:bCs/>
          <w:noProof w:val="0"/>
          <w:color w:val="000000"/>
          <w:sz w:val="22"/>
          <w:szCs w:val="22"/>
          <w:lang w:val="en-US"/>
        </w:rPr>
        <w:t>takes effect from April 1, 2022</w:t>
      </w:r>
      <w:r w:rsidRPr="00DA0AF6">
        <w:rPr>
          <w:rFonts w:ascii="Cambria" w:hAnsi="Cambria"/>
          <w:bCs/>
          <w:noProof w:val="0"/>
          <w:color w:val="000000"/>
          <w:sz w:val="22"/>
          <w:szCs w:val="22"/>
          <w:lang w:val="en-US"/>
        </w:rPr>
        <w:t>, except for the provision on overtime work in one (01) year following Article 1.1 of this Resolution which shall take effect from 01/01/ 2022.</w:t>
      </w:r>
    </w:p>
    <w:p w:rsidR="00755865" w:rsidRPr="00DF095F" w:rsidRDefault="00755865" w:rsidP="00755865">
      <w:pPr>
        <w:pStyle w:val="Heading1"/>
        <w:tabs>
          <w:tab w:val="left" w:pos="836"/>
          <w:tab w:val="left" w:pos="837"/>
        </w:tabs>
        <w:spacing w:line="252" w:lineRule="auto"/>
        <w:ind w:left="709" w:firstLine="0"/>
        <w:rPr>
          <w:rFonts w:ascii="Cambria" w:hAnsi="Cambria"/>
          <w:lang w:val="en-US"/>
        </w:rPr>
      </w:pPr>
    </w:p>
    <w:p w:rsidR="00755865" w:rsidRPr="00B55567" w:rsidRDefault="00755865" w:rsidP="00755865">
      <w:pPr>
        <w:pStyle w:val="Heading1"/>
        <w:numPr>
          <w:ilvl w:val="0"/>
          <w:numId w:val="1"/>
        </w:numPr>
        <w:ind w:left="709"/>
        <w:rPr>
          <w:rFonts w:ascii="Cambria" w:hAnsi="Cambria"/>
        </w:rPr>
      </w:pPr>
      <w:r w:rsidRPr="00572236">
        <w:rPr>
          <w:rFonts w:ascii="Cambria" w:hAnsi="Cambria"/>
          <w:lang w:val="en"/>
        </w:rPr>
        <w:t xml:space="preserve">Featured </w:t>
      </w:r>
      <w:r>
        <w:rPr>
          <w:rFonts w:ascii="Cambria" w:hAnsi="Cambria"/>
          <w:lang w:val="en"/>
        </w:rPr>
        <w:t>A</w:t>
      </w:r>
      <w:r w:rsidRPr="00572236">
        <w:rPr>
          <w:rFonts w:ascii="Cambria" w:hAnsi="Cambria"/>
          <w:lang w:val="en"/>
        </w:rPr>
        <w:t>rticles</w:t>
      </w:r>
      <w:r>
        <w:rPr>
          <w:rFonts w:ascii="Cambria" w:hAnsi="Cambria"/>
          <w:lang w:val="en"/>
        </w:rPr>
        <w:t xml:space="preserve"> of ADK Lawyer in </w:t>
      </w:r>
      <w:bookmarkStart w:id="1" w:name="Luật_sư_Lê_Tiến_Đạt_–_Luật_sư_điều_hành_"/>
      <w:bookmarkEnd w:id="1"/>
      <w:r>
        <w:rPr>
          <w:rFonts w:ascii="Cambria" w:hAnsi="Cambria"/>
          <w:lang w:val="en"/>
        </w:rPr>
        <w:t>April</w:t>
      </w:r>
      <w:r w:rsidR="00CB1009">
        <w:rPr>
          <w:rFonts w:ascii="Cambria" w:hAnsi="Cambria"/>
          <w:lang w:val="en"/>
        </w:rPr>
        <w:t xml:space="preserve"> 2022</w:t>
      </w:r>
    </w:p>
    <w:p w:rsidR="00755865" w:rsidRDefault="00755865" w:rsidP="00755865">
      <w:pPr>
        <w:pStyle w:val="Heading1"/>
        <w:ind w:left="709" w:firstLine="0"/>
        <w:rPr>
          <w:rFonts w:ascii="Cambria" w:hAnsi="Cambria"/>
          <w:lang w:val="en"/>
        </w:rPr>
      </w:pPr>
    </w:p>
    <w:p w:rsidR="00755865" w:rsidRDefault="00755865" w:rsidP="00755865">
      <w:pPr>
        <w:pStyle w:val="Heading1"/>
        <w:numPr>
          <w:ilvl w:val="1"/>
          <w:numId w:val="1"/>
        </w:numPr>
        <w:ind w:left="1418"/>
        <w:jc w:val="both"/>
        <w:rPr>
          <w:rFonts w:ascii="Cambria" w:hAnsi="Cambria"/>
          <w:b w:val="0"/>
          <w:lang w:val="en-US"/>
        </w:rPr>
      </w:pPr>
      <w:r w:rsidRPr="00C64CF6">
        <w:rPr>
          <w:rFonts w:ascii="Cambria" w:hAnsi="Cambria"/>
          <w:b w:val="0"/>
          <w:lang w:val="en-US"/>
        </w:rPr>
        <w:t>The article “</w:t>
      </w:r>
      <w:r>
        <w:rPr>
          <w:rFonts w:ascii="Cambria" w:hAnsi="Cambria"/>
          <w:b w:val="0"/>
          <w:lang w:val="en-US"/>
        </w:rPr>
        <w:t>Procedures for issuing the bill of lading, through bill of lading”. This article provides legal basis, procedures for issuing the bill of lading, through bill of lading.</w:t>
      </w:r>
    </w:p>
    <w:p w:rsidR="00755865" w:rsidRPr="00C64CF6" w:rsidRDefault="00755865" w:rsidP="00755865">
      <w:pPr>
        <w:pStyle w:val="Heading1"/>
        <w:ind w:left="709" w:firstLine="0"/>
        <w:jc w:val="both"/>
        <w:rPr>
          <w:rFonts w:ascii="Cambria" w:hAnsi="Cambria"/>
          <w:b w:val="0"/>
          <w:lang w:val="en-US"/>
        </w:rPr>
      </w:pPr>
    </w:p>
    <w:p w:rsidR="00755865" w:rsidRDefault="00755865" w:rsidP="008864AF">
      <w:pPr>
        <w:pStyle w:val="Heading1"/>
        <w:numPr>
          <w:ilvl w:val="1"/>
          <w:numId w:val="1"/>
        </w:numPr>
        <w:ind w:left="1418"/>
        <w:jc w:val="both"/>
        <w:rPr>
          <w:rFonts w:ascii="Cambria" w:hAnsi="Cambria"/>
          <w:b w:val="0"/>
          <w:lang w:val="en-US"/>
        </w:rPr>
      </w:pPr>
      <w:r>
        <w:rPr>
          <w:rFonts w:ascii="Cambria" w:hAnsi="Cambria"/>
          <w:b w:val="0"/>
          <w:lang w:val="en-US"/>
        </w:rPr>
        <w:t xml:space="preserve">The article “Legal regulations on receiving the non-refundable sponsorship by a subsidiary in Vietnam from its foreign parent company”. </w:t>
      </w:r>
      <w:r w:rsidR="008864AF" w:rsidRPr="008864AF">
        <w:rPr>
          <w:rFonts w:ascii="Cambria" w:hAnsi="Cambria"/>
          <w:b w:val="0"/>
          <w:lang w:val="en-US"/>
        </w:rPr>
        <w:t>The article analyzes the method of receiving non-refundable funding</w:t>
      </w:r>
      <w:r w:rsidR="008864AF">
        <w:rPr>
          <w:rFonts w:ascii="Cambria" w:hAnsi="Cambria"/>
          <w:b w:val="0"/>
          <w:lang w:val="en-US"/>
        </w:rPr>
        <w:t xml:space="preserve"> from the foreign parent company </w:t>
      </w:r>
      <w:r w:rsidR="008864AF" w:rsidRPr="008864AF">
        <w:rPr>
          <w:rFonts w:ascii="Cambria" w:hAnsi="Cambria"/>
          <w:b w:val="0"/>
          <w:lang w:val="en-US"/>
        </w:rPr>
        <w:t>and the regulations on exemption and reduction of value-added tax and corporate income tax for this transaction.</w:t>
      </w:r>
    </w:p>
    <w:p w:rsidR="00755865" w:rsidRDefault="00755865" w:rsidP="00755865">
      <w:pPr>
        <w:pStyle w:val="ListParagraph"/>
        <w:rPr>
          <w:rFonts w:ascii="Cambria" w:hAnsi="Cambria"/>
          <w:b/>
          <w:lang w:val="en-US"/>
        </w:rPr>
      </w:pPr>
    </w:p>
    <w:p w:rsidR="00755865" w:rsidRDefault="00755865" w:rsidP="00755865">
      <w:pPr>
        <w:pStyle w:val="Heading1"/>
        <w:numPr>
          <w:ilvl w:val="1"/>
          <w:numId w:val="1"/>
        </w:numPr>
        <w:ind w:left="1418"/>
        <w:jc w:val="both"/>
        <w:rPr>
          <w:rFonts w:ascii="Cambria" w:hAnsi="Cambria"/>
          <w:b w:val="0"/>
          <w:lang w:val="en-US"/>
        </w:rPr>
      </w:pPr>
      <w:r>
        <w:rPr>
          <w:rFonts w:ascii="Cambria" w:hAnsi="Cambria"/>
          <w:b w:val="0"/>
          <w:lang w:val="en-US"/>
        </w:rPr>
        <w:t>The article “Comparison between VIAC rules and SIAC rules”. This article focused on comparing two procedural rules of two famous arbitration centers, Vietnam International Arbitration Center (VIAC) and Singapore International Arbitration Center (SIAC)</w:t>
      </w:r>
      <w:r w:rsidR="00EE688C">
        <w:rPr>
          <w:rFonts w:ascii="Cambria" w:hAnsi="Cambria"/>
          <w:b w:val="0"/>
          <w:lang w:val="en-US"/>
        </w:rPr>
        <w:t>.</w:t>
      </w:r>
    </w:p>
    <w:p w:rsidR="00755865" w:rsidRPr="00B55567" w:rsidRDefault="00755865" w:rsidP="00755865">
      <w:pPr>
        <w:pStyle w:val="Heading1"/>
        <w:ind w:left="1418" w:firstLine="0"/>
        <w:rPr>
          <w:rFonts w:ascii="Cambria" w:hAnsi="Cambria"/>
          <w:b w:val="0"/>
          <w:lang w:val="en-US"/>
        </w:rPr>
      </w:pPr>
    </w:p>
    <w:p w:rsidR="00755865" w:rsidRDefault="00755865" w:rsidP="00755865">
      <w:pPr>
        <w:pStyle w:val="BodyText"/>
        <w:spacing w:line="252" w:lineRule="auto"/>
        <w:ind w:left="709" w:right="423"/>
        <w:jc w:val="both"/>
        <w:rPr>
          <w:rFonts w:ascii="Cambria" w:hAnsi="Cambria"/>
          <w:lang w:val="en"/>
        </w:rPr>
      </w:pPr>
      <w:bookmarkStart w:id="2" w:name="-_Một_vài_lưu_ý_pháp_lý_trong_quá_trình_"/>
      <w:bookmarkEnd w:id="2"/>
      <w:r w:rsidRPr="00572236">
        <w:rPr>
          <w:rFonts w:ascii="Cambria" w:hAnsi="Cambria"/>
          <w:lang w:val="en"/>
        </w:rPr>
        <w:t>To read the</w:t>
      </w:r>
      <w:r w:rsidRPr="00572236">
        <w:rPr>
          <w:rFonts w:ascii="Cambria" w:hAnsi="Cambria"/>
          <w:spacing w:val="-3"/>
          <w:lang w:val="en"/>
        </w:rPr>
        <w:t xml:space="preserve"> above articles</w:t>
      </w:r>
      <w:r w:rsidRPr="00572236">
        <w:rPr>
          <w:rFonts w:ascii="Cambria" w:hAnsi="Cambria"/>
          <w:lang w:val="en"/>
        </w:rPr>
        <w:t xml:space="preserve"> in </w:t>
      </w:r>
      <w:r>
        <w:rPr>
          <w:rFonts w:ascii="Cambria" w:hAnsi="Cambria"/>
          <w:lang w:val="en"/>
        </w:rPr>
        <w:t xml:space="preserve">more </w:t>
      </w:r>
      <w:r w:rsidRPr="00572236">
        <w:rPr>
          <w:rFonts w:ascii="Cambria" w:hAnsi="Cambria"/>
          <w:lang w:val="en"/>
        </w:rPr>
        <w:t xml:space="preserve">detail, please visit </w:t>
      </w:r>
      <w:r w:rsidRPr="00572236">
        <w:rPr>
          <w:rFonts w:ascii="Cambria" w:hAnsi="Cambria"/>
          <w:spacing w:val="-3"/>
          <w:lang w:val="en"/>
        </w:rPr>
        <w:t>our</w:t>
      </w:r>
      <w:r w:rsidRPr="00572236">
        <w:rPr>
          <w:rFonts w:ascii="Cambria" w:hAnsi="Cambria"/>
          <w:lang w:val="en"/>
        </w:rPr>
        <w:t xml:space="preserve"> website </w:t>
      </w:r>
      <w:r>
        <w:rPr>
          <w:rFonts w:ascii="Cambria" w:hAnsi="Cambria"/>
          <w:lang w:val="en"/>
        </w:rPr>
        <w:t xml:space="preserve">at: </w:t>
      </w:r>
      <w:hyperlink r:id="rId7" w:history="1">
        <w:r w:rsidRPr="00D527F4">
          <w:rPr>
            <w:rStyle w:val="Hyperlink"/>
            <w:rFonts w:ascii="Cambria" w:hAnsi="Cambria"/>
            <w:lang w:val="en"/>
          </w:rPr>
          <w:t>https://adk-lawyers.com/en/legal-articles</w:t>
        </w:r>
      </w:hyperlink>
    </w:p>
    <w:p w:rsidR="00755865" w:rsidRPr="003855CE" w:rsidRDefault="00755865" w:rsidP="00755865">
      <w:pPr>
        <w:pStyle w:val="BodyText"/>
        <w:spacing w:line="252" w:lineRule="auto"/>
        <w:ind w:left="709" w:right="423"/>
        <w:jc w:val="both"/>
        <w:rPr>
          <w:rFonts w:ascii="Cambria" w:hAnsi="Cambria"/>
          <w:lang w:val="en"/>
        </w:rPr>
      </w:pPr>
    </w:p>
    <w:p w:rsidR="00755865" w:rsidRPr="00572236" w:rsidRDefault="00755865" w:rsidP="00755865">
      <w:pPr>
        <w:pStyle w:val="Heading1"/>
        <w:numPr>
          <w:ilvl w:val="0"/>
          <w:numId w:val="1"/>
        </w:numPr>
        <w:tabs>
          <w:tab w:val="left" w:pos="836"/>
          <w:tab w:val="left" w:pos="837"/>
        </w:tabs>
        <w:spacing w:line="252" w:lineRule="auto"/>
        <w:ind w:left="709"/>
        <w:rPr>
          <w:rFonts w:ascii="Cambria" w:hAnsi="Cambria"/>
        </w:rPr>
      </w:pPr>
      <w:bookmarkStart w:id="3" w:name="3._Văn_bản_sắp_có_hiệu_lực"/>
      <w:bookmarkEnd w:id="3"/>
      <w:r w:rsidRPr="005B7711">
        <w:rPr>
          <w:rFonts w:ascii="Cambria" w:hAnsi="Cambria"/>
        </w:rPr>
        <w:t xml:space="preserve">Some prominent legal documents take effect from </w:t>
      </w:r>
      <w:r>
        <w:rPr>
          <w:rFonts w:ascii="Cambria" w:hAnsi="Cambria"/>
          <w:lang w:val="en-US"/>
        </w:rPr>
        <w:t>May</w:t>
      </w:r>
      <w:r>
        <w:rPr>
          <w:rFonts w:ascii="Cambria" w:hAnsi="Cambria"/>
        </w:rPr>
        <w:t xml:space="preserve"> 2022</w:t>
      </w:r>
    </w:p>
    <w:p w:rsidR="00755865" w:rsidRPr="00572236" w:rsidRDefault="00755865" w:rsidP="00755865">
      <w:pPr>
        <w:pStyle w:val="BodyText"/>
        <w:spacing w:line="252" w:lineRule="auto"/>
        <w:rPr>
          <w:rFonts w:ascii="Cambria" w:hAnsi="Cambria"/>
          <w:b/>
        </w:rPr>
      </w:pPr>
    </w:p>
    <w:tbl>
      <w:tblPr>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379"/>
        <w:gridCol w:w="1559"/>
        <w:gridCol w:w="1571"/>
      </w:tblGrid>
      <w:tr w:rsidR="00755865" w:rsidRPr="00E014C7" w:rsidTr="00A01C5B">
        <w:trPr>
          <w:trHeight w:val="537"/>
        </w:trPr>
        <w:tc>
          <w:tcPr>
            <w:tcW w:w="709" w:type="dxa"/>
            <w:shd w:val="clear" w:color="auto" w:fill="D9E2F3" w:themeFill="accent5" w:themeFillTint="33"/>
          </w:tcPr>
          <w:p w:rsidR="00755865" w:rsidRPr="00F8565D" w:rsidRDefault="00755865" w:rsidP="00A01C5B">
            <w:pPr>
              <w:pStyle w:val="TableParagraph"/>
              <w:spacing w:line="261" w:lineRule="exact"/>
              <w:ind w:left="119"/>
              <w:rPr>
                <w:rFonts w:ascii="Cambria" w:hAnsi="Cambria"/>
                <w:b/>
              </w:rPr>
            </w:pPr>
            <w:r>
              <w:rPr>
                <w:rFonts w:ascii="Cambria" w:hAnsi="Cambria"/>
                <w:b/>
              </w:rPr>
              <w:lastRenderedPageBreak/>
              <w:t>No</w:t>
            </w:r>
          </w:p>
        </w:tc>
        <w:tc>
          <w:tcPr>
            <w:tcW w:w="6379" w:type="dxa"/>
            <w:shd w:val="clear" w:color="auto" w:fill="D9E2F3" w:themeFill="accent5" w:themeFillTint="33"/>
          </w:tcPr>
          <w:p w:rsidR="00755865" w:rsidRPr="00F8565D" w:rsidRDefault="00755865" w:rsidP="00A01C5B">
            <w:pPr>
              <w:pStyle w:val="TableParagraph"/>
              <w:spacing w:line="240" w:lineRule="auto"/>
              <w:ind w:left="2428" w:right="2417"/>
              <w:jc w:val="center"/>
              <w:rPr>
                <w:rFonts w:ascii="Cambria" w:hAnsi="Cambria"/>
                <w:b/>
              </w:rPr>
            </w:pPr>
            <w:r>
              <w:rPr>
                <w:rFonts w:ascii="Cambria" w:hAnsi="Cambria"/>
                <w:b/>
              </w:rPr>
              <w:t>Text name</w:t>
            </w:r>
          </w:p>
        </w:tc>
        <w:tc>
          <w:tcPr>
            <w:tcW w:w="1559" w:type="dxa"/>
            <w:shd w:val="clear" w:color="auto" w:fill="D9E2F3" w:themeFill="accent5" w:themeFillTint="33"/>
          </w:tcPr>
          <w:p w:rsidR="00755865" w:rsidRPr="00F8565D" w:rsidRDefault="00755865" w:rsidP="00A01C5B">
            <w:pPr>
              <w:pStyle w:val="TableParagraph"/>
              <w:spacing w:line="252" w:lineRule="auto"/>
              <w:ind w:left="283" w:right="286"/>
              <w:jc w:val="center"/>
              <w:rPr>
                <w:rFonts w:ascii="Cambria" w:hAnsi="Cambria"/>
                <w:b/>
              </w:rPr>
            </w:pPr>
            <w:r>
              <w:rPr>
                <w:rFonts w:ascii="Cambria" w:hAnsi="Cambria"/>
                <w:b/>
              </w:rPr>
              <w:t>Date issued</w:t>
            </w:r>
          </w:p>
        </w:tc>
        <w:tc>
          <w:tcPr>
            <w:tcW w:w="1571" w:type="dxa"/>
            <w:shd w:val="clear" w:color="auto" w:fill="D9E2F3" w:themeFill="accent5" w:themeFillTint="33"/>
          </w:tcPr>
          <w:p w:rsidR="00755865" w:rsidRPr="00F8565D" w:rsidRDefault="00755865" w:rsidP="00A01C5B">
            <w:pPr>
              <w:pStyle w:val="TableParagraph"/>
              <w:spacing w:line="240" w:lineRule="auto"/>
              <w:ind w:left="139"/>
              <w:jc w:val="center"/>
              <w:rPr>
                <w:rFonts w:ascii="Cambria" w:hAnsi="Cambria"/>
                <w:b/>
              </w:rPr>
            </w:pPr>
            <w:r>
              <w:rPr>
                <w:rFonts w:ascii="Cambria" w:hAnsi="Cambria"/>
                <w:b/>
                <w:lang w:val="en-US"/>
              </w:rPr>
              <w:t>Date of Effective</w:t>
            </w:r>
          </w:p>
        </w:tc>
      </w:tr>
      <w:tr w:rsidR="00755865" w:rsidRPr="00E014C7" w:rsidTr="00A01C5B">
        <w:trPr>
          <w:trHeight w:val="341"/>
        </w:trPr>
        <w:tc>
          <w:tcPr>
            <w:tcW w:w="10218" w:type="dxa"/>
            <w:gridSpan w:val="4"/>
          </w:tcPr>
          <w:p w:rsidR="00755865" w:rsidRPr="00437FF9" w:rsidRDefault="00755865" w:rsidP="00A01C5B">
            <w:pPr>
              <w:pStyle w:val="TableParagraph"/>
              <w:spacing w:before="5" w:line="240" w:lineRule="auto"/>
              <w:ind w:left="4295" w:right="4284"/>
              <w:jc w:val="center"/>
              <w:rPr>
                <w:rFonts w:ascii="Cambria" w:hAnsi="Cambria"/>
                <w:b/>
                <w:lang w:val="en-US"/>
              </w:rPr>
            </w:pPr>
            <w:bookmarkStart w:id="4" w:name="_Hlk84174501"/>
            <w:r>
              <w:rPr>
                <w:rFonts w:ascii="Cambria" w:hAnsi="Cambria"/>
                <w:b/>
                <w:lang w:val="en-US"/>
              </w:rPr>
              <w:t>DECREE</w:t>
            </w:r>
          </w:p>
          <w:p w:rsidR="00755865" w:rsidRPr="003E51B7" w:rsidRDefault="00755865" w:rsidP="00A01C5B">
            <w:pPr>
              <w:pStyle w:val="TableParagraph"/>
              <w:spacing w:before="5" w:line="240" w:lineRule="auto"/>
              <w:ind w:left="4295" w:right="4284"/>
              <w:jc w:val="center"/>
              <w:rPr>
                <w:rFonts w:ascii="Cambria" w:hAnsi="Cambria"/>
                <w:b/>
              </w:rPr>
            </w:pPr>
          </w:p>
        </w:tc>
      </w:tr>
      <w:tr w:rsidR="00755865" w:rsidRPr="00E014C7" w:rsidTr="00A01C5B">
        <w:trPr>
          <w:trHeight w:val="950"/>
        </w:trPr>
        <w:tc>
          <w:tcPr>
            <w:tcW w:w="709" w:type="dxa"/>
          </w:tcPr>
          <w:p w:rsidR="00755865" w:rsidRPr="00472E04" w:rsidRDefault="00755865" w:rsidP="00A01C5B">
            <w:pPr>
              <w:pStyle w:val="TableParagraph"/>
              <w:numPr>
                <w:ilvl w:val="0"/>
                <w:numId w:val="3"/>
              </w:numPr>
              <w:rPr>
                <w:rFonts w:ascii="Cambria" w:hAnsi="Cambria"/>
                <w:lang w:val="en-US"/>
              </w:rPr>
            </w:pPr>
          </w:p>
        </w:tc>
        <w:tc>
          <w:tcPr>
            <w:tcW w:w="6379" w:type="dxa"/>
          </w:tcPr>
          <w:p w:rsidR="00755865" w:rsidRPr="005C0671" w:rsidRDefault="00755865" w:rsidP="005C0671">
            <w:pPr>
              <w:pStyle w:val="TableParagraph"/>
              <w:spacing w:line="254" w:lineRule="auto"/>
              <w:ind w:left="142" w:right="142"/>
              <w:jc w:val="both"/>
              <w:rPr>
                <w:rFonts w:ascii="Cambria" w:hAnsi="Cambria"/>
                <w:lang w:val="en-US"/>
              </w:rPr>
            </w:pPr>
            <w:r>
              <w:rPr>
                <w:rFonts w:ascii="Cambria" w:hAnsi="Cambria"/>
              </w:rPr>
              <w:t xml:space="preserve">Decree No. </w:t>
            </w:r>
            <w:r w:rsidR="005C0671">
              <w:rPr>
                <w:rFonts w:ascii="Cambria" w:hAnsi="Cambria"/>
                <w:lang w:val="en-US"/>
              </w:rPr>
              <w:t xml:space="preserve">22/2022/NĐ-CP amended Decree No. 32/2012/NĐ-CP </w:t>
            </w:r>
            <w:r w:rsidR="005C0671" w:rsidRPr="005C0671">
              <w:rPr>
                <w:rFonts w:ascii="Cambria" w:hAnsi="Cambria"/>
                <w:lang w:val="en-US"/>
              </w:rPr>
              <w:t>on the export and import management of cultural products for non-commercial purposes</w:t>
            </w:r>
          </w:p>
        </w:tc>
        <w:tc>
          <w:tcPr>
            <w:tcW w:w="1559" w:type="dxa"/>
          </w:tcPr>
          <w:p w:rsidR="00755865" w:rsidRDefault="005C0671" w:rsidP="00A01C5B">
            <w:pPr>
              <w:spacing w:line="252" w:lineRule="auto"/>
              <w:jc w:val="center"/>
              <w:rPr>
                <w:rFonts w:ascii="Cambria" w:hAnsi="Cambria"/>
              </w:rPr>
            </w:pPr>
            <w:r>
              <w:rPr>
                <w:rFonts w:ascii="Cambria" w:hAnsi="Cambria"/>
              </w:rPr>
              <w:t>25/3/2022</w:t>
            </w:r>
          </w:p>
          <w:p w:rsidR="00755865" w:rsidRPr="003E51B7" w:rsidRDefault="00755865" w:rsidP="00A01C5B">
            <w:pPr>
              <w:pStyle w:val="TableParagraph"/>
              <w:ind w:left="108"/>
              <w:jc w:val="center"/>
              <w:rPr>
                <w:rFonts w:ascii="Cambria" w:hAnsi="Cambria"/>
              </w:rPr>
            </w:pPr>
          </w:p>
        </w:tc>
        <w:tc>
          <w:tcPr>
            <w:tcW w:w="1571" w:type="dxa"/>
          </w:tcPr>
          <w:p w:rsidR="00755865" w:rsidRPr="003E51B7" w:rsidRDefault="005C0671" w:rsidP="00A01C5B">
            <w:pPr>
              <w:pStyle w:val="TableParagraph"/>
              <w:jc w:val="center"/>
              <w:rPr>
                <w:rFonts w:ascii="Cambria" w:hAnsi="Cambria"/>
              </w:rPr>
            </w:pPr>
            <w:r>
              <w:rPr>
                <w:rFonts w:ascii="Cambria" w:hAnsi="Cambria"/>
              </w:rPr>
              <w:t>10/5</w:t>
            </w:r>
            <w:r w:rsidR="00755865">
              <w:rPr>
                <w:rFonts w:ascii="Cambria" w:hAnsi="Cambria"/>
              </w:rPr>
              <w:t>/2022</w:t>
            </w:r>
          </w:p>
        </w:tc>
      </w:tr>
      <w:tr w:rsidR="00755865" w:rsidRPr="00E014C7" w:rsidTr="00A01C5B">
        <w:trPr>
          <w:trHeight w:val="491"/>
        </w:trPr>
        <w:tc>
          <w:tcPr>
            <w:tcW w:w="10218" w:type="dxa"/>
            <w:gridSpan w:val="4"/>
            <w:tcBorders>
              <w:top w:val="single" w:sz="4" w:space="0" w:color="000000"/>
              <w:left w:val="single" w:sz="4" w:space="0" w:color="000000"/>
              <w:bottom w:val="single" w:sz="4" w:space="0" w:color="000000"/>
              <w:right w:val="single" w:sz="4" w:space="0" w:color="000000"/>
            </w:tcBorders>
          </w:tcPr>
          <w:p w:rsidR="00755865" w:rsidRPr="00437469" w:rsidRDefault="00755865" w:rsidP="00A01C5B">
            <w:pPr>
              <w:pStyle w:val="TableParagraph"/>
              <w:jc w:val="center"/>
              <w:rPr>
                <w:rFonts w:ascii="Cambria" w:hAnsi="Cambria"/>
                <w:b/>
                <w:lang w:val="en-US"/>
              </w:rPr>
            </w:pPr>
            <w:r>
              <w:rPr>
                <w:rFonts w:ascii="Cambria" w:hAnsi="Cambria"/>
                <w:b/>
                <w:lang w:val="en-US"/>
              </w:rPr>
              <w:t>CIRCULAR</w:t>
            </w:r>
          </w:p>
        </w:tc>
      </w:tr>
      <w:tr w:rsidR="00755865" w:rsidRPr="00E014C7" w:rsidTr="00A01C5B">
        <w:trPr>
          <w:trHeight w:val="603"/>
        </w:trPr>
        <w:tc>
          <w:tcPr>
            <w:tcW w:w="709" w:type="dxa"/>
            <w:tcBorders>
              <w:top w:val="single" w:sz="4" w:space="0" w:color="000000"/>
              <w:left w:val="single" w:sz="4" w:space="0" w:color="000000"/>
              <w:bottom w:val="single" w:sz="4" w:space="0" w:color="000000"/>
              <w:right w:val="single" w:sz="4" w:space="0" w:color="000000"/>
            </w:tcBorders>
          </w:tcPr>
          <w:p w:rsidR="00755865" w:rsidRPr="00F60E71" w:rsidRDefault="00755865" w:rsidP="00A01C5B">
            <w:pPr>
              <w:pStyle w:val="TableParagraph"/>
              <w:numPr>
                <w:ilvl w:val="0"/>
                <w:numId w:val="5"/>
              </w:numPr>
              <w:rPr>
                <w:rFonts w:ascii="Cambria" w:hAnsi="Cambria"/>
                <w:lang w:val="en-US"/>
              </w:rPr>
            </w:pPr>
            <w:r>
              <w:rPr>
                <w:rFonts w:ascii="Cambria" w:hAnsi="Cambria"/>
                <w:lang w:val="en-US"/>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755865" w:rsidRPr="00C17A18" w:rsidRDefault="00755865" w:rsidP="00544E80">
            <w:pPr>
              <w:pStyle w:val="TableParagraph"/>
              <w:spacing w:line="254" w:lineRule="auto"/>
              <w:ind w:left="143" w:right="142"/>
              <w:jc w:val="both"/>
              <w:rPr>
                <w:rFonts w:ascii="Cambria" w:hAnsi="Cambria"/>
                <w:lang w:val="en-US"/>
              </w:rPr>
            </w:pPr>
            <w:r w:rsidRPr="00E1242E">
              <w:rPr>
                <w:rFonts w:ascii="Cambria" w:hAnsi="Cambria"/>
                <w:lang w:val="en-US"/>
              </w:rPr>
              <w:t>Circular</w:t>
            </w:r>
            <w:r>
              <w:rPr>
                <w:rFonts w:ascii="Cambria" w:hAnsi="Cambria"/>
                <w:lang w:val="en-US"/>
              </w:rPr>
              <w:t xml:space="preserve"> No.</w:t>
            </w:r>
            <w:r w:rsidRPr="00E1242E">
              <w:rPr>
                <w:rFonts w:ascii="Cambria" w:hAnsi="Cambria"/>
                <w:lang w:val="en-US"/>
              </w:rPr>
              <w:t xml:space="preserve"> </w:t>
            </w:r>
            <w:r w:rsidR="00544E80">
              <w:rPr>
                <w:rFonts w:ascii="Cambria" w:hAnsi="Cambria"/>
                <w:lang w:val="en-US"/>
              </w:rPr>
              <w:t xml:space="preserve">11/2022/TT-BTC amending Circular No. 256/2016/TT-BTC </w:t>
            </w:r>
            <w:r w:rsidR="00544E80" w:rsidRPr="00544E80">
              <w:rPr>
                <w:rFonts w:ascii="Cambria" w:hAnsi="Cambria"/>
                <w:lang w:val="en-US"/>
              </w:rPr>
              <w:t>on receiving levels, modes of rece</w:t>
            </w:r>
            <w:r w:rsidR="00544E80">
              <w:rPr>
                <w:rFonts w:ascii="Cambria" w:hAnsi="Cambria"/>
                <w:lang w:val="en-US"/>
              </w:rPr>
              <w:t>i</w:t>
            </w:r>
            <w:r w:rsidR="00544E80" w:rsidRPr="00544E80">
              <w:rPr>
                <w:rFonts w:ascii="Cambria" w:hAnsi="Cambria"/>
                <w:lang w:val="en-US"/>
              </w:rPr>
              <w:t>ving, paying, management and use fee for license for use of radio frequency and charge for use of reverse frequency</w:t>
            </w:r>
          </w:p>
        </w:tc>
        <w:tc>
          <w:tcPr>
            <w:tcW w:w="1559" w:type="dxa"/>
            <w:tcBorders>
              <w:top w:val="single" w:sz="4" w:space="0" w:color="000000"/>
              <w:left w:val="single" w:sz="4" w:space="0" w:color="000000"/>
              <w:bottom w:val="single" w:sz="4" w:space="0" w:color="000000"/>
              <w:right w:val="single" w:sz="4" w:space="0" w:color="000000"/>
            </w:tcBorders>
          </w:tcPr>
          <w:p w:rsidR="00755865" w:rsidRPr="003E51B7" w:rsidRDefault="00544E80" w:rsidP="00A01C5B">
            <w:pPr>
              <w:pStyle w:val="TableParagraph"/>
              <w:ind w:left="108"/>
              <w:jc w:val="center"/>
              <w:rPr>
                <w:rFonts w:ascii="Cambria" w:hAnsi="Cambria"/>
              </w:rPr>
            </w:pPr>
            <w:r>
              <w:rPr>
                <w:rFonts w:ascii="Cambria" w:hAnsi="Cambria"/>
              </w:rPr>
              <w:t>21/02/2022</w:t>
            </w:r>
          </w:p>
        </w:tc>
        <w:tc>
          <w:tcPr>
            <w:tcW w:w="1571" w:type="dxa"/>
            <w:tcBorders>
              <w:top w:val="single" w:sz="4" w:space="0" w:color="000000"/>
              <w:left w:val="single" w:sz="4" w:space="0" w:color="000000"/>
              <w:bottom w:val="single" w:sz="4" w:space="0" w:color="000000"/>
              <w:right w:val="single" w:sz="4" w:space="0" w:color="000000"/>
            </w:tcBorders>
          </w:tcPr>
          <w:p w:rsidR="00755865" w:rsidRPr="003E51B7" w:rsidRDefault="00544E80" w:rsidP="00A01C5B">
            <w:pPr>
              <w:pStyle w:val="TableParagraph"/>
              <w:jc w:val="center"/>
              <w:rPr>
                <w:rFonts w:ascii="Cambria" w:hAnsi="Cambria"/>
              </w:rPr>
            </w:pPr>
            <w:r>
              <w:rPr>
                <w:rFonts w:ascii="Cambria" w:hAnsi="Cambria"/>
              </w:rPr>
              <w:t>01/5</w:t>
            </w:r>
            <w:r w:rsidR="00755865">
              <w:rPr>
                <w:rFonts w:ascii="Cambria" w:hAnsi="Cambria"/>
              </w:rPr>
              <w:t>/2022</w:t>
            </w:r>
          </w:p>
        </w:tc>
      </w:tr>
      <w:tr w:rsidR="00755865" w:rsidRPr="00E014C7" w:rsidTr="00A01C5B">
        <w:trPr>
          <w:trHeight w:val="994"/>
        </w:trPr>
        <w:tc>
          <w:tcPr>
            <w:tcW w:w="709" w:type="dxa"/>
            <w:tcBorders>
              <w:top w:val="single" w:sz="4" w:space="0" w:color="000000"/>
              <w:left w:val="single" w:sz="4" w:space="0" w:color="000000"/>
              <w:bottom w:val="single" w:sz="4" w:space="0" w:color="000000"/>
              <w:right w:val="single" w:sz="4" w:space="0" w:color="000000"/>
            </w:tcBorders>
          </w:tcPr>
          <w:p w:rsidR="00755865" w:rsidRPr="00E014C7" w:rsidRDefault="00755865" w:rsidP="00A01C5B">
            <w:pPr>
              <w:pStyle w:val="TableParagraph"/>
              <w:numPr>
                <w:ilvl w:val="0"/>
                <w:numId w:val="5"/>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755865" w:rsidRPr="00544E80" w:rsidRDefault="00755865" w:rsidP="00544E80">
            <w:pPr>
              <w:pStyle w:val="TableParagraph"/>
              <w:spacing w:line="254" w:lineRule="auto"/>
              <w:ind w:left="109" w:right="142"/>
              <w:jc w:val="both"/>
              <w:rPr>
                <w:rFonts w:ascii="Cambria" w:hAnsi="Cambria"/>
                <w:lang w:val="en-US"/>
              </w:rPr>
            </w:pPr>
            <w:r w:rsidRPr="00E1242E">
              <w:rPr>
                <w:rFonts w:ascii="Cambria" w:hAnsi="Cambria"/>
              </w:rPr>
              <w:t>Circular</w:t>
            </w:r>
            <w:r>
              <w:rPr>
                <w:rFonts w:ascii="Cambria" w:hAnsi="Cambria"/>
                <w:lang w:val="en-US"/>
              </w:rPr>
              <w:t xml:space="preserve"> No.</w:t>
            </w:r>
            <w:r w:rsidR="00544E80">
              <w:rPr>
                <w:rFonts w:ascii="Cambria" w:hAnsi="Cambria"/>
              </w:rPr>
              <w:t xml:space="preserve"> 12/2021/TT-BTTTT “</w:t>
            </w:r>
            <w:r w:rsidR="00544E80" w:rsidRPr="00544E80">
              <w:rPr>
                <w:rFonts w:ascii="Cambria" w:hAnsi="Cambria"/>
              </w:rPr>
              <w:t>National technical regulation on Internet Protocol Television service quality</w:t>
            </w:r>
            <w:r w:rsidR="00544E80">
              <w:rPr>
                <w:rFonts w:ascii="Cambria" w:hAnsi="Cambria"/>
                <w:lang w:val="en-US"/>
              </w:rPr>
              <w:t xml:space="preserve"> (IPTV)”</w:t>
            </w:r>
          </w:p>
        </w:tc>
        <w:tc>
          <w:tcPr>
            <w:tcW w:w="1559" w:type="dxa"/>
            <w:tcBorders>
              <w:top w:val="single" w:sz="4" w:space="0" w:color="000000"/>
              <w:left w:val="single" w:sz="4" w:space="0" w:color="000000"/>
              <w:bottom w:val="single" w:sz="4" w:space="0" w:color="000000"/>
              <w:right w:val="single" w:sz="4" w:space="0" w:color="000000"/>
            </w:tcBorders>
          </w:tcPr>
          <w:p w:rsidR="00755865" w:rsidRPr="003E51B7" w:rsidRDefault="00544E80" w:rsidP="00A01C5B">
            <w:pPr>
              <w:pStyle w:val="TableParagraph"/>
              <w:ind w:left="108"/>
              <w:jc w:val="center"/>
              <w:rPr>
                <w:rFonts w:ascii="Cambria" w:hAnsi="Cambria"/>
                <w:lang w:val="en-US"/>
              </w:rPr>
            </w:pPr>
            <w:r>
              <w:rPr>
                <w:rFonts w:ascii="Cambria" w:hAnsi="Cambria"/>
              </w:rPr>
              <w:t>29/10</w:t>
            </w:r>
            <w:r w:rsidR="00755865">
              <w:rPr>
                <w:rFonts w:ascii="Cambria" w:hAnsi="Cambria"/>
              </w:rPr>
              <w:t>/2021</w:t>
            </w:r>
          </w:p>
        </w:tc>
        <w:tc>
          <w:tcPr>
            <w:tcW w:w="1571" w:type="dxa"/>
            <w:tcBorders>
              <w:top w:val="single" w:sz="4" w:space="0" w:color="000000"/>
              <w:left w:val="single" w:sz="4" w:space="0" w:color="000000"/>
              <w:bottom w:val="single" w:sz="4" w:space="0" w:color="000000"/>
              <w:right w:val="single" w:sz="4" w:space="0" w:color="000000"/>
            </w:tcBorders>
          </w:tcPr>
          <w:p w:rsidR="00755865" w:rsidRPr="003E51B7" w:rsidRDefault="00544E80" w:rsidP="00A01C5B">
            <w:pPr>
              <w:pStyle w:val="TableParagraph"/>
              <w:jc w:val="center"/>
              <w:rPr>
                <w:rFonts w:ascii="Cambria" w:hAnsi="Cambria"/>
                <w:lang w:val="en-US"/>
              </w:rPr>
            </w:pPr>
            <w:r>
              <w:rPr>
                <w:rFonts w:ascii="Cambria" w:hAnsi="Cambria"/>
              </w:rPr>
              <w:t>01/5</w:t>
            </w:r>
            <w:r w:rsidR="00755865">
              <w:rPr>
                <w:rFonts w:ascii="Cambria" w:hAnsi="Cambria"/>
              </w:rPr>
              <w:t>/2022</w:t>
            </w:r>
          </w:p>
        </w:tc>
      </w:tr>
      <w:tr w:rsidR="00755865" w:rsidRPr="00E014C7" w:rsidTr="00A01C5B">
        <w:trPr>
          <w:trHeight w:val="994"/>
        </w:trPr>
        <w:tc>
          <w:tcPr>
            <w:tcW w:w="709" w:type="dxa"/>
            <w:tcBorders>
              <w:top w:val="single" w:sz="4" w:space="0" w:color="000000"/>
              <w:left w:val="single" w:sz="4" w:space="0" w:color="000000"/>
              <w:bottom w:val="single" w:sz="4" w:space="0" w:color="000000"/>
              <w:right w:val="single" w:sz="4" w:space="0" w:color="000000"/>
            </w:tcBorders>
          </w:tcPr>
          <w:p w:rsidR="00755865" w:rsidRPr="0056607F" w:rsidRDefault="00755865" w:rsidP="00A01C5B">
            <w:pPr>
              <w:pStyle w:val="TableParagraph"/>
              <w:numPr>
                <w:ilvl w:val="0"/>
                <w:numId w:val="5"/>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755865" w:rsidRPr="00544E80" w:rsidRDefault="00755865" w:rsidP="00544E80">
            <w:pPr>
              <w:pStyle w:val="TableParagraph"/>
              <w:spacing w:line="254" w:lineRule="auto"/>
              <w:ind w:left="109" w:right="142"/>
              <w:jc w:val="both"/>
              <w:rPr>
                <w:rFonts w:ascii="Cambria" w:hAnsi="Cambria"/>
                <w:lang w:val="en-US"/>
              </w:rPr>
            </w:pPr>
            <w:r w:rsidRPr="00E1242E">
              <w:rPr>
                <w:rFonts w:ascii="Cambria" w:hAnsi="Cambria"/>
              </w:rPr>
              <w:t xml:space="preserve">Circular </w:t>
            </w:r>
            <w:r>
              <w:rPr>
                <w:rFonts w:ascii="Cambria" w:hAnsi="Cambria"/>
                <w:lang w:val="en-US"/>
              </w:rPr>
              <w:t xml:space="preserve">No. </w:t>
            </w:r>
            <w:r w:rsidR="00544E80">
              <w:rPr>
                <w:rFonts w:ascii="Cambria" w:hAnsi="Cambria"/>
                <w:lang w:val="en-US"/>
              </w:rPr>
              <w:t xml:space="preserve">11/2021/TT-BTTTT National technical regulation on </w:t>
            </w:r>
            <w:r w:rsidR="00EC3A47">
              <w:rPr>
                <w:rFonts w:ascii="Cambria" w:hAnsi="Cambria"/>
                <w:lang w:val="en-US"/>
              </w:rPr>
              <w:t>5GHz wireless access device</w:t>
            </w:r>
          </w:p>
        </w:tc>
        <w:tc>
          <w:tcPr>
            <w:tcW w:w="1559" w:type="dxa"/>
            <w:tcBorders>
              <w:top w:val="single" w:sz="4" w:space="0" w:color="000000"/>
              <w:left w:val="single" w:sz="4" w:space="0" w:color="000000"/>
              <w:bottom w:val="single" w:sz="4" w:space="0" w:color="000000"/>
              <w:right w:val="single" w:sz="4" w:space="0" w:color="000000"/>
            </w:tcBorders>
          </w:tcPr>
          <w:p w:rsidR="00755865" w:rsidRPr="004B437C" w:rsidRDefault="00EC3A47" w:rsidP="00A01C5B">
            <w:pPr>
              <w:pStyle w:val="TableParagraph"/>
              <w:ind w:left="108"/>
              <w:jc w:val="center"/>
              <w:rPr>
                <w:rFonts w:ascii="Cambria" w:hAnsi="Cambria"/>
              </w:rPr>
            </w:pPr>
            <w:r>
              <w:rPr>
                <w:rFonts w:ascii="Cambria" w:hAnsi="Cambria"/>
              </w:rPr>
              <w:t>28/10/2021</w:t>
            </w:r>
          </w:p>
        </w:tc>
        <w:tc>
          <w:tcPr>
            <w:tcW w:w="1571" w:type="dxa"/>
            <w:tcBorders>
              <w:top w:val="single" w:sz="4" w:space="0" w:color="000000"/>
              <w:left w:val="single" w:sz="4" w:space="0" w:color="000000"/>
              <w:bottom w:val="single" w:sz="4" w:space="0" w:color="000000"/>
              <w:right w:val="single" w:sz="4" w:space="0" w:color="000000"/>
            </w:tcBorders>
          </w:tcPr>
          <w:p w:rsidR="00755865" w:rsidRDefault="00EE688C" w:rsidP="00A01C5B">
            <w:pPr>
              <w:pStyle w:val="TableParagraph"/>
              <w:jc w:val="center"/>
              <w:rPr>
                <w:rFonts w:ascii="Cambria" w:hAnsi="Cambria"/>
                <w:lang w:val="en-US"/>
              </w:rPr>
            </w:pPr>
            <w:r>
              <w:rPr>
                <w:rFonts w:ascii="Cambria" w:hAnsi="Cambria"/>
              </w:rPr>
              <w:t>01/5</w:t>
            </w:r>
            <w:r w:rsidR="00755865">
              <w:rPr>
                <w:rFonts w:ascii="Cambria" w:hAnsi="Cambria"/>
              </w:rPr>
              <w:t>/2022</w:t>
            </w:r>
          </w:p>
        </w:tc>
      </w:tr>
      <w:tr w:rsidR="00755865" w:rsidRPr="00E014C7" w:rsidTr="00A01C5B">
        <w:trPr>
          <w:trHeight w:val="320"/>
        </w:trPr>
        <w:tc>
          <w:tcPr>
            <w:tcW w:w="709" w:type="dxa"/>
            <w:tcBorders>
              <w:top w:val="single" w:sz="4" w:space="0" w:color="000000"/>
              <w:left w:val="single" w:sz="4" w:space="0" w:color="000000"/>
              <w:bottom w:val="single" w:sz="4" w:space="0" w:color="000000"/>
              <w:right w:val="single" w:sz="4" w:space="0" w:color="000000"/>
            </w:tcBorders>
          </w:tcPr>
          <w:p w:rsidR="00755865" w:rsidRPr="00E014C7" w:rsidRDefault="00755865" w:rsidP="00A01C5B">
            <w:pPr>
              <w:pStyle w:val="TableParagraph"/>
              <w:numPr>
                <w:ilvl w:val="0"/>
                <w:numId w:val="5"/>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755865" w:rsidRPr="00EC3A47" w:rsidRDefault="00755865" w:rsidP="00EC3A47">
            <w:pPr>
              <w:pStyle w:val="TableParagraph"/>
              <w:spacing w:line="252" w:lineRule="auto"/>
              <w:ind w:right="142"/>
              <w:contextualSpacing/>
              <w:jc w:val="both"/>
              <w:rPr>
                <w:rFonts w:ascii="Cambria" w:hAnsi="Cambria"/>
                <w:lang w:val="en-US"/>
              </w:rPr>
            </w:pPr>
            <w:r w:rsidRPr="00E1242E">
              <w:rPr>
                <w:rFonts w:ascii="Cambria" w:hAnsi="Cambria"/>
              </w:rPr>
              <w:t xml:space="preserve">Circular </w:t>
            </w:r>
            <w:r>
              <w:rPr>
                <w:rFonts w:ascii="Cambria" w:hAnsi="Cambria"/>
                <w:lang w:val="en-US"/>
              </w:rPr>
              <w:t xml:space="preserve">No. </w:t>
            </w:r>
            <w:r w:rsidR="00EC3A47">
              <w:rPr>
                <w:rFonts w:ascii="Cambria" w:hAnsi="Cambria"/>
              </w:rPr>
              <w:t>07</w:t>
            </w:r>
            <w:r w:rsidRPr="00E1242E">
              <w:rPr>
                <w:rFonts w:ascii="Cambria" w:hAnsi="Cambria"/>
              </w:rPr>
              <w:t xml:space="preserve">/2022/TT-BCT </w:t>
            </w:r>
            <w:r w:rsidR="00EC3A47">
              <w:rPr>
                <w:rFonts w:ascii="Cambria" w:hAnsi="Cambria"/>
                <w:lang w:val="en-US"/>
              </w:rPr>
              <w:t xml:space="preserve">elaboration of implementing Trade Remedies of </w:t>
            </w:r>
            <w:r w:rsidR="00EC3A47" w:rsidRPr="00EC3A47">
              <w:rPr>
                <w:rFonts w:ascii="Cambria" w:hAnsi="Cambria"/>
                <w:lang w:val="en-US"/>
              </w:rPr>
              <w:t>Regional Comprehensive Economic Partnership</w:t>
            </w:r>
          </w:p>
        </w:tc>
        <w:tc>
          <w:tcPr>
            <w:tcW w:w="1559" w:type="dxa"/>
            <w:tcBorders>
              <w:top w:val="single" w:sz="4" w:space="0" w:color="000000"/>
              <w:left w:val="single" w:sz="4" w:space="0" w:color="000000"/>
              <w:bottom w:val="single" w:sz="4" w:space="0" w:color="000000"/>
              <w:right w:val="single" w:sz="4" w:space="0" w:color="000000"/>
            </w:tcBorders>
          </w:tcPr>
          <w:p w:rsidR="00755865" w:rsidRPr="003E51B7" w:rsidRDefault="00EC3A47" w:rsidP="00A01C5B">
            <w:pPr>
              <w:pStyle w:val="TableParagraph"/>
              <w:spacing w:line="252" w:lineRule="auto"/>
              <w:ind w:left="108"/>
              <w:contextualSpacing/>
              <w:jc w:val="center"/>
              <w:rPr>
                <w:rFonts w:ascii="Cambria" w:hAnsi="Cambria"/>
                <w:lang w:val="en-US"/>
              </w:rPr>
            </w:pPr>
            <w:r>
              <w:rPr>
                <w:rFonts w:ascii="Cambria" w:hAnsi="Cambria"/>
              </w:rPr>
              <w:t>2</w:t>
            </w:r>
            <w:r>
              <w:rPr>
                <w:rFonts w:ascii="Cambria" w:hAnsi="Cambria"/>
                <w:lang w:val="en-US"/>
              </w:rPr>
              <w:t>3</w:t>
            </w:r>
            <w:r>
              <w:rPr>
                <w:rFonts w:ascii="Cambria" w:hAnsi="Cambria"/>
              </w:rPr>
              <w:t>/3</w:t>
            </w:r>
            <w:r w:rsidR="00755865">
              <w:rPr>
                <w:rFonts w:ascii="Cambria" w:hAnsi="Cambria"/>
              </w:rPr>
              <w:t>/2022</w:t>
            </w:r>
          </w:p>
        </w:tc>
        <w:tc>
          <w:tcPr>
            <w:tcW w:w="1571" w:type="dxa"/>
            <w:tcBorders>
              <w:top w:val="single" w:sz="4" w:space="0" w:color="000000"/>
              <w:left w:val="single" w:sz="4" w:space="0" w:color="000000"/>
              <w:bottom w:val="single" w:sz="4" w:space="0" w:color="000000"/>
              <w:right w:val="single" w:sz="4" w:space="0" w:color="000000"/>
            </w:tcBorders>
          </w:tcPr>
          <w:p w:rsidR="00755865" w:rsidRPr="003E51B7" w:rsidRDefault="00EC3A47" w:rsidP="00A01C5B">
            <w:pPr>
              <w:pStyle w:val="TableParagraph"/>
              <w:spacing w:line="252" w:lineRule="auto"/>
              <w:contextualSpacing/>
              <w:jc w:val="center"/>
              <w:rPr>
                <w:rFonts w:ascii="Cambria" w:hAnsi="Cambria"/>
                <w:lang w:val="en-US"/>
              </w:rPr>
            </w:pPr>
            <w:r>
              <w:rPr>
                <w:rFonts w:ascii="Cambria" w:hAnsi="Cambria"/>
              </w:rPr>
              <w:t>08/5/2022</w:t>
            </w:r>
          </w:p>
        </w:tc>
      </w:tr>
      <w:tr w:rsidR="00755865" w:rsidRPr="00E014C7" w:rsidTr="00A01C5B">
        <w:trPr>
          <w:trHeight w:val="320"/>
        </w:trPr>
        <w:tc>
          <w:tcPr>
            <w:tcW w:w="709" w:type="dxa"/>
            <w:tcBorders>
              <w:top w:val="single" w:sz="4" w:space="0" w:color="000000"/>
              <w:left w:val="single" w:sz="4" w:space="0" w:color="000000"/>
              <w:bottom w:val="single" w:sz="4" w:space="0" w:color="000000"/>
              <w:right w:val="single" w:sz="4" w:space="0" w:color="000000"/>
            </w:tcBorders>
          </w:tcPr>
          <w:p w:rsidR="00755865" w:rsidRPr="00E014C7" w:rsidRDefault="00755865" w:rsidP="00A01C5B">
            <w:pPr>
              <w:pStyle w:val="TableParagraph"/>
              <w:numPr>
                <w:ilvl w:val="0"/>
                <w:numId w:val="5"/>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755865" w:rsidRPr="00041421" w:rsidRDefault="00755865" w:rsidP="00EC3A47">
            <w:pPr>
              <w:pStyle w:val="TableParagraph"/>
              <w:spacing w:line="252" w:lineRule="auto"/>
              <w:ind w:right="142"/>
              <w:contextualSpacing/>
              <w:jc w:val="both"/>
              <w:rPr>
                <w:rFonts w:ascii="Cambria" w:hAnsi="Cambria"/>
                <w:lang w:val="en-US"/>
              </w:rPr>
            </w:pPr>
            <w:r w:rsidRPr="00E806B1">
              <w:rPr>
                <w:rFonts w:ascii="Cambria" w:hAnsi="Cambria"/>
                <w:lang w:val="en-US"/>
              </w:rPr>
              <w:t>Circular</w:t>
            </w:r>
            <w:r>
              <w:rPr>
                <w:rFonts w:ascii="Cambria" w:hAnsi="Cambria"/>
                <w:lang w:val="en-US"/>
              </w:rPr>
              <w:t xml:space="preserve"> No.</w:t>
            </w:r>
            <w:r w:rsidRPr="00E806B1">
              <w:rPr>
                <w:rFonts w:ascii="Cambria" w:hAnsi="Cambria"/>
                <w:lang w:val="en-US"/>
              </w:rPr>
              <w:t xml:space="preserve"> </w:t>
            </w:r>
            <w:r w:rsidR="00EC3A47">
              <w:rPr>
                <w:rFonts w:ascii="Cambria" w:hAnsi="Cambria"/>
                <w:lang w:val="en-US"/>
              </w:rPr>
              <w:t xml:space="preserve">23/2022/TT-BTC </w:t>
            </w:r>
            <w:r w:rsidR="00EC3A47" w:rsidRPr="00EC3A47">
              <w:rPr>
                <w:rFonts w:ascii="Cambria" w:hAnsi="Cambria"/>
                <w:lang w:val="en-US"/>
              </w:rPr>
              <w:t>elaboration of state financial management for foreign non-refunded sources of state budget revenue</w:t>
            </w:r>
          </w:p>
        </w:tc>
        <w:tc>
          <w:tcPr>
            <w:tcW w:w="1559" w:type="dxa"/>
            <w:tcBorders>
              <w:top w:val="single" w:sz="4" w:space="0" w:color="000000"/>
              <w:left w:val="single" w:sz="4" w:space="0" w:color="000000"/>
              <w:bottom w:val="single" w:sz="4" w:space="0" w:color="000000"/>
              <w:right w:val="single" w:sz="4" w:space="0" w:color="000000"/>
            </w:tcBorders>
          </w:tcPr>
          <w:p w:rsidR="00755865" w:rsidRPr="004B437C" w:rsidRDefault="00EC3A47" w:rsidP="00A01C5B">
            <w:pPr>
              <w:pStyle w:val="TableParagraph"/>
              <w:spacing w:line="252" w:lineRule="auto"/>
              <w:ind w:left="108"/>
              <w:contextualSpacing/>
              <w:jc w:val="center"/>
              <w:rPr>
                <w:rFonts w:ascii="Cambria" w:hAnsi="Cambria"/>
              </w:rPr>
            </w:pPr>
            <w:r>
              <w:rPr>
                <w:rFonts w:ascii="Cambria" w:hAnsi="Cambria"/>
              </w:rPr>
              <w:t>06/4</w:t>
            </w:r>
            <w:r w:rsidR="00755865">
              <w:rPr>
                <w:rFonts w:ascii="Cambria" w:hAnsi="Cambria"/>
              </w:rPr>
              <w:t>/2022</w:t>
            </w:r>
          </w:p>
        </w:tc>
        <w:tc>
          <w:tcPr>
            <w:tcW w:w="1571" w:type="dxa"/>
            <w:tcBorders>
              <w:top w:val="single" w:sz="4" w:space="0" w:color="000000"/>
              <w:left w:val="single" w:sz="4" w:space="0" w:color="000000"/>
              <w:bottom w:val="single" w:sz="4" w:space="0" w:color="000000"/>
              <w:right w:val="single" w:sz="4" w:space="0" w:color="000000"/>
            </w:tcBorders>
          </w:tcPr>
          <w:p w:rsidR="00755865" w:rsidRPr="00BA422E" w:rsidRDefault="00EC3A47" w:rsidP="00A01C5B">
            <w:pPr>
              <w:pStyle w:val="TableParagraph"/>
              <w:spacing w:line="252" w:lineRule="auto"/>
              <w:contextualSpacing/>
              <w:jc w:val="center"/>
              <w:rPr>
                <w:rFonts w:ascii="Cambria" w:hAnsi="Cambria"/>
                <w:lang w:val="en-US"/>
              </w:rPr>
            </w:pPr>
            <w:r>
              <w:rPr>
                <w:rFonts w:ascii="Cambria" w:hAnsi="Cambria"/>
              </w:rPr>
              <w:t>20/5/2022</w:t>
            </w:r>
          </w:p>
        </w:tc>
      </w:tr>
      <w:tr w:rsidR="00755865" w:rsidRPr="00E014C7" w:rsidTr="00A01C5B">
        <w:trPr>
          <w:trHeight w:val="731"/>
        </w:trPr>
        <w:tc>
          <w:tcPr>
            <w:tcW w:w="709" w:type="dxa"/>
            <w:tcBorders>
              <w:top w:val="single" w:sz="4" w:space="0" w:color="000000"/>
              <w:left w:val="single" w:sz="4" w:space="0" w:color="000000"/>
              <w:bottom w:val="single" w:sz="4" w:space="0" w:color="000000"/>
              <w:right w:val="single" w:sz="4" w:space="0" w:color="000000"/>
            </w:tcBorders>
          </w:tcPr>
          <w:p w:rsidR="00755865" w:rsidRPr="00E014C7" w:rsidRDefault="00755865" w:rsidP="00A01C5B">
            <w:pPr>
              <w:pStyle w:val="TableParagraph"/>
              <w:numPr>
                <w:ilvl w:val="0"/>
                <w:numId w:val="5"/>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755865" w:rsidRPr="004B437C" w:rsidRDefault="00755865" w:rsidP="00EC3A47">
            <w:pPr>
              <w:pStyle w:val="TableParagraph"/>
              <w:spacing w:line="254" w:lineRule="auto"/>
              <w:ind w:left="142" w:right="90"/>
              <w:jc w:val="both"/>
              <w:rPr>
                <w:rFonts w:ascii="Cambria" w:hAnsi="Cambria"/>
                <w:lang w:val="en-US"/>
              </w:rPr>
            </w:pPr>
            <w:r w:rsidRPr="00E806B1">
              <w:rPr>
                <w:rFonts w:ascii="Cambria" w:hAnsi="Cambria"/>
                <w:lang w:val="en-US"/>
              </w:rPr>
              <w:t xml:space="preserve">Circular </w:t>
            </w:r>
            <w:r w:rsidR="00EC3A47">
              <w:rPr>
                <w:rFonts w:ascii="Cambria" w:hAnsi="Cambria"/>
                <w:lang w:val="en-US"/>
              </w:rPr>
              <w:t>No. 02/2022/TT-NHNN amended, supplemented a number of articles of Circular No. 08/2021/TT-NHNN dated on July 06, 2021 issued by the Governo</w:t>
            </w:r>
            <w:r w:rsidR="00EC3A47" w:rsidRPr="00EC3A47">
              <w:rPr>
                <w:rFonts w:ascii="Cambria" w:hAnsi="Cambria"/>
                <w:lang w:val="en-US"/>
              </w:rPr>
              <w:t>r of The State Bank of Vietnam</w:t>
            </w:r>
            <w:r w:rsidR="00003C87">
              <w:t xml:space="preserve"> </w:t>
            </w:r>
            <w:r w:rsidR="00003C87" w:rsidRPr="00003C87">
              <w:rPr>
                <w:rFonts w:ascii="Cambria" w:hAnsi="Cambria"/>
                <w:lang w:val="en-US"/>
              </w:rPr>
              <w:t>prescribing grant of special loans to credit institutions placed under special control</w:t>
            </w:r>
          </w:p>
        </w:tc>
        <w:tc>
          <w:tcPr>
            <w:tcW w:w="1559" w:type="dxa"/>
            <w:tcBorders>
              <w:top w:val="single" w:sz="4" w:space="0" w:color="000000"/>
              <w:left w:val="single" w:sz="4" w:space="0" w:color="000000"/>
              <w:bottom w:val="single" w:sz="4" w:space="0" w:color="000000"/>
              <w:right w:val="single" w:sz="4" w:space="0" w:color="000000"/>
            </w:tcBorders>
          </w:tcPr>
          <w:p w:rsidR="00755865" w:rsidRPr="003E51B7" w:rsidRDefault="00003C87" w:rsidP="00A01C5B">
            <w:pPr>
              <w:pStyle w:val="TableParagraph"/>
              <w:ind w:left="108"/>
              <w:jc w:val="center"/>
              <w:rPr>
                <w:rFonts w:ascii="Cambria" w:hAnsi="Cambria"/>
                <w:lang w:val="en-US"/>
              </w:rPr>
            </w:pPr>
            <w:r>
              <w:rPr>
                <w:rFonts w:ascii="Cambria" w:hAnsi="Cambria"/>
              </w:rPr>
              <w:t>31/3</w:t>
            </w:r>
            <w:r w:rsidR="00755865">
              <w:rPr>
                <w:rFonts w:ascii="Cambria" w:hAnsi="Cambria"/>
              </w:rPr>
              <w:t>/2022</w:t>
            </w:r>
          </w:p>
        </w:tc>
        <w:tc>
          <w:tcPr>
            <w:tcW w:w="1571" w:type="dxa"/>
            <w:tcBorders>
              <w:top w:val="single" w:sz="4" w:space="0" w:color="000000"/>
              <w:left w:val="single" w:sz="4" w:space="0" w:color="000000"/>
              <w:bottom w:val="single" w:sz="4" w:space="0" w:color="000000"/>
              <w:right w:val="single" w:sz="4" w:space="0" w:color="000000"/>
            </w:tcBorders>
          </w:tcPr>
          <w:p w:rsidR="00755865" w:rsidRDefault="00003C87" w:rsidP="00A01C5B">
            <w:pPr>
              <w:spacing w:line="252" w:lineRule="auto"/>
              <w:jc w:val="center"/>
              <w:rPr>
                <w:rFonts w:ascii="Cambria" w:hAnsi="Cambria"/>
              </w:rPr>
            </w:pPr>
            <w:r>
              <w:rPr>
                <w:rFonts w:ascii="Cambria" w:hAnsi="Cambria"/>
              </w:rPr>
              <w:t>24/5</w:t>
            </w:r>
            <w:r w:rsidR="00755865">
              <w:rPr>
                <w:rFonts w:ascii="Cambria" w:hAnsi="Cambria"/>
              </w:rPr>
              <w:t>/2022</w:t>
            </w:r>
          </w:p>
          <w:p w:rsidR="00755865" w:rsidRPr="003E51B7" w:rsidRDefault="00755865" w:rsidP="00A01C5B">
            <w:pPr>
              <w:pStyle w:val="TableParagraph"/>
              <w:jc w:val="center"/>
              <w:rPr>
                <w:rFonts w:ascii="Cambria" w:hAnsi="Cambria"/>
                <w:lang w:val="en-US"/>
              </w:rPr>
            </w:pPr>
          </w:p>
        </w:tc>
      </w:tr>
      <w:tr w:rsidR="00755865" w:rsidRPr="00E014C7" w:rsidTr="00A01C5B">
        <w:trPr>
          <w:trHeight w:val="731"/>
        </w:trPr>
        <w:tc>
          <w:tcPr>
            <w:tcW w:w="709" w:type="dxa"/>
            <w:tcBorders>
              <w:top w:val="single" w:sz="4" w:space="0" w:color="000000"/>
              <w:left w:val="single" w:sz="4" w:space="0" w:color="000000"/>
              <w:bottom w:val="single" w:sz="4" w:space="0" w:color="000000"/>
              <w:right w:val="single" w:sz="4" w:space="0" w:color="000000"/>
            </w:tcBorders>
          </w:tcPr>
          <w:p w:rsidR="00755865" w:rsidRPr="00E014C7" w:rsidRDefault="00755865" w:rsidP="00A01C5B">
            <w:pPr>
              <w:pStyle w:val="TableParagraph"/>
              <w:numPr>
                <w:ilvl w:val="0"/>
                <w:numId w:val="5"/>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755865" w:rsidRPr="00E806B1" w:rsidRDefault="00755865" w:rsidP="00003C87">
            <w:pPr>
              <w:pStyle w:val="TableParagraph"/>
              <w:spacing w:line="254" w:lineRule="auto"/>
              <w:ind w:left="142" w:right="90"/>
              <w:jc w:val="both"/>
              <w:rPr>
                <w:rFonts w:ascii="Cambria" w:hAnsi="Cambria"/>
                <w:lang w:val="en-US"/>
              </w:rPr>
            </w:pPr>
            <w:r w:rsidRPr="00E806B1">
              <w:rPr>
                <w:rFonts w:ascii="Cambria" w:hAnsi="Cambria"/>
                <w:lang w:val="en-US"/>
              </w:rPr>
              <w:t xml:space="preserve">Circular </w:t>
            </w:r>
            <w:r w:rsidR="00003C87">
              <w:rPr>
                <w:rFonts w:ascii="Cambria" w:hAnsi="Cambria"/>
                <w:lang w:val="en-US"/>
              </w:rPr>
              <w:t>No. 24/2022/TT-BTC amended, supplemented a number of articles of Circular No. 48/2019/TT-BTC dated on August 8</w:t>
            </w:r>
            <w:r w:rsidR="00003C87" w:rsidRPr="00003C87">
              <w:rPr>
                <w:rFonts w:ascii="Cambria" w:hAnsi="Cambria"/>
                <w:vertAlign w:val="superscript"/>
                <w:lang w:val="en-US"/>
              </w:rPr>
              <w:t>th</w:t>
            </w:r>
            <w:r w:rsidR="00003C87">
              <w:rPr>
                <w:rFonts w:ascii="Cambria" w:hAnsi="Cambria"/>
                <w:lang w:val="en-US"/>
              </w:rPr>
              <w:t xml:space="preserve">, 2019 issued by Minister of Finance </w:t>
            </w:r>
            <w:r w:rsidR="00003C87" w:rsidRPr="00003C87">
              <w:rPr>
                <w:rFonts w:ascii="Cambria" w:hAnsi="Cambria"/>
                <w:lang w:val="en-US"/>
              </w:rPr>
              <w:t>providing guidance on making and settlement of provisions for devaluation of inventory, losses of financial investments, bad debts and warranty at enterprises</w:t>
            </w:r>
          </w:p>
        </w:tc>
        <w:tc>
          <w:tcPr>
            <w:tcW w:w="1559" w:type="dxa"/>
            <w:tcBorders>
              <w:top w:val="single" w:sz="4" w:space="0" w:color="000000"/>
              <w:left w:val="single" w:sz="4" w:space="0" w:color="000000"/>
              <w:bottom w:val="single" w:sz="4" w:space="0" w:color="000000"/>
              <w:right w:val="single" w:sz="4" w:space="0" w:color="000000"/>
            </w:tcBorders>
          </w:tcPr>
          <w:p w:rsidR="00755865" w:rsidRPr="00E806B1" w:rsidRDefault="00003C87" w:rsidP="00A01C5B">
            <w:pPr>
              <w:pStyle w:val="TableParagraph"/>
              <w:ind w:left="108"/>
              <w:jc w:val="center"/>
              <w:rPr>
                <w:rFonts w:ascii="Cambria" w:hAnsi="Cambria"/>
                <w:lang w:val="en-US"/>
              </w:rPr>
            </w:pPr>
            <w:r>
              <w:rPr>
                <w:rFonts w:ascii="Cambria" w:hAnsi="Cambria"/>
                <w:lang w:val="en-US"/>
              </w:rPr>
              <w:t>07/4</w:t>
            </w:r>
            <w:r w:rsidR="00755865">
              <w:rPr>
                <w:rFonts w:ascii="Cambria" w:hAnsi="Cambria"/>
                <w:lang w:val="en-US"/>
              </w:rPr>
              <w:t>/2022</w:t>
            </w:r>
          </w:p>
        </w:tc>
        <w:tc>
          <w:tcPr>
            <w:tcW w:w="1571" w:type="dxa"/>
            <w:tcBorders>
              <w:top w:val="single" w:sz="4" w:space="0" w:color="000000"/>
              <w:left w:val="single" w:sz="4" w:space="0" w:color="000000"/>
              <w:bottom w:val="single" w:sz="4" w:space="0" w:color="000000"/>
              <w:right w:val="single" w:sz="4" w:space="0" w:color="000000"/>
            </w:tcBorders>
          </w:tcPr>
          <w:p w:rsidR="00755865" w:rsidRPr="00E806B1" w:rsidRDefault="00003C87" w:rsidP="00A01C5B">
            <w:pPr>
              <w:spacing w:line="252" w:lineRule="auto"/>
              <w:jc w:val="center"/>
              <w:rPr>
                <w:rFonts w:ascii="Cambria" w:hAnsi="Cambria"/>
                <w:lang w:val="en-US"/>
              </w:rPr>
            </w:pPr>
            <w:r>
              <w:rPr>
                <w:rFonts w:ascii="Cambria" w:hAnsi="Cambria"/>
                <w:lang w:val="en-US"/>
              </w:rPr>
              <w:t>25/5</w:t>
            </w:r>
            <w:r w:rsidR="00755865">
              <w:rPr>
                <w:rFonts w:ascii="Cambria" w:hAnsi="Cambria"/>
                <w:lang w:val="en-US"/>
              </w:rPr>
              <w:t>/2022</w:t>
            </w:r>
          </w:p>
        </w:tc>
      </w:tr>
      <w:bookmarkEnd w:id="4"/>
    </w:tbl>
    <w:p w:rsidR="00755865" w:rsidRDefault="00755865" w:rsidP="00755865">
      <w:pPr>
        <w:jc w:val="both"/>
        <w:rPr>
          <w:rFonts w:ascii="Cambria" w:hAnsi="Cambria"/>
          <w:lang w:val="en"/>
        </w:rPr>
      </w:pPr>
    </w:p>
    <w:p w:rsidR="00755865" w:rsidRDefault="00755865" w:rsidP="00755865">
      <w:pPr>
        <w:jc w:val="both"/>
        <w:rPr>
          <w:rFonts w:ascii="Cambria" w:hAnsi="Cambria"/>
          <w:lang w:val="en"/>
        </w:rPr>
      </w:pPr>
      <w:r w:rsidRPr="00572236">
        <w:rPr>
          <w:rFonts w:ascii="Cambria" w:hAnsi="Cambria"/>
          <w:lang w:val="en"/>
        </w:rPr>
        <w:t xml:space="preserve">We hope this </w:t>
      </w:r>
      <w:r>
        <w:rPr>
          <w:rFonts w:ascii="Cambria" w:hAnsi="Cambria"/>
          <w:lang w:val="en"/>
        </w:rPr>
        <w:t>L</w:t>
      </w:r>
      <w:r w:rsidRPr="00572236">
        <w:rPr>
          <w:rFonts w:ascii="Cambria" w:hAnsi="Cambria"/>
          <w:lang w:val="en"/>
        </w:rPr>
        <w:t xml:space="preserve">egal </w:t>
      </w:r>
      <w:r>
        <w:rPr>
          <w:rFonts w:ascii="Cambria" w:hAnsi="Cambria"/>
          <w:lang w:val="en"/>
        </w:rPr>
        <w:t xml:space="preserve">Newsletter </w:t>
      </w:r>
      <w:r w:rsidRPr="00572236">
        <w:rPr>
          <w:rFonts w:ascii="Cambria" w:hAnsi="Cambria"/>
          <w:lang w:val="en"/>
        </w:rPr>
        <w:t>has a lot of useful information.</w:t>
      </w:r>
    </w:p>
    <w:p w:rsidR="00755865" w:rsidRDefault="00755865" w:rsidP="00755865">
      <w:pPr>
        <w:jc w:val="both"/>
        <w:rPr>
          <w:rFonts w:ascii="Cambria" w:hAnsi="Cambria"/>
          <w:lang w:val="en"/>
        </w:rPr>
      </w:pPr>
    </w:p>
    <w:p w:rsidR="00755865" w:rsidRDefault="00755865" w:rsidP="00755865">
      <w:pPr>
        <w:rPr>
          <w:rFonts w:ascii="Cambria" w:hAnsi="Cambria"/>
          <w:lang w:val="en"/>
        </w:rPr>
      </w:pPr>
      <w:r>
        <w:rPr>
          <w:rFonts w:ascii="Cambria" w:hAnsi="Cambria"/>
          <w:lang w:val="en"/>
        </w:rPr>
        <w:t>Best Regards.</w:t>
      </w:r>
    </w:p>
    <w:p w:rsidR="00755865" w:rsidRDefault="00755865" w:rsidP="00755865">
      <w:pPr>
        <w:jc w:val="both"/>
        <w:rPr>
          <w:rFonts w:ascii="Cambria" w:hAnsi="Cambria"/>
        </w:rPr>
      </w:pPr>
    </w:p>
    <w:p w:rsidR="00755865" w:rsidRPr="007B6BB7" w:rsidRDefault="00755865" w:rsidP="00755865">
      <w:pPr>
        <w:spacing w:line="252" w:lineRule="auto"/>
        <w:contextualSpacing/>
        <w:jc w:val="both"/>
        <w:rPr>
          <w:rFonts w:ascii="Amasis MT Pro" w:hAnsi="Amasis MT Pro"/>
        </w:rPr>
      </w:pPr>
    </w:p>
    <w:p w:rsidR="00755865" w:rsidRPr="007B6BB7" w:rsidRDefault="00755865" w:rsidP="00755865">
      <w:pPr>
        <w:spacing w:line="252" w:lineRule="auto"/>
        <w:contextualSpacing/>
        <w:jc w:val="both"/>
        <w:rPr>
          <w:rFonts w:ascii="Amasis MT Pro" w:hAnsi="Amasis MT Pro"/>
        </w:rPr>
      </w:pPr>
    </w:p>
    <w:p w:rsidR="00755865" w:rsidRPr="007B6BB7" w:rsidRDefault="00755865" w:rsidP="00755865">
      <w:pPr>
        <w:spacing w:line="252" w:lineRule="auto"/>
        <w:contextualSpacing/>
        <w:jc w:val="both"/>
        <w:rPr>
          <w:rFonts w:ascii="Amasis MT Pro" w:hAnsi="Amasis MT Pro"/>
        </w:rPr>
      </w:pPr>
    </w:p>
    <w:p w:rsidR="00755865" w:rsidRDefault="00755865" w:rsidP="00755865">
      <w:pPr>
        <w:jc w:val="both"/>
        <w:rPr>
          <w:rFonts w:ascii="Cambria" w:hAnsi="Cambria"/>
        </w:rPr>
      </w:pPr>
    </w:p>
    <w:p w:rsidR="00755865" w:rsidRDefault="00755865" w:rsidP="00755865">
      <w:pPr>
        <w:jc w:val="both"/>
        <w:rPr>
          <w:rFonts w:ascii="Cambria" w:hAnsi="Cambria"/>
        </w:rPr>
      </w:pP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CB1009" w:rsidRPr="00CB1009" w:rsidTr="00816831">
        <w:trPr>
          <w:trHeight w:val="4343"/>
        </w:trPr>
        <w:tc>
          <w:tcPr>
            <w:tcW w:w="20" w:type="dxa"/>
            <w:tcBorders>
              <w:top w:val="nil"/>
              <w:left w:val="nil"/>
              <w:right w:val="nil"/>
            </w:tcBorders>
          </w:tcPr>
          <w:p w:rsidR="00CB1009" w:rsidRPr="00CB1009" w:rsidRDefault="00CB1009" w:rsidP="00CB1009">
            <w:pPr>
              <w:widowControl/>
              <w:autoSpaceDE/>
              <w:autoSpaceDN/>
              <w:rPr>
                <w:rFonts w:ascii="Cambria" w:hAnsi="Cambria"/>
                <w:color w:val="000000"/>
                <w:lang w:val="en-US"/>
              </w:rPr>
            </w:pPr>
            <w:bookmarkStart w:id="5" w:name="_Hlk75963262"/>
          </w:p>
        </w:tc>
        <w:tc>
          <w:tcPr>
            <w:tcW w:w="8391" w:type="dxa"/>
            <w:tcBorders>
              <w:top w:val="double" w:sz="1" w:space="0" w:color="000000"/>
              <w:left w:val="nil"/>
              <w:right w:val="nil"/>
            </w:tcBorders>
            <w:shd w:val="clear" w:color="auto" w:fill="D9E1F3"/>
          </w:tcPr>
          <w:p w:rsidR="00CB1009" w:rsidRPr="00CB1009" w:rsidRDefault="00CB1009" w:rsidP="00CB1009">
            <w:pPr>
              <w:widowControl/>
              <w:autoSpaceDE/>
              <w:autoSpaceDN/>
              <w:rPr>
                <w:rFonts w:ascii="Cambria" w:hAnsi="Cambria"/>
                <w:b/>
                <w:color w:val="000000"/>
                <w:lang w:val="en-US"/>
              </w:rPr>
            </w:pPr>
          </w:p>
          <w:p w:rsidR="00CB1009" w:rsidRPr="00CB1009" w:rsidRDefault="00CB1009" w:rsidP="00CB1009">
            <w:pPr>
              <w:ind w:left="68" w:right="102" w:hanging="17"/>
              <w:contextualSpacing/>
              <w:jc w:val="both"/>
              <w:rPr>
                <w:rFonts w:ascii="Cambria" w:hAnsi="Cambria" w:cs="Arial"/>
                <w:sz w:val="24"/>
                <w:szCs w:val="24"/>
                <w:lang w:val="en-US" w:eastAsia="en-GB"/>
              </w:rPr>
            </w:pPr>
            <w:r w:rsidRPr="00CB1009">
              <w:rPr>
                <w:rFonts w:ascii="Cambria" w:hAnsi="Cambria" w:cs="Arial"/>
                <w:sz w:val="24"/>
                <w:szCs w:val="24"/>
                <w:lang w:val="en-US" w:eastAsia="en-GB"/>
              </w:rPr>
              <w:t>This document has been only prepared for general</w:t>
            </w:r>
            <w:r w:rsidRPr="00CB1009">
              <w:rPr>
                <w:rFonts w:ascii="Cambria" w:hAnsi="Cambria"/>
                <w:sz w:val="24"/>
                <w:szCs w:val="24"/>
                <w:lang w:val="en-US"/>
              </w:rPr>
              <w:t xml:space="preserve"> </w:t>
            </w:r>
            <w:r w:rsidRPr="00CB1009">
              <w:rPr>
                <w:rFonts w:ascii="Cambria" w:hAnsi="Cambria" w:cs="Arial"/>
                <w:sz w:val="24"/>
                <w:szCs w:val="24"/>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CB1009" w:rsidRPr="00CB1009" w:rsidRDefault="00CB1009" w:rsidP="00CB1009">
            <w:pPr>
              <w:ind w:left="68" w:right="102" w:hanging="17"/>
              <w:contextualSpacing/>
              <w:jc w:val="both"/>
              <w:rPr>
                <w:rFonts w:ascii="Cambria" w:hAnsi="Cambria" w:cs="Arial"/>
                <w:sz w:val="24"/>
                <w:szCs w:val="24"/>
                <w:lang w:val="en-US" w:eastAsia="en-GB"/>
              </w:rPr>
            </w:pPr>
          </w:p>
          <w:p w:rsidR="00CB1009" w:rsidRPr="00CB1009" w:rsidRDefault="00CB1009" w:rsidP="00CB1009">
            <w:pPr>
              <w:ind w:left="68" w:right="102" w:hanging="17"/>
              <w:contextualSpacing/>
              <w:jc w:val="both"/>
              <w:rPr>
                <w:rFonts w:ascii="Cambria" w:hAnsi="Cambria" w:cs="Arial"/>
                <w:sz w:val="24"/>
                <w:szCs w:val="24"/>
                <w:lang w:val="en-US" w:eastAsia="en-GB"/>
              </w:rPr>
            </w:pPr>
            <w:r w:rsidRPr="00CB1009">
              <w:rPr>
                <w:rFonts w:ascii="Cambria" w:hAnsi="Cambria" w:cs="Arial"/>
                <w:sz w:val="24"/>
                <w:szCs w:val="24"/>
                <w:lang w:val="en-US" w:eastAsia="en-GB"/>
              </w:rPr>
              <w:t>If you have or suspect that you may have a particular problem, you should contact us or your lawyer for specific advice on the matter.</w:t>
            </w:r>
          </w:p>
          <w:p w:rsidR="00CB1009" w:rsidRPr="00CB1009" w:rsidRDefault="00CB1009" w:rsidP="00CB1009">
            <w:pPr>
              <w:ind w:left="68" w:right="102" w:hanging="17"/>
              <w:contextualSpacing/>
              <w:jc w:val="both"/>
              <w:rPr>
                <w:rFonts w:ascii="Cambria" w:hAnsi="Cambria" w:cs="Arial"/>
                <w:sz w:val="24"/>
                <w:szCs w:val="24"/>
                <w:lang w:val="en-US" w:eastAsia="en-GB"/>
              </w:rPr>
            </w:pPr>
          </w:p>
          <w:p w:rsidR="00CB1009" w:rsidRPr="00CB1009" w:rsidRDefault="00CB1009" w:rsidP="00CB1009">
            <w:pPr>
              <w:ind w:left="68" w:right="102" w:hanging="17"/>
              <w:contextualSpacing/>
              <w:jc w:val="center"/>
              <w:rPr>
                <w:rFonts w:ascii="Cambria" w:hAnsi="Cambria" w:cs="Arial"/>
                <w:b/>
                <w:bCs/>
                <w:sz w:val="24"/>
                <w:szCs w:val="24"/>
                <w:lang w:val="en-US" w:eastAsia="en-GB"/>
              </w:rPr>
            </w:pPr>
            <w:r w:rsidRPr="00CB1009">
              <w:rPr>
                <w:rFonts w:ascii="Cambria" w:hAnsi="Cambria" w:cs="Arial"/>
                <w:b/>
                <w:bCs/>
                <w:sz w:val="24"/>
                <w:szCs w:val="24"/>
                <w:lang w:val="en-US" w:eastAsia="en-GB"/>
              </w:rPr>
              <w:t>ADK VIET NAM LAWYERS</w:t>
            </w:r>
          </w:p>
          <w:p w:rsidR="00CB1009" w:rsidRPr="00CB1009" w:rsidRDefault="00CB1009" w:rsidP="00CB1009">
            <w:pPr>
              <w:ind w:left="68" w:right="102" w:hanging="17"/>
              <w:contextualSpacing/>
              <w:jc w:val="both"/>
              <w:rPr>
                <w:rFonts w:ascii="Cambria" w:hAnsi="Cambria" w:cs="Arial"/>
                <w:b/>
                <w:bCs/>
                <w:sz w:val="24"/>
                <w:szCs w:val="24"/>
                <w:lang w:val="en-US" w:eastAsia="en-GB"/>
              </w:rPr>
            </w:pPr>
          </w:p>
          <w:p w:rsidR="00CB1009" w:rsidRPr="00CB1009" w:rsidRDefault="00CB1009" w:rsidP="00CB1009">
            <w:pPr>
              <w:widowControl/>
              <w:autoSpaceDE/>
              <w:autoSpaceDN/>
              <w:rPr>
                <w:rFonts w:ascii="Cambria" w:hAnsi="Cambria"/>
                <w:color w:val="000000"/>
                <w:sz w:val="24"/>
                <w:szCs w:val="24"/>
                <w:lang w:val="en-US"/>
              </w:rPr>
            </w:pPr>
            <w:r w:rsidRPr="00CB1009">
              <w:rPr>
                <w:rFonts w:ascii="Cambria" w:hAnsi="Cambria"/>
                <w:b/>
                <w:bCs/>
                <w:color w:val="000000"/>
                <w:sz w:val="24"/>
                <w:szCs w:val="24"/>
                <w:lang w:val="en-US"/>
              </w:rPr>
              <w:t>Ho Chi Minh Office</w:t>
            </w:r>
            <w:r w:rsidRPr="00CB1009">
              <w:rPr>
                <w:rFonts w:ascii="Cambria" w:hAnsi="Cambria"/>
                <w:color w:val="000000"/>
                <w:sz w:val="24"/>
                <w:szCs w:val="24"/>
                <w:lang w:val="en-US"/>
              </w:rPr>
              <w:t>: Ground Fl. HBT Tower, 456-458 Hai Ba Trung Str., Tan Dinh Ward, District 1, HCM City, VN</w:t>
            </w:r>
          </w:p>
          <w:p w:rsidR="00CB1009" w:rsidRPr="00CB1009" w:rsidRDefault="00CB1009" w:rsidP="00CB1009">
            <w:pPr>
              <w:widowControl/>
              <w:autoSpaceDE/>
              <w:autoSpaceDN/>
              <w:rPr>
                <w:rFonts w:ascii="Cambria" w:hAnsi="Cambria"/>
                <w:color w:val="000000"/>
                <w:sz w:val="24"/>
                <w:szCs w:val="24"/>
                <w:lang w:val="en-US"/>
              </w:rPr>
            </w:pPr>
            <w:r w:rsidRPr="00CB1009">
              <w:rPr>
                <w:rFonts w:ascii="Cambria" w:hAnsi="Cambria"/>
                <w:b/>
                <w:bCs/>
                <w:color w:val="000000"/>
                <w:sz w:val="24"/>
                <w:szCs w:val="24"/>
                <w:lang w:val="en-US"/>
              </w:rPr>
              <w:t>Ha Noi Office</w:t>
            </w:r>
            <w:r w:rsidRPr="00CB1009">
              <w:rPr>
                <w:rFonts w:ascii="Cambria" w:hAnsi="Cambria"/>
                <w:color w:val="000000"/>
                <w:sz w:val="24"/>
                <w:szCs w:val="24"/>
                <w:lang w:val="en-US"/>
              </w:rPr>
              <w:t>: </w:t>
            </w:r>
            <w:r w:rsidRPr="00CB1009">
              <w:rPr>
                <w:rFonts w:ascii="Cambria" w:hAnsi="Cambria"/>
                <w:color w:val="333333"/>
                <w:sz w:val="24"/>
                <w:szCs w:val="24"/>
                <w:lang w:val="en-US"/>
              </w:rPr>
              <w:t>Ground Fl. Pax Sky Building, 63-65 Ngo Thi Nham Str., Pham Dinh Ho Ward, Hai Ba Trung District, Hanoi City, VN</w:t>
            </w:r>
            <w:r w:rsidRPr="00CB1009">
              <w:rPr>
                <w:rFonts w:ascii="Cambria" w:hAnsi="Cambria"/>
                <w:color w:val="000000"/>
                <w:sz w:val="24"/>
                <w:szCs w:val="24"/>
                <w:lang w:val="en-US"/>
              </w:rPr>
              <w:t>    </w:t>
            </w:r>
          </w:p>
          <w:p w:rsidR="00CB1009" w:rsidRPr="00CB1009" w:rsidRDefault="00CB1009" w:rsidP="00CB1009">
            <w:pPr>
              <w:widowControl/>
              <w:autoSpaceDE/>
              <w:autoSpaceDN/>
              <w:spacing w:line="264" w:lineRule="auto"/>
              <w:contextualSpacing/>
              <w:jc w:val="both"/>
              <w:rPr>
                <w:rFonts w:ascii="Cambria" w:hAnsi="Cambria" w:cs="Arial"/>
                <w:sz w:val="24"/>
                <w:szCs w:val="24"/>
                <w:lang w:val="en-US" w:eastAsia="en-GB"/>
              </w:rPr>
            </w:pPr>
            <w:r w:rsidRPr="00CB1009">
              <w:rPr>
                <w:rFonts w:ascii="Cambria" w:hAnsi="Cambria" w:cs="Arial"/>
                <w:sz w:val="24"/>
                <w:szCs w:val="24"/>
                <w:lang w:val="en-US" w:eastAsia="en-GB"/>
              </w:rPr>
              <w:t>Hotline: (+84) 28 66 79 79 66 or (+84) 939 107 387</w:t>
            </w:r>
          </w:p>
          <w:p w:rsidR="00CB1009" w:rsidRPr="00CB1009" w:rsidRDefault="00CB1009" w:rsidP="00CB1009">
            <w:pPr>
              <w:ind w:left="68" w:right="102" w:hanging="17"/>
              <w:contextualSpacing/>
              <w:jc w:val="both"/>
              <w:rPr>
                <w:rFonts w:ascii="Cambria" w:hAnsi="Cambria" w:cs="Arial"/>
                <w:color w:val="0000FF"/>
                <w:sz w:val="24"/>
                <w:szCs w:val="24"/>
                <w:u w:val="single"/>
                <w:lang w:val="en-US" w:eastAsia="en-GB"/>
              </w:rPr>
            </w:pPr>
            <w:r w:rsidRPr="00CB1009">
              <w:rPr>
                <w:rFonts w:ascii="Cambria" w:hAnsi="Cambria" w:cs="Arial"/>
                <w:sz w:val="24"/>
                <w:szCs w:val="24"/>
                <w:lang w:val="en-US" w:eastAsia="en-GB"/>
              </w:rPr>
              <w:t xml:space="preserve">Email: </w:t>
            </w:r>
            <w:hyperlink r:id="rId8" w:history="1">
              <w:r w:rsidRPr="00CB1009">
                <w:rPr>
                  <w:rFonts w:ascii="Cambria" w:hAnsi="Cambria" w:cs="Arial"/>
                  <w:color w:val="0000FF"/>
                  <w:sz w:val="24"/>
                  <w:szCs w:val="24"/>
                  <w:u w:val="single"/>
                  <w:lang w:val="en-US" w:eastAsia="en-GB"/>
                </w:rPr>
                <w:t>info@adk-lawyers.com</w:t>
              </w:r>
            </w:hyperlink>
          </w:p>
          <w:p w:rsidR="00CB1009" w:rsidRPr="00CB1009" w:rsidRDefault="00CB1009" w:rsidP="00CB1009">
            <w:pPr>
              <w:ind w:left="68" w:right="102" w:hanging="17"/>
              <w:contextualSpacing/>
              <w:jc w:val="both"/>
              <w:rPr>
                <w:rFonts w:ascii="Cambria" w:hAnsi="Cambria" w:cs="Arial"/>
                <w:sz w:val="24"/>
                <w:szCs w:val="24"/>
                <w:lang w:val="en-US" w:eastAsia="en-GB"/>
              </w:rPr>
            </w:pPr>
            <w:r w:rsidRPr="00CB1009">
              <w:rPr>
                <w:rFonts w:ascii="Cambria" w:hAnsi="Cambria" w:cs="Arial"/>
                <w:sz w:val="24"/>
                <w:szCs w:val="24"/>
                <w:lang w:val="en-US" w:eastAsia="en-GB"/>
              </w:rPr>
              <w:t>W</w:t>
            </w:r>
            <w:r w:rsidRPr="00CB1009">
              <w:rPr>
                <w:rFonts w:ascii="Cambria" w:hAnsi="Cambria" w:cs="Arial"/>
                <w:sz w:val="24"/>
                <w:szCs w:val="24"/>
                <w:lang w:val="en-US"/>
              </w:rPr>
              <w:t xml:space="preserve">ebsite: </w:t>
            </w:r>
            <w:hyperlink r:id="rId9" w:history="1">
              <w:r w:rsidRPr="00CB1009">
                <w:rPr>
                  <w:rFonts w:ascii="Cambria" w:hAnsi="Cambria" w:cs="Arial"/>
                  <w:color w:val="0000FF"/>
                  <w:sz w:val="24"/>
                  <w:szCs w:val="24"/>
                  <w:u w:val="single"/>
                  <w:lang w:val="en-US"/>
                </w:rPr>
                <w:t>www.adk-lawyers.com</w:t>
              </w:r>
            </w:hyperlink>
            <w:r w:rsidRPr="00CB1009">
              <w:rPr>
                <w:rFonts w:ascii="Cambria" w:hAnsi="Cambria" w:cs="Arial"/>
                <w:sz w:val="24"/>
                <w:szCs w:val="24"/>
                <w:lang w:val="en-US"/>
              </w:rPr>
              <w:t xml:space="preserve">  </w:t>
            </w:r>
          </w:p>
          <w:p w:rsidR="00CB1009" w:rsidRPr="00CB1009" w:rsidRDefault="00CB1009" w:rsidP="00CB1009">
            <w:pPr>
              <w:widowControl/>
              <w:autoSpaceDE/>
              <w:autoSpaceDN/>
              <w:jc w:val="both"/>
              <w:rPr>
                <w:rFonts w:ascii="Cambria" w:hAnsi="Cambria"/>
                <w:color w:val="000000"/>
                <w:lang w:val="en-US"/>
              </w:rPr>
            </w:pPr>
          </w:p>
        </w:tc>
        <w:tc>
          <w:tcPr>
            <w:tcW w:w="20" w:type="dxa"/>
            <w:tcBorders>
              <w:top w:val="nil"/>
              <w:left w:val="nil"/>
              <w:bottom w:val="single" w:sz="4" w:space="0" w:color="000000"/>
              <w:right w:val="nil"/>
            </w:tcBorders>
          </w:tcPr>
          <w:p w:rsidR="00CB1009" w:rsidRPr="00CB1009" w:rsidRDefault="00CB1009" w:rsidP="00CB1009">
            <w:pPr>
              <w:widowControl/>
              <w:autoSpaceDE/>
              <w:autoSpaceDN/>
              <w:rPr>
                <w:rFonts w:ascii="Cambria" w:hAnsi="Cambria"/>
                <w:color w:val="000000"/>
                <w:sz w:val="24"/>
                <w:szCs w:val="24"/>
                <w:lang w:val="en-US"/>
              </w:rPr>
            </w:pPr>
          </w:p>
        </w:tc>
      </w:tr>
    </w:tbl>
    <w:p w:rsidR="00755865" w:rsidRDefault="00755865" w:rsidP="00755865">
      <w:pPr>
        <w:jc w:val="both"/>
        <w:rPr>
          <w:rFonts w:ascii="Cambria" w:hAnsi="Cambria"/>
        </w:rPr>
      </w:pPr>
      <w:bookmarkStart w:id="6" w:name="_GoBack"/>
      <w:bookmarkEnd w:id="5"/>
      <w:bookmarkEnd w:id="6"/>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Default="00755865" w:rsidP="00755865">
      <w:pPr>
        <w:jc w:val="both"/>
        <w:rPr>
          <w:rFonts w:ascii="Cambria" w:hAnsi="Cambria"/>
        </w:rPr>
      </w:pPr>
    </w:p>
    <w:p w:rsidR="00755865" w:rsidRPr="00572236" w:rsidRDefault="00755865" w:rsidP="00755865">
      <w:pPr>
        <w:jc w:val="both"/>
        <w:rPr>
          <w:rFonts w:ascii="Cambria" w:hAnsi="Cambria"/>
        </w:rPr>
      </w:pPr>
    </w:p>
    <w:p w:rsidR="00755865" w:rsidRPr="00572236" w:rsidRDefault="00755865" w:rsidP="00755865">
      <w:pPr>
        <w:pStyle w:val="BodyText"/>
        <w:spacing w:before="1"/>
        <w:rPr>
          <w:rFonts w:ascii="Cambria" w:hAnsi="Cambria"/>
          <w:b/>
        </w:rPr>
      </w:pPr>
    </w:p>
    <w:p w:rsidR="00755865" w:rsidRPr="00572236" w:rsidRDefault="00755865" w:rsidP="00755865">
      <w:pPr>
        <w:rPr>
          <w:rFonts w:ascii="Cambria" w:hAnsi="Cambria"/>
        </w:rPr>
      </w:pPr>
    </w:p>
    <w:p w:rsidR="00755865" w:rsidRPr="00B55567" w:rsidRDefault="00755865" w:rsidP="00755865"/>
    <w:p w:rsidR="00755865" w:rsidRPr="00AA7DFA" w:rsidRDefault="00755865" w:rsidP="00755865"/>
    <w:p w:rsidR="009F1ED6" w:rsidRPr="00755865" w:rsidRDefault="003551C9" w:rsidP="00755865"/>
    <w:sectPr w:rsidR="009F1ED6" w:rsidRPr="00755865" w:rsidSect="00030BCD">
      <w:headerReference w:type="default" r:id="rId10"/>
      <w:footerReference w:type="default" r:id="rId11"/>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1C9" w:rsidRDefault="003551C9">
      <w:r>
        <w:separator/>
      </w:r>
    </w:p>
  </w:endnote>
  <w:endnote w:type="continuationSeparator" w:id="0">
    <w:p w:rsidR="003551C9" w:rsidRDefault="0035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w:altName w:val="Times New Roman"/>
    <w:charset w:val="00"/>
    <w:family w:val="roman"/>
    <w:pitch w:val="variable"/>
    <w:sig w:usb0="00000001"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42" w:rsidRPr="00CB1009" w:rsidRDefault="00755865" w:rsidP="00961B42">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Cambria" w:hAnsi="Cambria"/>
        <w:b/>
        <w:sz w:val="18"/>
        <w:szCs w:val="18"/>
      </w:rPr>
    </w:pPr>
    <w:r w:rsidRPr="00CB1009">
      <w:rPr>
        <w:rFonts w:ascii="Cambria" w:hAnsi="Cambria"/>
        <w:b/>
        <w:sz w:val="18"/>
        <w:szCs w:val="18"/>
        <w:lang w:val="en"/>
      </w:rPr>
      <w:t>ADK Vietnam Lawyers</w:t>
    </w:r>
  </w:p>
  <w:p w:rsidR="00961B42" w:rsidRPr="00CB1009" w:rsidRDefault="003551C9" w:rsidP="00961B42">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Cambria" w:hAnsi="Cambria"/>
        <w:sz w:val="18"/>
        <w:szCs w:val="18"/>
      </w:rPr>
    </w:pPr>
    <w:hyperlink r:id="rId1" w:history="1">
      <w:r w:rsidR="00755865" w:rsidRPr="00CB1009">
        <w:rPr>
          <w:rStyle w:val="Hyperlink"/>
          <w:rFonts w:ascii="Cambria" w:hAnsi="Cambria"/>
          <w:sz w:val="18"/>
          <w:szCs w:val="18"/>
          <w:lang w:val="en"/>
        </w:rPr>
        <w:t>www.adk-lawyers.com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1C9" w:rsidRDefault="003551C9">
      <w:r>
        <w:separator/>
      </w:r>
    </w:p>
  </w:footnote>
  <w:footnote w:type="continuationSeparator" w:id="0">
    <w:p w:rsidR="003551C9" w:rsidRDefault="00355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42" w:rsidRDefault="00755865">
    <w:pPr>
      <w:pStyle w:val="Header"/>
    </w:pPr>
    <w:r>
      <w:rPr>
        <w:noProof/>
        <w:lang w:val="en-US"/>
      </w:rPr>
      <w:drawing>
        <wp:anchor distT="0" distB="0" distL="114300" distR="114300" simplePos="0" relativeHeight="251659264" behindDoc="1" locked="0" layoutInCell="1" allowOverlap="1" wp14:anchorId="536CE9FB" wp14:editId="145914FB">
          <wp:simplePos x="0" y="0"/>
          <wp:positionH relativeFrom="page">
            <wp:align>left</wp:align>
          </wp:positionH>
          <wp:positionV relativeFrom="paragraph">
            <wp:posOffset>-476250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400"/>
    <w:multiLevelType w:val="hybridMultilevel"/>
    <w:tmpl w:val="04DEF154"/>
    <w:lvl w:ilvl="0" w:tplc="D31EB3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D7A1ACC"/>
    <w:multiLevelType w:val="hybridMultilevel"/>
    <w:tmpl w:val="9CA8826E"/>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 w15:restartNumberingAfterBreak="0">
    <w:nsid w:val="26D31C30"/>
    <w:multiLevelType w:val="hybridMultilevel"/>
    <w:tmpl w:val="25AED908"/>
    <w:lvl w:ilvl="0" w:tplc="51744B9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AD01581"/>
    <w:multiLevelType w:val="hybridMultilevel"/>
    <w:tmpl w:val="1478ABE8"/>
    <w:lvl w:ilvl="0" w:tplc="5422F88E">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6" w15:restartNumberingAfterBreak="0">
    <w:nsid w:val="54A175FE"/>
    <w:multiLevelType w:val="multilevel"/>
    <w:tmpl w:val="2BEC72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A0A795C"/>
    <w:multiLevelType w:val="hybridMultilevel"/>
    <w:tmpl w:val="E7AA0B4A"/>
    <w:lvl w:ilvl="0" w:tplc="96805B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21CBB"/>
    <w:multiLevelType w:val="hybridMultilevel"/>
    <w:tmpl w:val="C6986734"/>
    <w:lvl w:ilvl="0" w:tplc="8D00BB3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EA772B4"/>
    <w:multiLevelType w:val="hybridMultilevel"/>
    <w:tmpl w:val="BBBC9704"/>
    <w:lvl w:ilvl="0" w:tplc="63B8DF8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0" w15:restartNumberingAfterBreak="0">
    <w:nsid w:val="638F42C7"/>
    <w:multiLevelType w:val="hybridMultilevel"/>
    <w:tmpl w:val="2EA4C7A0"/>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3A45B07"/>
    <w:multiLevelType w:val="hybridMultilevel"/>
    <w:tmpl w:val="F66AFD46"/>
    <w:lvl w:ilvl="0" w:tplc="075CD174">
      <w:start w:val="1"/>
      <w:numFmt w:val="bullet"/>
      <w:lvlText w:val="-"/>
      <w:lvlJc w:val="left"/>
      <w:pPr>
        <w:ind w:left="1789" w:hanging="360"/>
      </w:pPr>
      <w:rPr>
        <w:rFonts w:ascii="Cambria" w:eastAsia="Times New Roman" w:hAnsi="Cambria"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0"/>
  </w:num>
  <w:num w:numId="6">
    <w:abstractNumId w:val="1"/>
  </w:num>
  <w:num w:numId="7">
    <w:abstractNumId w:val="11"/>
  </w:num>
  <w:num w:numId="8">
    <w:abstractNumId w:val="10"/>
  </w:num>
  <w:num w:numId="9">
    <w:abstractNumId w:val="8"/>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A4"/>
    <w:rsid w:val="00002F8A"/>
    <w:rsid w:val="00003C87"/>
    <w:rsid w:val="003551C9"/>
    <w:rsid w:val="00544E80"/>
    <w:rsid w:val="005C0671"/>
    <w:rsid w:val="005C6C0E"/>
    <w:rsid w:val="0060463D"/>
    <w:rsid w:val="00755865"/>
    <w:rsid w:val="007E3167"/>
    <w:rsid w:val="008864AF"/>
    <w:rsid w:val="009F00B3"/>
    <w:rsid w:val="00AF75A4"/>
    <w:rsid w:val="00C46877"/>
    <w:rsid w:val="00CB1009"/>
    <w:rsid w:val="00EC3A47"/>
    <w:rsid w:val="00ED5024"/>
    <w:rsid w:val="00E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FCB9"/>
  <w15:chartTrackingRefBased/>
  <w15:docId w15:val="{B1537861-AA00-4C92-A9B0-0014A299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6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755865"/>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865"/>
    <w:rPr>
      <w:rFonts w:ascii="Times New Roman" w:eastAsia="Times New Roman" w:hAnsi="Times New Roman" w:cs="Times New Roman"/>
      <w:b/>
      <w:bCs/>
      <w:lang w:val="vi"/>
    </w:rPr>
  </w:style>
  <w:style w:type="paragraph" w:styleId="BodyText">
    <w:name w:val="Body Text"/>
    <w:basedOn w:val="Normal"/>
    <w:link w:val="BodyTextChar"/>
    <w:uiPriority w:val="1"/>
    <w:qFormat/>
    <w:rsid w:val="00755865"/>
  </w:style>
  <w:style w:type="character" w:customStyle="1" w:styleId="BodyTextChar">
    <w:name w:val="Body Text Char"/>
    <w:basedOn w:val="DefaultParagraphFont"/>
    <w:link w:val="BodyText"/>
    <w:uiPriority w:val="1"/>
    <w:rsid w:val="00755865"/>
    <w:rPr>
      <w:rFonts w:ascii="Times New Roman" w:eastAsia="Times New Roman" w:hAnsi="Times New Roman" w:cs="Times New Roman"/>
      <w:lang w:val="vi"/>
    </w:rPr>
  </w:style>
  <w:style w:type="paragraph" w:styleId="ListParagraph">
    <w:name w:val="List Paragraph"/>
    <w:basedOn w:val="Normal"/>
    <w:link w:val="ListParagraphChar"/>
    <w:uiPriority w:val="34"/>
    <w:qFormat/>
    <w:rsid w:val="00755865"/>
    <w:pPr>
      <w:ind w:left="1557" w:hanging="721"/>
    </w:pPr>
  </w:style>
  <w:style w:type="paragraph" w:styleId="Header">
    <w:name w:val="header"/>
    <w:basedOn w:val="Normal"/>
    <w:link w:val="HeaderChar"/>
    <w:uiPriority w:val="99"/>
    <w:unhideWhenUsed/>
    <w:rsid w:val="00755865"/>
    <w:pPr>
      <w:tabs>
        <w:tab w:val="center" w:pos="4680"/>
        <w:tab w:val="right" w:pos="9360"/>
      </w:tabs>
    </w:pPr>
  </w:style>
  <w:style w:type="character" w:customStyle="1" w:styleId="HeaderChar">
    <w:name w:val="Header Char"/>
    <w:basedOn w:val="DefaultParagraphFont"/>
    <w:link w:val="Header"/>
    <w:uiPriority w:val="99"/>
    <w:rsid w:val="00755865"/>
    <w:rPr>
      <w:rFonts w:ascii="Times New Roman" w:eastAsia="Times New Roman" w:hAnsi="Times New Roman" w:cs="Times New Roman"/>
      <w:lang w:val="vi"/>
    </w:rPr>
  </w:style>
  <w:style w:type="character" w:styleId="Hyperlink">
    <w:name w:val="Hyperlink"/>
    <w:uiPriority w:val="99"/>
    <w:unhideWhenUsed/>
    <w:rsid w:val="00755865"/>
    <w:rPr>
      <w:color w:val="0000FF"/>
      <w:u w:val="single"/>
    </w:rPr>
  </w:style>
  <w:style w:type="paragraph" w:styleId="Title">
    <w:name w:val="Title"/>
    <w:basedOn w:val="Normal"/>
    <w:link w:val="TitleChar"/>
    <w:uiPriority w:val="10"/>
    <w:qFormat/>
    <w:rsid w:val="00755865"/>
    <w:pPr>
      <w:spacing w:before="95" w:line="466" w:lineRule="exact"/>
      <w:ind w:left="6003"/>
    </w:pPr>
    <w:rPr>
      <w:b/>
      <w:bCs/>
      <w:sz w:val="40"/>
      <w:szCs w:val="40"/>
    </w:rPr>
  </w:style>
  <w:style w:type="character" w:customStyle="1" w:styleId="TitleChar">
    <w:name w:val="Title Char"/>
    <w:basedOn w:val="DefaultParagraphFont"/>
    <w:link w:val="Title"/>
    <w:uiPriority w:val="10"/>
    <w:rsid w:val="00755865"/>
    <w:rPr>
      <w:rFonts w:ascii="Times New Roman" w:eastAsia="Times New Roman" w:hAnsi="Times New Roman" w:cs="Times New Roman"/>
      <w:b/>
      <w:bCs/>
      <w:sz w:val="40"/>
      <w:szCs w:val="40"/>
      <w:lang w:val="vi"/>
    </w:rPr>
  </w:style>
  <w:style w:type="paragraph" w:customStyle="1" w:styleId="TableParagraph">
    <w:name w:val="Table Paragraph"/>
    <w:basedOn w:val="Normal"/>
    <w:uiPriority w:val="1"/>
    <w:qFormat/>
    <w:rsid w:val="00755865"/>
    <w:pPr>
      <w:spacing w:line="256" w:lineRule="exact"/>
      <w:ind w:left="103"/>
    </w:pPr>
  </w:style>
  <w:style w:type="table" w:styleId="TableGrid">
    <w:name w:val="Table Grid"/>
    <w:basedOn w:val="TableNormal"/>
    <w:uiPriority w:val="59"/>
    <w:rsid w:val="0075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55865"/>
    <w:rPr>
      <w:rFonts w:ascii="Times New Roman" w:eastAsia="Times New Roman" w:hAnsi="Times New Roman" w:cs="Times New Roman"/>
      <w:lang w:val="vi"/>
    </w:rPr>
  </w:style>
  <w:style w:type="paragraph" w:styleId="Footer">
    <w:name w:val="footer"/>
    <w:basedOn w:val="Normal"/>
    <w:link w:val="FooterChar"/>
    <w:uiPriority w:val="99"/>
    <w:unhideWhenUsed/>
    <w:rsid w:val="00755865"/>
    <w:pPr>
      <w:tabs>
        <w:tab w:val="center" w:pos="4680"/>
        <w:tab w:val="right" w:pos="9360"/>
      </w:tabs>
    </w:pPr>
  </w:style>
  <w:style w:type="character" w:customStyle="1" w:styleId="FooterChar">
    <w:name w:val="Footer Char"/>
    <w:basedOn w:val="DefaultParagraphFont"/>
    <w:link w:val="Footer"/>
    <w:uiPriority w:val="99"/>
    <w:rsid w:val="00755865"/>
    <w:rPr>
      <w:rFonts w:ascii="Times New Roman" w:eastAsia="Times New Roman" w:hAnsi="Times New Roman" w:cs="Times New Roman"/>
      <w:lang w:val="vi"/>
    </w:rPr>
  </w:style>
  <w:style w:type="paragraph" w:styleId="NormalWeb">
    <w:name w:val="Normal (Web)"/>
    <w:basedOn w:val="Normal"/>
    <w:uiPriority w:val="99"/>
    <w:unhideWhenUsed/>
    <w:rsid w:val="00755865"/>
    <w:pPr>
      <w:widowControl/>
      <w:autoSpaceDE/>
      <w:autoSpaceDN/>
      <w:spacing w:before="100" w:beforeAutospacing="1" w:after="100" w:afterAutospacing="1"/>
    </w:pPr>
    <w:rPr>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k-lawyers.com/en/legal-artic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1448</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Dear Value Clients and Partners,</vt:lpstr>
      <vt:lpstr>Legal Spotlight</vt:lpstr>
      <vt:lpstr/>
      <vt:lpstr/>
      <vt:lpstr>Featured Articles of ADK Lawyer in April</vt:lpstr>
      <vt:lpstr/>
      <vt:lpstr>The article “Procedures for issuing the bill of lading, through bill of lading”.</vt:lpstr>
      <vt:lpstr/>
      <vt:lpstr>The article “Legal regulations on receiving the non-refundable sponsorship by a </vt:lpstr>
      <vt:lpstr>The article “Comparison between VIAC rules and SIAC rules”. This article focused</vt:lpstr>
      <vt:lpstr/>
      <vt:lpstr>Some prominent legal documents take effect from May 2022</vt:lpstr>
    </vt:vector>
  </TitlesOfParts>
  <Company>Tin Hoc Luna</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Nguyen (ADK Lawyers)</dc:creator>
  <cp:keywords/>
  <dc:description/>
  <cp:lastModifiedBy>ADK-003</cp:lastModifiedBy>
  <cp:revision>11</cp:revision>
  <dcterms:created xsi:type="dcterms:W3CDTF">2022-04-27T02:57:00Z</dcterms:created>
  <dcterms:modified xsi:type="dcterms:W3CDTF">2022-04-28T08:27:00Z</dcterms:modified>
</cp:coreProperties>
</file>