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FA" w:rsidRPr="00A17A3C" w:rsidRDefault="00AA7DFA" w:rsidP="00AA7DFA">
      <w:pPr>
        <w:pStyle w:val="Title"/>
        <w:spacing w:before="0" w:line="252" w:lineRule="auto"/>
        <w:ind w:left="0"/>
        <w:jc w:val="right"/>
        <w:rPr>
          <w:rFonts w:ascii="Cambria" w:hAnsi="Cambria"/>
          <w:sz w:val="28"/>
          <w:szCs w:val="28"/>
          <w:lang w:val="en-US"/>
        </w:rPr>
      </w:pPr>
      <w:r w:rsidRPr="00A17A3C">
        <w:rPr>
          <w:rFonts w:ascii="Cambria" w:hAnsi="Cambria"/>
          <w:lang w:val="en-US"/>
        </w:rPr>
        <w:t xml:space="preserve"> </w:t>
      </w:r>
      <w:r w:rsidRPr="00A17A3C">
        <w:rPr>
          <w:rFonts w:ascii="Cambria" w:hAnsi="Cambria"/>
          <w:spacing w:val="-9"/>
          <w:sz w:val="28"/>
          <w:szCs w:val="28"/>
          <w:lang w:val="en-US"/>
        </w:rPr>
        <w:t xml:space="preserve"> </w:t>
      </w:r>
      <w:r w:rsidRPr="00A17A3C">
        <w:rPr>
          <w:rFonts w:ascii="Cambria" w:hAnsi="Cambria"/>
          <w:lang w:val="en-US"/>
        </w:rPr>
        <w:t xml:space="preserve"> </w:t>
      </w:r>
      <w:r w:rsidRPr="00A17A3C">
        <w:rPr>
          <w:rFonts w:ascii="Cambria" w:hAnsi="Cambria"/>
          <w:spacing w:val="-8"/>
          <w:sz w:val="28"/>
          <w:szCs w:val="28"/>
          <w:lang w:val="en-US"/>
        </w:rPr>
        <w:t xml:space="preserve"> </w:t>
      </w:r>
      <w:r w:rsidRPr="00A17A3C">
        <w:rPr>
          <w:rFonts w:ascii="Cambria" w:hAnsi="Cambria"/>
          <w:lang w:val="en-US"/>
        </w:rPr>
        <w:t xml:space="preserve"> </w:t>
      </w:r>
      <w:r w:rsidRPr="00A17A3C">
        <w:rPr>
          <w:rFonts w:ascii="Cambria" w:hAnsi="Cambria"/>
          <w:sz w:val="28"/>
          <w:szCs w:val="28"/>
          <w:lang w:val="en-US"/>
        </w:rPr>
        <w:t>LEGAL</w:t>
      </w:r>
      <w:r w:rsidRPr="00A17A3C">
        <w:rPr>
          <w:rFonts w:ascii="Cambria" w:hAnsi="Cambria"/>
          <w:spacing w:val="-31"/>
          <w:sz w:val="28"/>
          <w:szCs w:val="28"/>
          <w:lang w:val="en-US"/>
        </w:rPr>
        <w:t xml:space="preserve"> </w:t>
      </w:r>
      <w:r w:rsidRPr="00A17A3C">
        <w:rPr>
          <w:rFonts w:ascii="Cambria" w:hAnsi="Cambria"/>
          <w:sz w:val="28"/>
          <w:szCs w:val="28"/>
          <w:lang w:val="en-US"/>
        </w:rPr>
        <w:t>NEWSLETTER</w:t>
      </w:r>
    </w:p>
    <w:p w:rsidR="00AA7DFA" w:rsidRPr="00A17A3C" w:rsidRDefault="00802DC8" w:rsidP="00AA7DFA">
      <w:pPr>
        <w:pStyle w:val="BodyText"/>
        <w:spacing w:line="252" w:lineRule="auto"/>
        <w:ind w:left="5529" w:right="497"/>
        <w:jc w:val="right"/>
        <w:rPr>
          <w:rFonts w:ascii="Cambria" w:hAnsi="Cambria"/>
          <w:lang w:val="en-US"/>
        </w:rPr>
      </w:pPr>
      <w:r w:rsidRPr="00A17A3C">
        <w:rPr>
          <w:rFonts w:ascii="Cambria" w:hAnsi="Cambria"/>
          <w:spacing w:val="-9"/>
          <w:lang w:val="en-US"/>
        </w:rPr>
        <w:t>March</w:t>
      </w:r>
      <w:r w:rsidR="00AA7DFA" w:rsidRPr="00A17A3C">
        <w:rPr>
          <w:rFonts w:ascii="Cambria" w:hAnsi="Cambria"/>
          <w:spacing w:val="-9"/>
          <w:lang w:val="en-US"/>
        </w:rPr>
        <w:t>/ 2022</w:t>
      </w:r>
    </w:p>
    <w:p w:rsidR="00AA7DFA" w:rsidRPr="00A17A3C" w:rsidRDefault="00AA7DFA" w:rsidP="00AA7DFA">
      <w:pPr>
        <w:pStyle w:val="Heading1"/>
        <w:spacing w:line="252" w:lineRule="auto"/>
        <w:ind w:hanging="837"/>
        <w:rPr>
          <w:rFonts w:ascii="Cambria" w:hAnsi="Cambria"/>
          <w:lang w:val="en-US"/>
        </w:rPr>
      </w:pPr>
      <w:bookmarkStart w:id="0" w:name="_GoBack"/>
      <w:bookmarkEnd w:id="0"/>
      <w:r w:rsidRPr="00A17A3C">
        <w:rPr>
          <w:rFonts w:ascii="Cambria" w:hAnsi="Cambria"/>
          <w:lang w:val="en-US"/>
        </w:rPr>
        <w:t>Dear Value</w:t>
      </w:r>
      <w:r w:rsidR="00A17A3C">
        <w:rPr>
          <w:rFonts w:ascii="Cambria" w:hAnsi="Cambria"/>
          <w:lang w:val="en-US"/>
        </w:rPr>
        <w:t>d</w:t>
      </w:r>
      <w:r w:rsidRPr="00A17A3C">
        <w:rPr>
          <w:rFonts w:ascii="Cambria" w:hAnsi="Cambria"/>
          <w:lang w:val="en-US"/>
        </w:rPr>
        <w:t xml:space="preserve"> Clients and Partners,</w:t>
      </w:r>
    </w:p>
    <w:p w:rsidR="00AA7DFA" w:rsidRPr="00A17A3C" w:rsidRDefault="00AA7DFA" w:rsidP="00AA7DFA">
      <w:pPr>
        <w:pStyle w:val="BodyText"/>
        <w:spacing w:line="252" w:lineRule="auto"/>
        <w:rPr>
          <w:rFonts w:ascii="Cambria" w:hAnsi="Cambria"/>
          <w:b/>
          <w:lang w:val="en-US"/>
        </w:rPr>
      </w:pPr>
    </w:p>
    <w:p w:rsidR="00AA7DFA" w:rsidRPr="00A17A3C" w:rsidRDefault="00AA7DFA" w:rsidP="00AA7DFA">
      <w:pPr>
        <w:pStyle w:val="BodyText"/>
        <w:spacing w:line="252" w:lineRule="auto"/>
        <w:ind w:right="146"/>
        <w:jc w:val="both"/>
        <w:rPr>
          <w:rFonts w:ascii="Cambria" w:hAnsi="Cambria"/>
          <w:lang w:val="en-US"/>
        </w:rPr>
      </w:pPr>
      <w:r w:rsidRPr="00A17A3C">
        <w:rPr>
          <w:rFonts w:ascii="Cambria" w:hAnsi="Cambria"/>
          <w:lang w:val="en-US"/>
        </w:rPr>
        <w:t xml:space="preserve">ADK Vietnam Lawyers would like to introduce to you the </w:t>
      </w:r>
      <w:r w:rsidR="00802DC8" w:rsidRPr="00A17A3C">
        <w:rPr>
          <w:rFonts w:ascii="Cambria" w:hAnsi="Cambria"/>
          <w:lang w:val="en-US"/>
        </w:rPr>
        <w:t>March</w:t>
      </w:r>
      <w:r w:rsidRPr="00A17A3C">
        <w:rPr>
          <w:rFonts w:ascii="Cambria" w:hAnsi="Cambria"/>
          <w:lang w:val="en-US"/>
        </w:rPr>
        <w:t xml:space="preserve"> 2022 Legal Newsletter with the following main contents:</w:t>
      </w:r>
    </w:p>
    <w:p w:rsidR="00AA7DFA" w:rsidRPr="00A17A3C" w:rsidRDefault="00AA7DFA" w:rsidP="00AA7DFA">
      <w:pPr>
        <w:pStyle w:val="BodyText"/>
        <w:spacing w:line="252" w:lineRule="auto"/>
        <w:rPr>
          <w:rFonts w:ascii="Cambria" w:hAnsi="Cambria"/>
          <w:lang w:val="en-US"/>
        </w:rPr>
      </w:pPr>
    </w:p>
    <w:p w:rsidR="00AA7DFA" w:rsidRPr="00A17A3C" w:rsidRDefault="00AA7DFA" w:rsidP="00AA7DFA">
      <w:pPr>
        <w:pStyle w:val="Heading1"/>
        <w:numPr>
          <w:ilvl w:val="0"/>
          <w:numId w:val="1"/>
        </w:numPr>
        <w:tabs>
          <w:tab w:val="left" w:pos="836"/>
          <w:tab w:val="left" w:pos="837"/>
        </w:tabs>
        <w:spacing w:line="252" w:lineRule="auto"/>
        <w:ind w:left="709"/>
        <w:rPr>
          <w:rFonts w:ascii="Cambria" w:hAnsi="Cambria"/>
          <w:lang w:val="en-US"/>
        </w:rPr>
      </w:pPr>
      <w:bookmarkStart w:id="1" w:name="1._Phỏng_vấn_với_Asia_Law_Portal"/>
      <w:bookmarkEnd w:id="1"/>
      <w:r w:rsidRPr="00A17A3C">
        <w:rPr>
          <w:rFonts w:ascii="Cambria" w:hAnsi="Cambria"/>
          <w:lang w:val="en-US"/>
        </w:rPr>
        <w:t>Legal Spotlight</w:t>
      </w:r>
    </w:p>
    <w:p w:rsidR="00AA7DFA" w:rsidRPr="00A17A3C" w:rsidRDefault="00AA7DFA" w:rsidP="00AA7DFA">
      <w:pPr>
        <w:pStyle w:val="Heading1"/>
        <w:tabs>
          <w:tab w:val="left" w:pos="836"/>
          <w:tab w:val="left" w:pos="837"/>
        </w:tabs>
        <w:spacing w:line="252" w:lineRule="auto"/>
        <w:ind w:left="709" w:firstLine="0"/>
        <w:rPr>
          <w:rFonts w:ascii="Cambria" w:hAnsi="Cambria"/>
          <w:lang w:val="en-US"/>
        </w:rPr>
      </w:pPr>
    </w:p>
    <w:p w:rsidR="00AA7DFA" w:rsidRPr="00A17A3C" w:rsidRDefault="00AA7DFA" w:rsidP="00AA7DFA">
      <w:pPr>
        <w:pStyle w:val="ListParagraph"/>
        <w:widowControl/>
        <w:numPr>
          <w:ilvl w:val="1"/>
          <w:numId w:val="4"/>
        </w:numPr>
        <w:autoSpaceDE/>
        <w:autoSpaceDN/>
        <w:ind w:left="709" w:hanging="709"/>
        <w:contextualSpacing/>
        <w:jc w:val="both"/>
        <w:rPr>
          <w:rFonts w:ascii="Cambria" w:hAnsi="Cambria"/>
          <w:lang w:val="en-US"/>
        </w:rPr>
      </w:pPr>
      <w:r w:rsidRPr="00A17A3C">
        <w:rPr>
          <w:rFonts w:ascii="Cambria" w:hAnsi="Cambria"/>
          <w:b/>
          <w:bCs/>
          <w:lang w:val="en-US"/>
        </w:rPr>
        <w:t xml:space="preserve">Guideline on Covid-19 prevention and control associated with entrants </w:t>
      </w:r>
    </w:p>
    <w:p w:rsidR="00AA7DFA" w:rsidRPr="00A17A3C" w:rsidRDefault="00AA7DFA" w:rsidP="00AA7DFA">
      <w:pPr>
        <w:pStyle w:val="ListParagraph"/>
        <w:widowControl/>
        <w:autoSpaceDE/>
        <w:autoSpaceDN/>
        <w:ind w:left="709" w:firstLine="0"/>
        <w:contextualSpacing/>
        <w:jc w:val="both"/>
        <w:rPr>
          <w:rFonts w:ascii="Cambria" w:hAnsi="Cambria"/>
          <w:b/>
          <w:bCs/>
          <w:lang w:val="en-US"/>
        </w:rPr>
      </w:pPr>
    </w:p>
    <w:p w:rsidR="00AA7DFA" w:rsidRPr="00A17A3C" w:rsidRDefault="00AA7DFA" w:rsidP="00AA7DFA">
      <w:pPr>
        <w:pStyle w:val="ListParagraph"/>
        <w:ind w:left="709" w:firstLine="0"/>
        <w:jc w:val="both"/>
        <w:rPr>
          <w:rFonts w:ascii="Cambria" w:hAnsi="Cambria"/>
          <w:lang w:val="en-US"/>
        </w:rPr>
      </w:pPr>
      <w:r w:rsidRPr="00A17A3C">
        <w:rPr>
          <w:rFonts w:ascii="Cambria" w:hAnsi="Cambria"/>
          <w:lang w:val="en-US"/>
        </w:rPr>
        <w:t xml:space="preserve">Mr. Nguyen Truong Son - Deputy Minister of Health recently signed and promulgated Official Letter No. 1265/BYT-DP on the prevention of COVID-19 epidemic for entrants. </w:t>
      </w:r>
    </w:p>
    <w:p w:rsidR="00AA7DFA" w:rsidRPr="00A17A3C" w:rsidRDefault="00AA7DFA" w:rsidP="00AA7DFA">
      <w:pPr>
        <w:pStyle w:val="ListParagraph"/>
        <w:ind w:left="709" w:firstLine="0"/>
        <w:jc w:val="both"/>
        <w:rPr>
          <w:rFonts w:ascii="Cambria" w:hAnsi="Cambria"/>
          <w:lang w:val="en-US"/>
        </w:rPr>
      </w:pPr>
    </w:p>
    <w:p w:rsidR="00AA7DFA" w:rsidRPr="00A17A3C" w:rsidRDefault="00AA7DFA" w:rsidP="00AA7DFA">
      <w:pPr>
        <w:pStyle w:val="ListParagraph"/>
        <w:ind w:left="709" w:firstLine="0"/>
        <w:jc w:val="both"/>
        <w:rPr>
          <w:rFonts w:ascii="Cambria" w:hAnsi="Cambria"/>
          <w:lang w:val="en-US"/>
        </w:rPr>
      </w:pPr>
      <w:r w:rsidRPr="00A17A3C">
        <w:rPr>
          <w:rFonts w:ascii="Cambria" w:hAnsi="Cambria"/>
          <w:lang w:val="en-US"/>
        </w:rPr>
        <w:t>Accordingly, this Official Letter guides a number of outstanding contents as follows:</w:t>
      </w:r>
    </w:p>
    <w:p w:rsidR="00AA7DFA" w:rsidRPr="00A17A3C" w:rsidRDefault="00AA7DFA" w:rsidP="00AA7DFA">
      <w:pPr>
        <w:pStyle w:val="ListParagraph"/>
        <w:ind w:left="709"/>
        <w:jc w:val="both"/>
        <w:rPr>
          <w:rFonts w:ascii="Cambria" w:hAnsi="Cambria"/>
          <w:lang w:val="en-US"/>
        </w:rPr>
      </w:pPr>
    </w:p>
    <w:p w:rsidR="00AA7DFA" w:rsidRPr="00A17A3C" w:rsidRDefault="00AA7DFA" w:rsidP="00AA7DFA">
      <w:pPr>
        <w:pStyle w:val="ListParagraph"/>
        <w:widowControl/>
        <w:numPr>
          <w:ilvl w:val="0"/>
          <w:numId w:val="11"/>
        </w:numPr>
        <w:autoSpaceDE/>
        <w:autoSpaceDN/>
        <w:contextualSpacing/>
        <w:jc w:val="both"/>
        <w:rPr>
          <w:rFonts w:ascii="Cambria" w:hAnsi="Cambria"/>
          <w:lang w:val="en-US"/>
        </w:rPr>
      </w:pPr>
      <w:r w:rsidRPr="00A17A3C">
        <w:rPr>
          <w:rFonts w:ascii="Cambria" w:hAnsi="Cambria"/>
          <w:lang w:val="en-US"/>
        </w:rPr>
        <w:t xml:space="preserve">Testing requirements for entrants: </w:t>
      </w:r>
    </w:p>
    <w:p w:rsidR="00AA7DFA" w:rsidRPr="00A17A3C" w:rsidRDefault="00AA7DFA" w:rsidP="00AA7DFA">
      <w:pPr>
        <w:pStyle w:val="ListParagraph"/>
        <w:ind w:left="1429"/>
        <w:jc w:val="both"/>
        <w:rPr>
          <w:rFonts w:ascii="Cambria" w:hAnsi="Cambria"/>
          <w:lang w:val="en-US"/>
        </w:rPr>
      </w:pPr>
    </w:p>
    <w:p w:rsidR="00AA7DFA" w:rsidRPr="00A17A3C" w:rsidRDefault="00AA7DFA" w:rsidP="00AA7DFA">
      <w:pPr>
        <w:pStyle w:val="ListParagraph"/>
        <w:widowControl/>
        <w:numPr>
          <w:ilvl w:val="0"/>
          <w:numId w:val="12"/>
        </w:numPr>
        <w:autoSpaceDE/>
        <w:autoSpaceDN/>
        <w:contextualSpacing/>
        <w:jc w:val="both"/>
        <w:rPr>
          <w:rFonts w:ascii="Cambria" w:hAnsi="Cambria"/>
          <w:lang w:val="en-US"/>
        </w:rPr>
      </w:pPr>
      <w:r w:rsidRPr="00A17A3C">
        <w:rPr>
          <w:rFonts w:ascii="Cambria" w:hAnsi="Cambria"/>
          <w:lang w:val="en-US"/>
        </w:rPr>
        <w:t>Entrants entering Vietnam by air must have negative test results for SARS-CoV-2 (except for children aged under 2) with RT-PCR /RT-LAMP within 72 hours before exit or with antigen rapid test within 24 hours before exit, and the test results must be certified by competent authorities of the country in which the test is done;</w:t>
      </w:r>
    </w:p>
    <w:p w:rsidR="00AA7DFA" w:rsidRPr="00A17A3C" w:rsidRDefault="00AA7DFA" w:rsidP="00AA7DFA">
      <w:pPr>
        <w:pStyle w:val="ListParagraph"/>
        <w:ind w:left="1789"/>
        <w:jc w:val="both"/>
        <w:rPr>
          <w:rFonts w:ascii="Cambria" w:hAnsi="Cambria"/>
          <w:lang w:val="en-US"/>
        </w:rPr>
      </w:pPr>
    </w:p>
    <w:p w:rsidR="00AA7DFA" w:rsidRPr="00A17A3C" w:rsidRDefault="00AA7DFA" w:rsidP="00AA7DFA">
      <w:pPr>
        <w:pStyle w:val="ListParagraph"/>
        <w:widowControl/>
        <w:numPr>
          <w:ilvl w:val="0"/>
          <w:numId w:val="12"/>
        </w:numPr>
        <w:autoSpaceDE/>
        <w:autoSpaceDN/>
        <w:contextualSpacing/>
        <w:jc w:val="both"/>
        <w:rPr>
          <w:rFonts w:ascii="Cambria" w:hAnsi="Cambria"/>
          <w:lang w:val="en-US"/>
        </w:rPr>
      </w:pPr>
      <w:r w:rsidRPr="00A17A3C">
        <w:rPr>
          <w:rFonts w:ascii="Cambria" w:hAnsi="Cambria"/>
          <w:lang w:val="en-US"/>
        </w:rPr>
        <w:t>Entrants entering Vietnam by land, by sea or by rail must have test results as prescribed above. In case an entrant does not have negative test results for SARS-CoV-2 as specified at point (a) above-mentioned, he/she must do a test for SARS-CoV-2 within the first 24 hours (with RT-PCR/RT-LAMP or antigen rapid test) since entry. If the test result is negative, he/she is allowed to leave his/her accommodation and implement anti-COVID measures as prescribed. If the test result is positive, immediately notify local health authorities for guidance;</w:t>
      </w:r>
    </w:p>
    <w:p w:rsidR="00AA7DFA" w:rsidRPr="00A17A3C" w:rsidRDefault="00AA7DFA" w:rsidP="00AA7DFA">
      <w:pPr>
        <w:pStyle w:val="ListParagraph"/>
        <w:rPr>
          <w:rFonts w:ascii="Cambria" w:hAnsi="Cambria"/>
          <w:lang w:val="en-US"/>
        </w:rPr>
      </w:pPr>
    </w:p>
    <w:p w:rsidR="00AA7DFA" w:rsidRPr="00A17A3C" w:rsidRDefault="00AA7DFA" w:rsidP="00AA7DFA">
      <w:pPr>
        <w:pStyle w:val="ListParagraph"/>
        <w:widowControl/>
        <w:numPr>
          <w:ilvl w:val="0"/>
          <w:numId w:val="12"/>
        </w:numPr>
        <w:autoSpaceDE/>
        <w:autoSpaceDN/>
        <w:contextualSpacing/>
        <w:jc w:val="both"/>
        <w:rPr>
          <w:rFonts w:ascii="Cambria" w:hAnsi="Cambria"/>
          <w:lang w:val="en-US"/>
        </w:rPr>
      </w:pPr>
      <w:r w:rsidRPr="00A17A3C">
        <w:rPr>
          <w:rFonts w:ascii="Cambria" w:hAnsi="Cambria"/>
          <w:lang w:val="en-US"/>
        </w:rPr>
        <w:t>Children aged under 2 are not required to be tested for SARS-CoV-2 and those who have not been vaccinated against COVID-19 or who have never been infected with SARS-CoV-2 are allowed to enter Vietnam and participate in activities outside of their accommodation with their parents and relatives.</w:t>
      </w:r>
    </w:p>
    <w:p w:rsidR="00AA7DFA" w:rsidRPr="00A17A3C" w:rsidRDefault="00AA7DFA" w:rsidP="00AA7DFA">
      <w:pPr>
        <w:pStyle w:val="ListParagraph"/>
        <w:rPr>
          <w:rFonts w:ascii="Cambria" w:hAnsi="Cambria"/>
          <w:lang w:val="en-US"/>
        </w:rPr>
      </w:pPr>
    </w:p>
    <w:p w:rsidR="00AA7DFA" w:rsidRPr="00A17A3C" w:rsidRDefault="00AA7DFA" w:rsidP="00AA7DFA">
      <w:pPr>
        <w:pStyle w:val="ListParagraph"/>
        <w:widowControl/>
        <w:numPr>
          <w:ilvl w:val="0"/>
          <w:numId w:val="11"/>
        </w:numPr>
        <w:autoSpaceDE/>
        <w:autoSpaceDN/>
        <w:contextualSpacing/>
        <w:jc w:val="both"/>
        <w:rPr>
          <w:rFonts w:ascii="Cambria" w:hAnsi="Cambria"/>
          <w:lang w:val="en-US"/>
        </w:rPr>
      </w:pPr>
      <w:r w:rsidRPr="00A17A3C">
        <w:rPr>
          <w:rFonts w:ascii="Cambria" w:hAnsi="Cambria"/>
          <w:lang w:val="en-US"/>
        </w:rPr>
        <w:t>Health declaration and quarantine at the checkpoints:</w:t>
      </w:r>
    </w:p>
    <w:p w:rsidR="00AA7DFA" w:rsidRPr="00A17A3C" w:rsidRDefault="00AA7DFA" w:rsidP="00AA7DFA">
      <w:pPr>
        <w:pStyle w:val="ListParagraph"/>
        <w:ind w:left="1429"/>
        <w:jc w:val="both"/>
        <w:rPr>
          <w:rFonts w:ascii="Cambria" w:hAnsi="Cambria"/>
          <w:lang w:val="en-US"/>
        </w:rPr>
      </w:pPr>
    </w:p>
    <w:p w:rsidR="00AA7DFA" w:rsidRPr="00A17A3C" w:rsidRDefault="00AA7DFA" w:rsidP="00AA7DFA">
      <w:pPr>
        <w:pStyle w:val="ListParagraph"/>
        <w:widowControl/>
        <w:numPr>
          <w:ilvl w:val="0"/>
          <w:numId w:val="12"/>
        </w:numPr>
        <w:autoSpaceDE/>
        <w:autoSpaceDN/>
        <w:contextualSpacing/>
        <w:jc w:val="both"/>
        <w:rPr>
          <w:rFonts w:ascii="Cambria" w:hAnsi="Cambria"/>
          <w:lang w:val="en-US"/>
        </w:rPr>
      </w:pPr>
      <w:r w:rsidRPr="00A17A3C">
        <w:rPr>
          <w:rFonts w:ascii="Cambria" w:hAnsi="Cambria"/>
          <w:lang w:val="en-US"/>
        </w:rPr>
        <w:t>Entrants must carry out health declaration before entry and use PC-COVID application throughout their stay in Vietnam as prescribed;</w:t>
      </w:r>
    </w:p>
    <w:p w:rsidR="00AA7DFA" w:rsidRPr="00A17A3C" w:rsidRDefault="00AA7DFA" w:rsidP="00AA7DFA">
      <w:pPr>
        <w:pStyle w:val="ListParagraph"/>
        <w:ind w:left="1789"/>
        <w:jc w:val="both"/>
        <w:rPr>
          <w:rFonts w:ascii="Cambria" w:hAnsi="Cambria"/>
          <w:lang w:val="en-US"/>
        </w:rPr>
      </w:pPr>
    </w:p>
    <w:p w:rsidR="00AA7DFA" w:rsidRPr="00A17A3C" w:rsidRDefault="00AA7DFA" w:rsidP="00AA7DFA">
      <w:pPr>
        <w:pStyle w:val="ListParagraph"/>
        <w:widowControl/>
        <w:numPr>
          <w:ilvl w:val="0"/>
          <w:numId w:val="12"/>
        </w:numPr>
        <w:autoSpaceDE/>
        <w:autoSpaceDN/>
        <w:contextualSpacing/>
        <w:jc w:val="both"/>
        <w:rPr>
          <w:rFonts w:ascii="Cambria" w:hAnsi="Cambria"/>
          <w:lang w:val="en-US"/>
        </w:rPr>
      </w:pPr>
      <w:r w:rsidRPr="00A17A3C">
        <w:rPr>
          <w:rFonts w:ascii="Cambria" w:hAnsi="Cambria"/>
          <w:lang w:val="en-US"/>
        </w:rPr>
        <w:t>At the border checkpoints, anyone who have symptoms of SARS-CoV-2 infection (fever; cough; sore throat; runny nose, stuffy nose; body pain, fatigue, chills; decrease or loss of taste; decrease or loss of smell; headache; diarrhea; shortness of breath; respiratory tract inflammation, etc., must notify health authorities at the checkpoints for implementation of health measures as prescribed.</w:t>
      </w:r>
    </w:p>
    <w:p w:rsidR="00AA7DFA" w:rsidRPr="00A17A3C" w:rsidRDefault="00AA7DFA" w:rsidP="00AA7DFA">
      <w:pPr>
        <w:pStyle w:val="ListParagraph"/>
        <w:ind w:left="1789"/>
        <w:jc w:val="both"/>
        <w:rPr>
          <w:rFonts w:ascii="Cambria" w:hAnsi="Cambria"/>
          <w:lang w:val="en-US"/>
        </w:rPr>
      </w:pPr>
    </w:p>
    <w:p w:rsidR="00AA7DFA" w:rsidRPr="00A17A3C" w:rsidRDefault="00AA7DFA" w:rsidP="00AA7DFA">
      <w:pPr>
        <w:pStyle w:val="ListParagraph"/>
        <w:ind w:left="709" w:firstLine="0"/>
        <w:jc w:val="both"/>
        <w:rPr>
          <w:rFonts w:ascii="Cambria" w:hAnsi="Cambria"/>
          <w:b/>
          <w:lang w:val="en-US"/>
        </w:rPr>
      </w:pPr>
      <w:r w:rsidRPr="00A17A3C">
        <w:rPr>
          <w:rFonts w:ascii="Cambria" w:hAnsi="Cambria"/>
          <w:b/>
          <w:lang w:val="en-US"/>
        </w:rPr>
        <w:t xml:space="preserve">Official Letter No. 1265/BYT-DP took effect from 15 March 2022. </w:t>
      </w:r>
    </w:p>
    <w:p w:rsidR="00AA7DFA" w:rsidRPr="00A17A3C" w:rsidRDefault="00AA7DFA" w:rsidP="00AA7DFA">
      <w:pPr>
        <w:pStyle w:val="ListParagraph"/>
        <w:widowControl/>
        <w:autoSpaceDE/>
        <w:autoSpaceDN/>
        <w:ind w:left="709" w:firstLine="0"/>
        <w:contextualSpacing/>
        <w:jc w:val="both"/>
        <w:rPr>
          <w:rFonts w:ascii="Cambria" w:hAnsi="Cambria"/>
          <w:lang w:val="en-US"/>
        </w:rPr>
      </w:pPr>
    </w:p>
    <w:p w:rsidR="00AA7DFA" w:rsidRPr="00A17A3C" w:rsidRDefault="00AA7DFA" w:rsidP="00AA7DFA">
      <w:pPr>
        <w:pStyle w:val="ListParagraph"/>
        <w:widowControl/>
        <w:numPr>
          <w:ilvl w:val="1"/>
          <w:numId w:val="4"/>
        </w:numPr>
        <w:autoSpaceDE/>
        <w:autoSpaceDN/>
        <w:ind w:left="709" w:hanging="709"/>
        <w:contextualSpacing/>
        <w:jc w:val="both"/>
        <w:rPr>
          <w:rFonts w:ascii="Cambria" w:hAnsi="Cambria"/>
          <w:lang w:val="en-US"/>
        </w:rPr>
      </w:pPr>
      <w:r w:rsidRPr="00A17A3C">
        <w:rPr>
          <w:rFonts w:ascii="Cambria" w:hAnsi="Cambria"/>
          <w:b/>
          <w:lang w:val="en-US"/>
        </w:rPr>
        <w:t>Visa waiver for citizens of 13 countries</w:t>
      </w:r>
    </w:p>
    <w:p w:rsidR="00AA7DFA" w:rsidRPr="00A17A3C" w:rsidRDefault="00AA7DFA" w:rsidP="00AA7DFA">
      <w:pPr>
        <w:pStyle w:val="ListParagraph"/>
        <w:widowControl/>
        <w:autoSpaceDE/>
        <w:autoSpaceDN/>
        <w:ind w:left="709" w:firstLine="0"/>
        <w:contextualSpacing/>
        <w:jc w:val="both"/>
        <w:rPr>
          <w:rFonts w:ascii="Cambria" w:hAnsi="Cambria"/>
          <w:b/>
          <w:lang w:val="en-US"/>
        </w:rPr>
      </w:pPr>
    </w:p>
    <w:p w:rsidR="00AA7DFA" w:rsidRPr="00A17A3C" w:rsidRDefault="00AA7DFA" w:rsidP="00AA7DFA">
      <w:pPr>
        <w:pStyle w:val="ListParagraph"/>
        <w:ind w:left="709" w:firstLine="0"/>
        <w:jc w:val="both"/>
        <w:rPr>
          <w:rFonts w:ascii="Cambria" w:hAnsi="Cambria"/>
          <w:lang w:val="en-US"/>
        </w:rPr>
      </w:pPr>
      <w:r w:rsidRPr="00A17A3C">
        <w:rPr>
          <w:rFonts w:ascii="Cambria" w:hAnsi="Cambria"/>
          <w:lang w:val="en-US"/>
        </w:rPr>
        <w:t>The Government recently issued Resolution No. 32/NQ-CP dated 15 March 2022 on visa waiver for nationals of The Federal Republic of Germany, The French Republic, Italian Republic, Kingdom of Spain, The United Kingdom of Great Britain and Northern Ireland, Russian Federation, Japan Republic of Korea, Kingdom of Denmark, Kingdom of Sweden, Kingdom of Norway, Republic of Finland, and The Republic of Belarus.</w:t>
      </w:r>
    </w:p>
    <w:p w:rsidR="00AA7DFA" w:rsidRPr="00A17A3C" w:rsidRDefault="00AA7DFA" w:rsidP="00AA7DFA">
      <w:pPr>
        <w:pStyle w:val="ListParagraph"/>
        <w:ind w:left="709" w:firstLine="0"/>
        <w:jc w:val="both"/>
        <w:rPr>
          <w:rFonts w:ascii="Cambria" w:hAnsi="Cambria"/>
          <w:lang w:val="en-US"/>
        </w:rPr>
      </w:pPr>
    </w:p>
    <w:p w:rsidR="00AA7DFA" w:rsidRPr="00A17A3C" w:rsidRDefault="00AA7DFA" w:rsidP="00AA7DFA">
      <w:pPr>
        <w:pStyle w:val="ListParagraph"/>
        <w:ind w:left="709" w:firstLine="0"/>
        <w:jc w:val="both"/>
        <w:rPr>
          <w:rFonts w:ascii="Cambria" w:hAnsi="Cambria"/>
          <w:lang w:val="en-US"/>
        </w:rPr>
      </w:pPr>
      <w:r w:rsidRPr="00A17A3C">
        <w:rPr>
          <w:rFonts w:ascii="Cambria" w:hAnsi="Cambria"/>
          <w:lang w:val="en-US"/>
        </w:rPr>
        <w:t>Accordingly, the visa waiver will be applicable to nationals of  the Federal Republic of Germany, The French Republic, Italian Republic, Kingdom of Spain, The United Kingdom of Great Britain and Northern Ireland, Russian Federation, Japan, Republic of Korea, Kingdom of Denmark, Kingdom of Sweden, Kingdom of Norway, Republic of Finland, and the Republic of Belarus, who stay in Vietnam for 15 days from the date of entry, no matter what visa types they currently hold or their purposes of entry, with adequate eligibility criteria in accordance with Vietnamese laws.</w:t>
      </w:r>
    </w:p>
    <w:p w:rsidR="00AA7DFA" w:rsidRPr="00A17A3C" w:rsidRDefault="00AA7DFA" w:rsidP="00AA7DFA">
      <w:pPr>
        <w:pStyle w:val="ListParagraph"/>
        <w:ind w:left="709" w:firstLine="0"/>
        <w:jc w:val="both"/>
        <w:rPr>
          <w:rFonts w:ascii="Cambria" w:hAnsi="Cambria"/>
          <w:lang w:val="en-US"/>
        </w:rPr>
      </w:pPr>
    </w:p>
    <w:p w:rsidR="00AA7DFA" w:rsidRPr="00A17A3C" w:rsidRDefault="00AA7DFA" w:rsidP="00AA7DFA">
      <w:pPr>
        <w:pStyle w:val="ListParagraph"/>
        <w:ind w:left="709" w:firstLine="0"/>
        <w:jc w:val="both"/>
        <w:rPr>
          <w:rFonts w:ascii="Cambria" w:hAnsi="Cambria"/>
          <w:lang w:val="en-US"/>
        </w:rPr>
      </w:pPr>
      <w:r w:rsidRPr="00A17A3C">
        <w:rPr>
          <w:rFonts w:ascii="Cambria" w:hAnsi="Cambria"/>
          <w:lang w:val="en-US"/>
        </w:rPr>
        <w:t>In addition, the visa waiver for the nationals as specified above will last for three years from March 15, 2022 to March 14, 2025 inclusive and an extension could be tabled in line with Vietnamese laws.</w:t>
      </w:r>
    </w:p>
    <w:p w:rsidR="00AA7DFA" w:rsidRPr="00A17A3C" w:rsidRDefault="00AA7DFA" w:rsidP="00AA7DFA">
      <w:pPr>
        <w:pStyle w:val="ListParagraph"/>
        <w:ind w:left="709" w:firstLine="0"/>
        <w:jc w:val="both"/>
        <w:rPr>
          <w:rFonts w:ascii="Cambria" w:hAnsi="Cambria"/>
          <w:lang w:val="en-US"/>
        </w:rPr>
      </w:pPr>
    </w:p>
    <w:p w:rsidR="00AA7DFA" w:rsidRPr="00A17A3C" w:rsidRDefault="00AA7DFA" w:rsidP="00AA7DFA">
      <w:pPr>
        <w:pStyle w:val="ListParagraph"/>
        <w:ind w:left="709" w:firstLine="0"/>
        <w:jc w:val="both"/>
        <w:rPr>
          <w:rFonts w:ascii="Cambria" w:hAnsi="Cambria"/>
          <w:lang w:val="en-US"/>
        </w:rPr>
      </w:pPr>
      <w:r w:rsidRPr="00A17A3C">
        <w:rPr>
          <w:rFonts w:ascii="Cambria" w:hAnsi="Cambria"/>
          <w:b/>
          <w:lang w:val="en-US"/>
        </w:rPr>
        <w:t>This Resolution took effect from 15 March 2022</w:t>
      </w:r>
      <w:r w:rsidRPr="00A17A3C">
        <w:rPr>
          <w:rFonts w:ascii="Cambria" w:hAnsi="Cambria"/>
          <w:lang w:val="en-US"/>
        </w:rPr>
        <w:t xml:space="preserve"> and supersedes Resolutions No. 21/NQ-CP dated February 28, 2020, No. 23/NQ-CP dated March 2, 2020 and No. 29/NQ-CP dated March 11, 2020 and No. 33/NQ-CP dated March 19, 2020 of the Government on suspension of unilateral visa exemption policy with the countries.</w:t>
      </w:r>
    </w:p>
    <w:p w:rsidR="00AA7DFA" w:rsidRPr="00A17A3C" w:rsidRDefault="00AA7DFA" w:rsidP="00AA7DFA">
      <w:pPr>
        <w:pStyle w:val="ListParagraph"/>
        <w:widowControl/>
        <w:autoSpaceDE/>
        <w:autoSpaceDN/>
        <w:ind w:left="709" w:firstLine="0"/>
        <w:contextualSpacing/>
        <w:jc w:val="both"/>
        <w:rPr>
          <w:rFonts w:ascii="Cambria" w:hAnsi="Cambria"/>
          <w:lang w:val="en-US"/>
        </w:rPr>
      </w:pPr>
    </w:p>
    <w:p w:rsidR="00AA7DFA" w:rsidRPr="00A17A3C" w:rsidRDefault="00AA7DFA" w:rsidP="00AA7DFA">
      <w:pPr>
        <w:pStyle w:val="ListParagraph"/>
        <w:widowControl/>
        <w:numPr>
          <w:ilvl w:val="1"/>
          <w:numId w:val="4"/>
        </w:numPr>
        <w:autoSpaceDE/>
        <w:autoSpaceDN/>
        <w:ind w:left="709" w:hanging="709"/>
        <w:contextualSpacing/>
        <w:jc w:val="both"/>
        <w:rPr>
          <w:rFonts w:ascii="Cambria" w:hAnsi="Cambria"/>
          <w:lang w:val="en-US"/>
        </w:rPr>
      </w:pPr>
      <w:r w:rsidRPr="00A17A3C">
        <w:rPr>
          <w:rFonts w:ascii="Cambria" w:hAnsi="Cambria"/>
          <w:b/>
          <w:lang w:val="en-US"/>
        </w:rPr>
        <w:t>A contractor shall purchase compulsory insurance for civil liability for third parties</w:t>
      </w:r>
    </w:p>
    <w:p w:rsidR="00AA7DFA" w:rsidRPr="00A17A3C" w:rsidRDefault="00AA7DFA" w:rsidP="00AA7DFA">
      <w:pPr>
        <w:pStyle w:val="ListParagraph"/>
        <w:widowControl/>
        <w:autoSpaceDE/>
        <w:autoSpaceDN/>
        <w:ind w:left="709" w:firstLine="0"/>
        <w:contextualSpacing/>
        <w:jc w:val="both"/>
        <w:rPr>
          <w:rFonts w:ascii="Cambria" w:hAnsi="Cambria"/>
          <w:b/>
          <w:lang w:val="en-US"/>
        </w:rPr>
      </w:pPr>
    </w:p>
    <w:p w:rsidR="00AA7DFA" w:rsidRPr="00A17A3C" w:rsidRDefault="00AA7DFA" w:rsidP="00AA7DFA">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r w:rsidRPr="00A17A3C">
        <w:rPr>
          <w:rFonts w:ascii="Cambria" w:hAnsi="Cambria"/>
          <w:noProof w:val="0"/>
          <w:color w:val="000000"/>
          <w:sz w:val="22"/>
          <w:szCs w:val="22"/>
          <w:lang w:val="en-US"/>
        </w:rPr>
        <w:t>On 10 March 2022, the Government issued Decree No. 20/2022/ND-CP amending and supplementing several provisions of Decree No. 119/2015/ND-CP dated 13 November 2015 providing for compulsory insurance for construction investment activities.</w:t>
      </w:r>
    </w:p>
    <w:p w:rsidR="00AA7DFA" w:rsidRPr="00A17A3C" w:rsidRDefault="00AA7DFA" w:rsidP="00AA7DFA">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p>
    <w:p w:rsidR="00AA7DFA" w:rsidRPr="00A17A3C" w:rsidRDefault="00AA7DFA" w:rsidP="00AA7DFA">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r w:rsidRPr="00A17A3C">
        <w:rPr>
          <w:rFonts w:ascii="Cambria" w:hAnsi="Cambria"/>
          <w:noProof w:val="0"/>
          <w:color w:val="000000"/>
          <w:sz w:val="22"/>
          <w:szCs w:val="22"/>
          <w:lang w:val="en-US"/>
        </w:rPr>
        <w:t xml:space="preserve">Accordingly, this Decree amending and supplementing a number of notable contents as follows: </w:t>
      </w:r>
    </w:p>
    <w:p w:rsidR="00AA7DFA" w:rsidRPr="00A17A3C" w:rsidRDefault="00AA7DFA" w:rsidP="00AA7DFA">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p>
    <w:p w:rsidR="00AA7DFA" w:rsidRPr="00A17A3C" w:rsidRDefault="00AA7DFA" w:rsidP="00AA7DFA">
      <w:pPr>
        <w:pStyle w:val="NormalWeb"/>
        <w:numPr>
          <w:ilvl w:val="0"/>
          <w:numId w:val="13"/>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A17A3C">
        <w:rPr>
          <w:rFonts w:ascii="Cambria" w:hAnsi="Cambria"/>
          <w:noProof w:val="0"/>
          <w:color w:val="000000"/>
          <w:sz w:val="22"/>
          <w:szCs w:val="22"/>
          <w:lang w:val="en-US"/>
        </w:rPr>
        <w:t>Amending regulation of compulsory insurance purchasing for civil liability for third parties to Article 4.3 of Decree No. 119/2015/ND-CP, specifically, the contractor must purchase compulsory insurance for workers on the construction site and compulsory insurance for civil liability for third parties.</w:t>
      </w:r>
    </w:p>
    <w:p w:rsidR="00AA7DFA" w:rsidRPr="00A17A3C" w:rsidRDefault="00AA7DFA" w:rsidP="00AA7DFA">
      <w:pPr>
        <w:pStyle w:val="NormalWeb"/>
        <w:shd w:val="clear" w:color="auto" w:fill="FFFFFF"/>
        <w:spacing w:before="0" w:beforeAutospacing="0" w:after="0" w:afterAutospacing="0" w:line="252" w:lineRule="auto"/>
        <w:ind w:left="1429"/>
        <w:contextualSpacing/>
        <w:jc w:val="both"/>
        <w:rPr>
          <w:rFonts w:ascii="Cambria" w:hAnsi="Cambria"/>
          <w:noProof w:val="0"/>
          <w:color w:val="000000"/>
          <w:sz w:val="22"/>
          <w:szCs w:val="22"/>
          <w:lang w:val="en-US"/>
        </w:rPr>
      </w:pPr>
    </w:p>
    <w:p w:rsidR="00AA7DFA" w:rsidRPr="00A17A3C" w:rsidRDefault="00AA7DFA" w:rsidP="00AA7DFA">
      <w:pPr>
        <w:pStyle w:val="NormalWeb"/>
        <w:numPr>
          <w:ilvl w:val="0"/>
          <w:numId w:val="13"/>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A17A3C">
        <w:rPr>
          <w:rFonts w:ascii="Cambria" w:hAnsi="Cambria"/>
          <w:noProof w:val="0"/>
          <w:color w:val="000000"/>
          <w:sz w:val="22"/>
          <w:szCs w:val="22"/>
          <w:lang w:val="en-US"/>
        </w:rPr>
        <w:t xml:space="preserve">Amending several contents of compulsory insurance for civil liability for third parties, specifically: </w:t>
      </w:r>
    </w:p>
    <w:p w:rsidR="00AA7DFA" w:rsidRPr="00A17A3C" w:rsidRDefault="00AA7DFA" w:rsidP="00AA7DFA">
      <w:pPr>
        <w:pStyle w:val="ListParagraph"/>
        <w:rPr>
          <w:rFonts w:ascii="Cambria" w:hAnsi="Cambria"/>
          <w:color w:val="000000"/>
          <w:lang w:val="en-US"/>
        </w:rPr>
      </w:pPr>
    </w:p>
    <w:p w:rsidR="00AA7DFA" w:rsidRPr="00A17A3C" w:rsidRDefault="00AA7DFA" w:rsidP="00AA7DFA">
      <w:pPr>
        <w:pStyle w:val="NormalWeb"/>
        <w:numPr>
          <w:ilvl w:val="0"/>
          <w:numId w:val="12"/>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A17A3C">
        <w:rPr>
          <w:rFonts w:ascii="Cambria" w:hAnsi="Cambria"/>
          <w:noProof w:val="0"/>
          <w:color w:val="000000"/>
          <w:sz w:val="22"/>
          <w:szCs w:val="22"/>
          <w:lang w:val="en-US"/>
        </w:rPr>
        <w:t>With respect to compulsory insurance for civil liability for third parties: Insurance premiums shall be included in production and business costs;</w:t>
      </w:r>
    </w:p>
    <w:p w:rsidR="00AA7DFA" w:rsidRPr="00A17A3C" w:rsidRDefault="00AA7DFA" w:rsidP="00AA7DFA">
      <w:pPr>
        <w:pStyle w:val="NormalWeb"/>
        <w:shd w:val="clear" w:color="auto" w:fill="FFFFFF"/>
        <w:spacing w:before="0" w:beforeAutospacing="0" w:after="0" w:afterAutospacing="0" w:line="252" w:lineRule="auto"/>
        <w:ind w:left="1789"/>
        <w:contextualSpacing/>
        <w:jc w:val="both"/>
        <w:rPr>
          <w:rFonts w:ascii="Cambria" w:hAnsi="Cambria"/>
          <w:noProof w:val="0"/>
          <w:color w:val="000000"/>
          <w:sz w:val="22"/>
          <w:szCs w:val="22"/>
          <w:lang w:val="en-US"/>
        </w:rPr>
      </w:pPr>
    </w:p>
    <w:p w:rsidR="00AA7DFA" w:rsidRPr="00A17A3C" w:rsidRDefault="00AA7DFA" w:rsidP="00AA7DFA">
      <w:pPr>
        <w:pStyle w:val="NormalWeb"/>
        <w:numPr>
          <w:ilvl w:val="0"/>
          <w:numId w:val="12"/>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A17A3C">
        <w:rPr>
          <w:rFonts w:ascii="Cambria" w:hAnsi="Cambria"/>
          <w:noProof w:val="0"/>
          <w:color w:val="000000"/>
          <w:sz w:val="22"/>
          <w:szCs w:val="22"/>
          <w:lang w:val="en-US"/>
        </w:rPr>
        <w:lastRenderedPageBreak/>
        <w:t>The validity period of construction insurance during the construction progress means the specific time period from the opening date to the closing date of construction activities with reference to the construction contract and agreed upon in an insurance contract;</w:t>
      </w:r>
    </w:p>
    <w:p w:rsidR="00AA7DFA" w:rsidRPr="00A17A3C" w:rsidRDefault="00AA7DFA" w:rsidP="00AA7DFA">
      <w:pPr>
        <w:pStyle w:val="ListParagraph"/>
        <w:rPr>
          <w:rFonts w:ascii="Cambria" w:hAnsi="Cambria"/>
          <w:color w:val="000000"/>
          <w:lang w:val="en-US"/>
        </w:rPr>
      </w:pPr>
    </w:p>
    <w:p w:rsidR="00AA7DFA" w:rsidRPr="00A17A3C" w:rsidRDefault="00AA7DFA" w:rsidP="00AA7DFA">
      <w:pPr>
        <w:pStyle w:val="NormalWeb"/>
        <w:numPr>
          <w:ilvl w:val="0"/>
          <w:numId w:val="12"/>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A17A3C">
        <w:rPr>
          <w:rFonts w:ascii="Cambria" w:hAnsi="Cambria"/>
          <w:noProof w:val="0"/>
          <w:color w:val="000000"/>
          <w:sz w:val="22"/>
          <w:szCs w:val="22"/>
          <w:lang w:val="en-US"/>
        </w:rPr>
        <w:t>With respect to compulsory insurance for civil liability for third parties: An insurance enterprise shall be liable to pay a construction contractor sums as an insurance cover which such contractor has its duty to provide damages for these third parties for non-contractual damages to health, life, property directly incurred during the construction process and relevant legal costs (if any) within the scope of insurance liability under the agreement in the insurance contract.</w:t>
      </w:r>
    </w:p>
    <w:p w:rsidR="00AA7DFA" w:rsidRPr="00A17A3C" w:rsidRDefault="00AA7DFA" w:rsidP="00AA7DFA">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p>
    <w:p w:rsidR="00AA7DFA" w:rsidRPr="00A17A3C" w:rsidRDefault="00AA7DFA" w:rsidP="00AA7DFA">
      <w:pPr>
        <w:pStyle w:val="NormalWeb"/>
        <w:shd w:val="clear" w:color="auto" w:fill="FFFFFF"/>
        <w:spacing w:before="0" w:beforeAutospacing="0" w:after="0" w:afterAutospacing="0" w:line="252" w:lineRule="auto"/>
        <w:ind w:left="709"/>
        <w:contextualSpacing/>
        <w:jc w:val="both"/>
        <w:rPr>
          <w:rFonts w:ascii="Cambria" w:hAnsi="Cambria"/>
          <w:b/>
          <w:noProof w:val="0"/>
          <w:color w:val="000000"/>
          <w:sz w:val="22"/>
          <w:szCs w:val="22"/>
          <w:lang w:val="en-US"/>
        </w:rPr>
      </w:pPr>
      <w:r w:rsidRPr="00A17A3C">
        <w:rPr>
          <w:rFonts w:ascii="Cambria" w:hAnsi="Cambria"/>
          <w:b/>
          <w:noProof w:val="0"/>
          <w:color w:val="000000"/>
          <w:sz w:val="22"/>
          <w:szCs w:val="22"/>
          <w:lang w:val="en-US"/>
        </w:rPr>
        <w:t xml:space="preserve">Decree No. 20/2022/ND-CP will take effect from 01 July 2022. </w:t>
      </w:r>
    </w:p>
    <w:p w:rsidR="00AA7DFA" w:rsidRPr="00A17A3C" w:rsidRDefault="00AA7DFA" w:rsidP="00AA7DFA">
      <w:pPr>
        <w:pStyle w:val="Heading1"/>
        <w:tabs>
          <w:tab w:val="left" w:pos="836"/>
          <w:tab w:val="left" w:pos="837"/>
        </w:tabs>
        <w:spacing w:line="252" w:lineRule="auto"/>
        <w:ind w:left="709" w:firstLine="0"/>
        <w:rPr>
          <w:rFonts w:ascii="Cambria" w:hAnsi="Cambria"/>
          <w:lang w:val="en-US"/>
        </w:rPr>
      </w:pPr>
    </w:p>
    <w:p w:rsidR="00AA7DFA" w:rsidRPr="00A17A3C" w:rsidRDefault="00AA7DFA" w:rsidP="00AA7DFA">
      <w:pPr>
        <w:pStyle w:val="Heading1"/>
        <w:numPr>
          <w:ilvl w:val="0"/>
          <w:numId w:val="1"/>
        </w:numPr>
        <w:ind w:left="709"/>
        <w:rPr>
          <w:rFonts w:ascii="Cambria" w:hAnsi="Cambria"/>
          <w:lang w:val="en-US"/>
        </w:rPr>
      </w:pPr>
      <w:r w:rsidRPr="00A17A3C">
        <w:rPr>
          <w:rFonts w:ascii="Cambria" w:hAnsi="Cambria"/>
          <w:lang w:val="en-US"/>
        </w:rPr>
        <w:t xml:space="preserve">Featured Articles of ADK Lawyer in </w:t>
      </w:r>
      <w:bookmarkStart w:id="2" w:name="Luật_sư_Lê_Tiến_Đạt_–_Luật_sư_điều_hành_"/>
      <w:bookmarkEnd w:id="2"/>
      <w:r w:rsidRPr="00A17A3C">
        <w:rPr>
          <w:rFonts w:ascii="Cambria" w:hAnsi="Cambria"/>
          <w:lang w:val="en-US"/>
        </w:rPr>
        <w:t>March</w:t>
      </w:r>
    </w:p>
    <w:p w:rsidR="00AA7DFA" w:rsidRPr="00A17A3C" w:rsidRDefault="00AA7DFA" w:rsidP="00AA7DFA">
      <w:pPr>
        <w:pStyle w:val="Heading1"/>
        <w:ind w:left="709" w:firstLine="0"/>
        <w:rPr>
          <w:rFonts w:ascii="Cambria" w:hAnsi="Cambria"/>
          <w:lang w:val="en-US"/>
        </w:rPr>
      </w:pPr>
    </w:p>
    <w:p w:rsidR="00AA7DFA" w:rsidRPr="00A17A3C" w:rsidRDefault="00AA7DFA" w:rsidP="00E1242E">
      <w:pPr>
        <w:pStyle w:val="Heading1"/>
        <w:numPr>
          <w:ilvl w:val="1"/>
          <w:numId w:val="1"/>
        </w:numPr>
        <w:ind w:left="1418"/>
        <w:jc w:val="both"/>
        <w:rPr>
          <w:rFonts w:ascii="Cambria" w:hAnsi="Cambria"/>
          <w:b w:val="0"/>
          <w:lang w:val="en-US"/>
        </w:rPr>
      </w:pPr>
      <w:r w:rsidRPr="00A17A3C">
        <w:rPr>
          <w:rFonts w:ascii="Cambria" w:hAnsi="Cambria"/>
          <w:b w:val="0"/>
          <w:lang w:val="en-US"/>
        </w:rPr>
        <w:t>The article “</w:t>
      </w:r>
      <w:r w:rsidRPr="00A17A3C">
        <w:rPr>
          <w:rFonts w:ascii="Cambria" w:hAnsi="Cambria"/>
          <w:b w:val="0"/>
          <w:i/>
          <w:lang w:val="en-US"/>
        </w:rPr>
        <w:t>A number of new notable contents of Decree No. 02/2022/ND-CP on elaboration of certain articles of the law on real estate trading</w:t>
      </w:r>
      <w:r w:rsidRPr="00A17A3C">
        <w:rPr>
          <w:rFonts w:ascii="Cambria" w:hAnsi="Cambria"/>
          <w:b w:val="0"/>
          <w:lang w:val="en-US"/>
        </w:rPr>
        <w:t xml:space="preserve">”. The article </w:t>
      </w:r>
      <w:r w:rsidR="00E1242E" w:rsidRPr="00A17A3C">
        <w:rPr>
          <w:rFonts w:ascii="Cambria" w:hAnsi="Cambria"/>
          <w:b w:val="0"/>
          <w:lang w:val="en-US"/>
        </w:rPr>
        <w:t>analyzes the new points of regulations related to the Law on Real Estate Business compared to Decree 76/2015/ND-CP.</w:t>
      </w:r>
    </w:p>
    <w:p w:rsidR="00C64CF6" w:rsidRPr="00A17A3C" w:rsidRDefault="00C64CF6" w:rsidP="00C64CF6">
      <w:pPr>
        <w:pStyle w:val="Heading1"/>
        <w:ind w:left="709" w:firstLine="0"/>
        <w:jc w:val="both"/>
        <w:rPr>
          <w:rFonts w:ascii="Cambria" w:hAnsi="Cambria"/>
          <w:b w:val="0"/>
          <w:lang w:val="en-US"/>
        </w:rPr>
      </w:pPr>
    </w:p>
    <w:p w:rsidR="00AA7DFA" w:rsidRPr="00A17A3C" w:rsidRDefault="00AA7DFA" w:rsidP="00E1242E">
      <w:pPr>
        <w:pStyle w:val="Heading1"/>
        <w:numPr>
          <w:ilvl w:val="1"/>
          <w:numId w:val="1"/>
        </w:numPr>
        <w:ind w:left="1418"/>
        <w:jc w:val="both"/>
        <w:rPr>
          <w:rFonts w:ascii="Cambria" w:hAnsi="Cambria"/>
          <w:b w:val="0"/>
          <w:lang w:val="en-US"/>
        </w:rPr>
      </w:pPr>
      <w:r w:rsidRPr="00A17A3C">
        <w:rPr>
          <w:rFonts w:ascii="Cambria" w:hAnsi="Cambria"/>
          <w:b w:val="0"/>
          <w:lang w:val="en-US"/>
        </w:rPr>
        <w:t>The article “</w:t>
      </w:r>
      <w:r w:rsidR="00C64CF6" w:rsidRPr="00A17A3C">
        <w:rPr>
          <w:rFonts w:ascii="Cambria" w:hAnsi="Cambria"/>
          <w:b w:val="0"/>
          <w:i/>
          <w:lang w:val="en-US"/>
        </w:rPr>
        <w:t>Procedures for operation registration of rooftop solar power system</w:t>
      </w:r>
      <w:r w:rsidR="00C64CF6" w:rsidRPr="00A17A3C">
        <w:rPr>
          <w:rFonts w:ascii="Cambria" w:hAnsi="Cambria"/>
          <w:b w:val="0"/>
          <w:lang w:val="en-US"/>
        </w:rPr>
        <w:t>”. The article</w:t>
      </w:r>
      <w:r w:rsidR="00E1242E" w:rsidRPr="00A17A3C">
        <w:rPr>
          <w:lang w:val="en-US"/>
        </w:rPr>
        <w:t xml:space="preserve"> </w:t>
      </w:r>
      <w:r w:rsidR="001C2F01" w:rsidRPr="00A17A3C">
        <w:rPr>
          <w:b w:val="0"/>
          <w:lang w:val="en-US"/>
        </w:rPr>
        <w:t xml:space="preserve">provides </w:t>
      </w:r>
      <w:r w:rsidR="00E1242E" w:rsidRPr="00A17A3C">
        <w:rPr>
          <w:rFonts w:ascii="Cambria" w:hAnsi="Cambria"/>
          <w:b w:val="0"/>
          <w:lang w:val="en-US"/>
        </w:rPr>
        <w:t>legal basis, procedures for registration of operation of rooftop solar power systems.</w:t>
      </w:r>
    </w:p>
    <w:p w:rsidR="001C2F01" w:rsidRPr="00A17A3C" w:rsidRDefault="001C2F01" w:rsidP="001C2F01">
      <w:pPr>
        <w:pStyle w:val="ListParagraph"/>
        <w:rPr>
          <w:rFonts w:ascii="Cambria" w:hAnsi="Cambria"/>
          <w:b/>
          <w:lang w:val="en-US"/>
        </w:rPr>
      </w:pPr>
    </w:p>
    <w:p w:rsidR="001C2F01" w:rsidRPr="00A17A3C" w:rsidRDefault="001C2F01" w:rsidP="001C2F01">
      <w:pPr>
        <w:pStyle w:val="Heading1"/>
        <w:numPr>
          <w:ilvl w:val="1"/>
          <w:numId w:val="1"/>
        </w:numPr>
        <w:ind w:left="1418"/>
        <w:jc w:val="both"/>
        <w:rPr>
          <w:rFonts w:ascii="Cambria" w:hAnsi="Cambria"/>
          <w:b w:val="0"/>
          <w:lang w:val="en-US"/>
        </w:rPr>
      </w:pPr>
      <w:r w:rsidRPr="00A17A3C">
        <w:rPr>
          <w:rFonts w:ascii="Cambria" w:hAnsi="Cambria"/>
          <w:b w:val="0"/>
          <w:lang w:val="en-US"/>
        </w:rPr>
        <w:t>The article “</w:t>
      </w:r>
      <w:r w:rsidRPr="00A17A3C">
        <w:rPr>
          <w:rFonts w:ascii="Cambria" w:hAnsi="Cambria"/>
          <w:b w:val="0"/>
          <w:i/>
          <w:lang w:val="en-US"/>
        </w:rPr>
        <w:t>Compliance checklist for a newly established representative office</w:t>
      </w:r>
      <w:r w:rsidRPr="00A17A3C">
        <w:rPr>
          <w:rFonts w:ascii="Cambria" w:hAnsi="Cambria"/>
          <w:b w:val="0"/>
          <w:lang w:val="en-US"/>
        </w:rPr>
        <w:t>”. The article analyzes</w:t>
      </w:r>
      <w:r w:rsidRPr="00A17A3C">
        <w:rPr>
          <w:lang w:val="en-US"/>
        </w:rPr>
        <w:t xml:space="preserve"> </w:t>
      </w:r>
      <w:r w:rsidRPr="00A17A3C">
        <w:rPr>
          <w:rFonts w:ascii="Cambria" w:hAnsi="Cambria"/>
          <w:b w:val="0"/>
          <w:lang w:val="en-US"/>
        </w:rPr>
        <w:t>regulations relating to the establishment and operation of representative offices, taxes and fees for employees, and necessary permits during the operation of representative offices.</w:t>
      </w:r>
    </w:p>
    <w:p w:rsidR="00AA7DFA" w:rsidRPr="00A17A3C" w:rsidRDefault="00AA7DFA" w:rsidP="00AA7DFA">
      <w:pPr>
        <w:pStyle w:val="Heading1"/>
        <w:ind w:left="1418" w:firstLine="0"/>
        <w:rPr>
          <w:rFonts w:ascii="Cambria" w:hAnsi="Cambria"/>
          <w:b w:val="0"/>
          <w:lang w:val="en-US"/>
        </w:rPr>
      </w:pPr>
    </w:p>
    <w:p w:rsidR="00AA7DFA" w:rsidRPr="00A17A3C" w:rsidRDefault="00AA7DFA" w:rsidP="00AA7DFA">
      <w:pPr>
        <w:pStyle w:val="BodyText"/>
        <w:spacing w:line="252" w:lineRule="auto"/>
        <w:ind w:left="709" w:right="423"/>
        <w:jc w:val="both"/>
        <w:rPr>
          <w:rFonts w:ascii="Cambria" w:hAnsi="Cambria"/>
          <w:lang w:val="en-US"/>
        </w:rPr>
      </w:pPr>
      <w:bookmarkStart w:id="3" w:name="-_Một_vài_lưu_ý_pháp_lý_trong_quá_trình_"/>
      <w:bookmarkEnd w:id="3"/>
      <w:r w:rsidRPr="00A17A3C">
        <w:rPr>
          <w:rFonts w:ascii="Cambria" w:hAnsi="Cambria"/>
          <w:lang w:val="en-US"/>
        </w:rPr>
        <w:t>To read the</w:t>
      </w:r>
      <w:r w:rsidRPr="00A17A3C">
        <w:rPr>
          <w:rFonts w:ascii="Cambria" w:hAnsi="Cambria"/>
          <w:spacing w:val="-3"/>
          <w:lang w:val="en-US"/>
        </w:rPr>
        <w:t xml:space="preserve"> above articles</w:t>
      </w:r>
      <w:r w:rsidRPr="00A17A3C">
        <w:rPr>
          <w:rFonts w:ascii="Cambria" w:hAnsi="Cambria"/>
          <w:lang w:val="en-US"/>
        </w:rPr>
        <w:t xml:space="preserve"> in more detail, please visit </w:t>
      </w:r>
      <w:r w:rsidRPr="00A17A3C">
        <w:rPr>
          <w:rFonts w:ascii="Cambria" w:hAnsi="Cambria"/>
          <w:spacing w:val="-3"/>
          <w:lang w:val="en-US"/>
        </w:rPr>
        <w:t>our</w:t>
      </w:r>
      <w:r w:rsidRPr="00A17A3C">
        <w:rPr>
          <w:rFonts w:ascii="Cambria" w:hAnsi="Cambria"/>
          <w:lang w:val="en-US"/>
        </w:rPr>
        <w:t xml:space="preserve"> website at: </w:t>
      </w:r>
      <w:hyperlink r:id="rId8" w:history="1">
        <w:r w:rsidRPr="00A17A3C">
          <w:rPr>
            <w:rStyle w:val="Hyperlink"/>
            <w:rFonts w:ascii="Cambria" w:hAnsi="Cambria"/>
            <w:lang w:val="en-US"/>
          </w:rPr>
          <w:t>https://adk-lawyers.com/en/legal-articles</w:t>
        </w:r>
      </w:hyperlink>
    </w:p>
    <w:p w:rsidR="00AA7DFA" w:rsidRPr="00A17A3C" w:rsidRDefault="00AA7DFA" w:rsidP="00AA7DFA">
      <w:pPr>
        <w:pStyle w:val="BodyText"/>
        <w:spacing w:line="252" w:lineRule="auto"/>
        <w:ind w:left="709" w:right="423"/>
        <w:jc w:val="both"/>
        <w:rPr>
          <w:rFonts w:ascii="Cambria" w:hAnsi="Cambria"/>
          <w:lang w:val="en-US"/>
        </w:rPr>
      </w:pPr>
    </w:p>
    <w:p w:rsidR="00AA7DFA" w:rsidRPr="00A17A3C" w:rsidRDefault="00AA7DFA" w:rsidP="00AA7DFA">
      <w:pPr>
        <w:pStyle w:val="Heading1"/>
        <w:numPr>
          <w:ilvl w:val="0"/>
          <w:numId w:val="1"/>
        </w:numPr>
        <w:tabs>
          <w:tab w:val="left" w:pos="836"/>
          <w:tab w:val="left" w:pos="837"/>
        </w:tabs>
        <w:spacing w:line="252" w:lineRule="auto"/>
        <w:ind w:left="709"/>
        <w:rPr>
          <w:rFonts w:ascii="Cambria" w:hAnsi="Cambria"/>
          <w:lang w:val="en-US"/>
        </w:rPr>
      </w:pPr>
      <w:bookmarkStart w:id="4" w:name="3._Văn_bản_sắp_có_hiệu_lực"/>
      <w:bookmarkEnd w:id="4"/>
      <w:r w:rsidRPr="00A17A3C">
        <w:rPr>
          <w:rFonts w:ascii="Cambria" w:hAnsi="Cambria"/>
          <w:lang w:val="en-US"/>
        </w:rPr>
        <w:t>Some prominent legal documents take effect from April 2022</w:t>
      </w:r>
    </w:p>
    <w:p w:rsidR="00AA7DFA" w:rsidRPr="00A17A3C" w:rsidRDefault="00AA7DFA" w:rsidP="00AA7DFA">
      <w:pPr>
        <w:pStyle w:val="BodyText"/>
        <w:spacing w:line="252" w:lineRule="auto"/>
        <w:rPr>
          <w:rFonts w:ascii="Cambria" w:hAnsi="Cambria"/>
          <w:b/>
          <w:lang w:val="en-US"/>
        </w:rPr>
      </w:pPr>
    </w:p>
    <w:tbl>
      <w:tblPr>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559"/>
        <w:gridCol w:w="1571"/>
      </w:tblGrid>
      <w:tr w:rsidR="00AA7DFA" w:rsidRPr="00A17A3C" w:rsidTr="00175B42">
        <w:trPr>
          <w:trHeight w:val="537"/>
        </w:trPr>
        <w:tc>
          <w:tcPr>
            <w:tcW w:w="709" w:type="dxa"/>
            <w:shd w:val="clear" w:color="auto" w:fill="D9E2F3" w:themeFill="accent5" w:themeFillTint="33"/>
          </w:tcPr>
          <w:p w:rsidR="00AA7DFA" w:rsidRPr="00A17A3C" w:rsidRDefault="00AA7DFA" w:rsidP="00175B42">
            <w:pPr>
              <w:pStyle w:val="TableParagraph"/>
              <w:spacing w:line="261" w:lineRule="exact"/>
              <w:ind w:left="119"/>
              <w:rPr>
                <w:rFonts w:ascii="Cambria" w:hAnsi="Cambria"/>
                <w:b/>
                <w:lang w:val="en-US"/>
              </w:rPr>
            </w:pPr>
            <w:r w:rsidRPr="00A17A3C">
              <w:rPr>
                <w:rFonts w:ascii="Cambria" w:hAnsi="Cambria"/>
                <w:b/>
                <w:lang w:val="en-US"/>
              </w:rPr>
              <w:t>No</w:t>
            </w:r>
          </w:p>
        </w:tc>
        <w:tc>
          <w:tcPr>
            <w:tcW w:w="6379" w:type="dxa"/>
            <w:shd w:val="clear" w:color="auto" w:fill="D9E2F3" w:themeFill="accent5" w:themeFillTint="33"/>
          </w:tcPr>
          <w:p w:rsidR="00AA7DFA" w:rsidRPr="00A17A3C" w:rsidRDefault="00AA7DFA" w:rsidP="00175B42">
            <w:pPr>
              <w:pStyle w:val="TableParagraph"/>
              <w:spacing w:line="240" w:lineRule="auto"/>
              <w:ind w:left="2428" w:right="2417"/>
              <w:jc w:val="center"/>
              <w:rPr>
                <w:rFonts w:ascii="Cambria" w:hAnsi="Cambria"/>
                <w:b/>
                <w:lang w:val="en-US"/>
              </w:rPr>
            </w:pPr>
            <w:r w:rsidRPr="00A17A3C">
              <w:rPr>
                <w:rFonts w:ascii="Cambria" w:hAnsi="Cambria"/>
                <w:b/>
                <w:lang w:val="en-US"/>
              </w:rPr>
              <w:t>Text name</w:t>
            </w:r>
          </w:p>
        </w:tc>
        <w:tc>
          <w:tcPr>
            <w:tcW w:w="1559" w:type="dxa"/>
            <w:shd w:val="clear" w:color="auto" w:fill="D9E2F3" w:themeFill="accent5" w:themeFillTint="33"/>
          </w:tcPr>
          <w:p w:rsidR="00AA7DFA" w:rsidRPr="00A17A3C" w:rsidRDefault="00AA7DFA" w:rsidP="00175B42">
            <w:pPr>
              <w:pStyle w:val="TableParagraph"/>
              <w:spacing w:line="252" w:lineRule="auto"/>
              <w:ind w:left="283" w:right="286"/>
              <w:jc w:val="center"/>
              <w:rPr>
                <w:rFonts w:ascii="Cambria" w:hAnsi="Cambria"/>
                <w:b/>
                <w:lang w:val="en-US"/>
              </w:rPr>
            </w:pPr>
            <w:r w:rsidRPr="00A17A3C">
              <w:rPr>
                <w:rFonts w:ascii="Cambria" w:hAnsi="Cambria"/>
                <w:b/>
                <w:lang w:val="en-US"/>
              </w:rPr>
              <w:t>Date issued</w:t>
            </w:r>
          </w:p>
        </w:tc>
        <w:tc>
          <w:tcPr>
            <w:tcW w:w="1571" w:type="dxa"/>
            <w:shd w:val="clear" w:color="auto" w:fill="D9E2F3" w:themeFill="accent5" w:themeFillTint="33"/>
          </w:tcPr>
          <w:p w:rsidR="00AA7DFA" w:rsidRPr="00A17A3C" w:rsidRDefault="00AA7DFA" w:rsidP="00175B42">
            <w:pPr>
              <w:pStyle w:val="TableParagraph"/>
              <w:spacing w:line="240" w:lineRule="auto"/>
              <w:ind w:left="139"/>
              <w:jc w:val="center"/>
              <w:rPr>
                <w:rFonts w:ascii="Cambria" w:hAnsi="Cambria"/>
                <w:b/>
                <w:lang w:val="en-US"/>
              </w:rPr>
            </w:pPr>
            <w:r w:rsidRPr="00A17A3C">
              <w:rPr>
                <w:rFonts w:ascii="Cambria" w:hAnsi="Cambria"/>
                <w:b/>
                <w:lang w:val="en-US"/>
              </w:rPr>
              <w:t>Date of Effective</w:t>
            </w:r>
          </w:p>
        </w:tc>
      </w:tr>
      <w:tr w:rsidR="00AA7DFA" w:rsidRPr="00A17A3C" w:rsidTr="00175B42">
        <w:trPr>
          <w:trHeight w:val="278"/>
        </w:trPr>
        <w:tc>
          <w:tcPr>
            <w:tcW w:w="10218" w:type="dxa"/>
            <w:gridSpan w:val="4"/>
          </w:tcPr>
          <w:p w:rsidR="00AA7DFA" w:rsidRPr="00A17A3C" w:rsidRDefault="00E1242E" w:rsidP="00175B42">
            <w:pPr>
              <w:pStyle w:val="TableParagraph"/>
              <w:spacing w:line="240" w:lineRule="auto"/>
              <w:ind w:left="4302" w:right="4283"/>
              <w:jc w:val="center"/>
              <w:rPr>
                <w:rFonts w:ascii="Cambria" w:hAnsi="Cambria"/>
                <w:b/>
                <w:w w:val="105"/>
                <w:lang w:val="en-US"/>
              </w:rPr>
            </w:pPr>
            <w:r w:rsidRPr="00A17A3C">
              <w:rPr>
                <w:rFonts w:ascii="Cambria" w:hAnsi="Cambria"/>
                <w:b/>
                <w:w w:val="105"/>
                <w:lang w:val="en-US"/>
              </w:rPr>
              <w:t>RESOLUTION</w:t>
            </w:r>
          </w:p>
          <w:p w:rsidR="00AA7DFA" w:rsidRPr="00A17A3C" w:rsidRDefault="00AA7DFA" w:rsidP="00175B42">
            <w:pPr>
              <w:pStyle w:val="TableParagraph"/>
              <w:spacing w:line="240" w:lineRule="auto"/>
              <w:ind w:left="4302" w:right="4283"/>
              <w:jc w:val="center"/>
              <w:rPr>
                <w:rFonts w:ascii="Cambria" w:hAnsi="Cambria"/>
                <w:b/>
                <w:lang w:val="en-US"/>
              </w:rPr>
            </w:pPr>
          </w:p>
        </w:tc>
      </w:tr>
      <w:tr w:rsidR="00AA7DFA" w:rsidRPr="00A17A3C" w:rsidTr="00175B42">
        <w:trPr>
          <w:trHeight w:val="1018"/>
        </w:trPr>
        <w:tc>
          <w:tcPr>
            <w:tcW w:w="709" w:type="dxa"/>
          </w:tcPr>
          <w:p w:rsidR="00AA7DFA" w:rsidRPr="00A17A3C" w:rsidRDefault="00AA7DFA" w:rsidP="00175B42">
            <w:pPr>
              <w:pStyle w:val="TableParagraph"/>
              <w:numPr>
                <w:ilvl w:val="0"/>
                <w:numId w:val="2"/>
              </w:numPr>
              <w:rPr>
                <w:rFonts w:ascii="Cambria" w:hAnsi="Cambria"/>
                <w:lang w:val="en-US"/>
              </w:rPr>
            </w:pPr>
            <w:bookmarkStart w:id="5" w:name="_Hlk84174501"/>
          </w:p>
        </w:tc>
        <w:tc>
          <w:tcPr>
            <w:tcW w:w="6379" w:type="dxa"/>
          </w:tcPr>
          <w:p w:rsidR="00AA7DFA" w:rsidRPr="00A17A3C" w:rsidRDefault="00E1242E" w:rsidP="00E1242E">
            <w:pPr>
              <w:spacing w:line="252" w:lineRule="auto"/>
              <w:ind w:left="142" w:right="142"/>
              <w:jc w:val="both"/>
              <w:rPr>
                <w:rFonts w:ascii="Cambria" w:hAnsi="Cambria"/>
                <w:lang w:val="en-US"/>
              </w:rPr>
            </w:pPr>
            <w:r w:rsidRPr="00A17A3C">
              <w:rPr>
                <w:rFonts w:ascii="Cambria" w:hAnsi="Cambria"/>
                <w:lang w:val="en-US"/>
              </w:rPr>
              <w:t>Resolution No. 18/2022/UBTVQH15 on environmental protection tax rates for gasoline, oil and grease</w:t>
            </w:r>
          </w:p>
        </w:tc>
        <w:tc>
          <w:tcPr>
            <w:tcW w:w="1559" w:type="dxa"/>
          </w:tcPr>
          <w:p w:rsidR="00AA7DFA" w:rsidRPr="00A17A3C" w:rsidRDefault="00E1242E" w:rsidP="002B3C92">
            <w:pPr>
              <w:pStyle w:val="TableParagraph"/>
              <w:ind w:left="0"/>
              <w:jc w:val="center"/>
              <w:rPr>
                <w:rFonts w:ascii="Cambria" w:hAnsi="Cambria"/>
                <w:lang w:val="en-US"/>
              </w:rPr>
            </w:pPr>
            <w:r w:rsidRPr="00A17A3C">
              <w:rPr>
                <w:rFonts w:ascii="Cambria" w:hAnsi="Cambria"/>
                <w:lang w:val="en-US"/>
              </w:rPr>
              <w:t>23/3</w:t>
            </w:r>
            <w:r w:rsidR="00AA7DFA" w:rsidRPr="00A17A3C">
              <w:rPr>
                <w:rFonts w:ascii="Cambria" w:hAnsi="Cambria"/>
                <w:lang w:val="en-US"/>
              </w:rPr>
              <w:t>/2022</w:t>
            </w:r>
          </w:p>
        </w:tc>
        <w:tc>
          <w:tcPr>
            <w:tcW w:w="1571" w:type="dxa"/>
          </w:tcPr>
          <w:p w:rsidR="00AA7DFA" w:rsidRPr="00A17A3C" w:rsidRDefault="00E1242E" w:rsidP="00175B42">
            <w:pPr>
              <w:pStyle w:val="TableParagraph"/>
              <w:jc w:val="center"/>
              <w:rPr>
                <w:rFonts w:ascii="Cambria" w:hAnsi="Cambria"/>
                <w:lang w:val="en-US"/>
              </w:rPr>
            </w:pPr>
            <w:r w:rsidRPr="00A17A3C">
              <w:rPr>
                <w:rFonts w:ascii="Cambria" w:hAnsi="Cambria"/>
                <w:lang w:val="en-US"/>
              </w:rPr>
              <w:t>01/4</w:t>
            </w:r>
            <w:r w:rsidR="00AA7DFA" w:rsidRPr="00A17A3C">
              <w:rPr>
                <w:rFonts w:ascii="Cambria" w:hAnsi="Cambria"/>
                <w:lang w:val="en-US"/>
              </w:rPr>
              <w:t>/2022</w:t>
            </w:r>
          </w:p>
        </w:tc>
      </w:tr>
      <w:tr w:rsidR="00E1242E" w:rsidRPr="00A17A3C" w:rsidTr="00175B42">
        <w:trPr>
          <w:trHeight w:val="1018"/>
        </w:trPr>
        <w:tc>
          <w:tcPr>
            <w:tcW w:w="709" w:type="dxa"/>
          </w:tcPr>
          <w:p w:rsidR="00E1242E" w:rsidRPr="00A17A3C" w:rsidRDefault="00E1242E" w:rsidP="00175B42">
            <w:pPr>
              <w:pStyle w:val="TableParagraph"/>
              <w:numPr>
                <w:ilvl w:val="0"/>
                <w:numId w:val="2"/>
              </w:numPr>
              <w:rPr>
                <w:rFonts w:ascii="Cambria" w:hAnsi="Cambria"/>
                <w:lang w:val="en-US"/>
              </w:rPr>
            </w:pPr>
          </w:p>
        </w:tc>
        <w:tc>
          <w:tcPr>
            <w:tcW w:w="6379" w:type="dxa"/>
          </w:tcPr>
          <w:p w:rsidR="00E1242E" w:rsidRPr="00A17A3C" w:rsidRDefault="00E1242E" w:rsidP="00175B42">
            <w:pPr>
              <w:spacing w:line="252" w:lineRule="auto"/>
              <w:ind w:left="142" w:right="142"/>
              <w:jc w:val="both"/>
              <w:rPr>
                <w:rFonts w:ascii="Cambria" w:hAnsi="Cambria"/>
                <w:lang w:val="en-US"/>
              </w:rPr>
            </w:pPr>
            <w:r w:rsidRPr="00A17A3C">
              <w:rPr>
                <w:rFonts w:ascii="Cambria" w:hAnsi="Cambria"/>
                <w:lang w:val="en-US"/>
              </w:rPr>
              <w:t>Resolution No. 17/2022/UBTVQH15 on the number of employees working overtime in a year and a month in the context of COVID-19 epidemic prevention and control and socio-economic recovery and development</w:t>
            </w:r>
          </w:p>
        </w:tc>
        <w:tc>
          <w:tcPr>
            <w:tcW w:w="1559" w:type="dxa"/>
          </w:tcPr>
          <w:p w:rsidR="00E1242E" w:rsidRPr="00A17A3C" w:rsidRDefault="00E1242E" w:rsidP="002B3C92">
            <w:pPr>
              <w:pStyle w:val="TableParagraph"/>
              <w:ind w:left="0"/>
              <w:jc w:val="center"/>
              <w:rPr>
                <w:rFonts w:ascii="Cambria" w:hAnsi="Cambria"/>
                <w:lang w:val="en-US"/>
              </w:rPr>
            </w:pPr>
            <w:r w:rsidRPr="00A17A3C">
              <w:rPr>
                <w:rFonts w:ascii="Cambria" w:hAnsi="Cambria"/>
                <w:lang w:val="en-US"/>
              </w:rPr>
              <w:t>23/3/2022</w:t>
            </w:r>
          </w:p>
        </w:tc>
        <w:tc>
          <w:tcPr>
            <w:tcW w:w="1571" w:type="dxa"/>
          </w:tcPr>
          <w:p w:rsidR="00E1242E" w:rsidRPr="00A17A3C" w:rsidRDefault="00E1242E" w:rsidP="00175B42">
            <w:pPr>
              <w:pStyle w:val="TableParagraph"/>
              <w:jc w:val="center"/>
              <w:rPr>
                <w:rFonts w:ascii="Cambria" w:hAnsi="Cambria"/>
                <w:lang w:val="en-US"/>
              </w:rPr>
            </w:pPr>
            <w:r w:rsidRPr="00A17A3C">
              <w:rPr>
                <w:rFonts w:ascii="Cambria" w:hAnsi="Cambria"/>
                <w:lang w:val="en-US"/>
              </w:rPr>
              <w:t>01/4/2022</w:t>
            </w:r>
          </w:p>
        </w:tc>
      </w:tr>
      <w:tr w:rsidR="00AA7DFA" w:rsidRPr="00A17A3C" w:rsidTr="00175B42">
        <w:trPr>
          <w:trHeight w:val="341"/>
        </w:trPr>
        <w:tc>
          <w:tcPr>
            <w:tcW w:w="10218" w:type="dxa"/>
            <w:gridSpan w:val="4"/>
          </w:tcPr>
          <w:p w:rsidR="00AA7DFA" w:rsidRPr="00A17A3C" w:rsidRDefault="00AA7DFA" w:rsidP="00175B42">
            <w:pPr>
              <w:pStyle w:val="TableParagraph"/>
              <w:spacing w:before="5" w:line="240" w:lineRule="auto"/>
              <w:ind w:left="4295" w:right="4284"/>
              <w:jc w:val="center"/>
              <w:rPr>
                <w:rFonts w:ascii="Cambria" w:hAnsi="Cambria"/>
                <w:b/>
                <w:lang w:val="en-US"/>
              </w:rPr>
            </w:pPr>
            <w:r w:rsidRPr="00A17A3C">
              <w:rPr>
                <w:rFonts w:ascii="Cambria" w:hAnsi="Cambria"/>
                <w:b/>
                <w:lang w:val="en-US"/>
              </w:rPr>
              <w:t>DECREE</w:t>
            </w:r>
          </w:p>
          <w:p w:rsidR="00AA7DFA" w:rsidRPr="00A17A3C" w:rsidRDefault="00AA7DFA" w:rsidP="00175B42">
            <w:pPr>
              <w:pStyle w:val="TableParagraph"/>
              <w:spacing w:before="5" w:line="240" w:lineRule="auto"/>
              <w:ind w:left="4295" w:right="4284"/>
              <w:jc w:val="center"/>
              <w:rPr>
                <w:rFonts w:ascii="Cambria" w:hAnsi="Cambria"/>
                <w:b/>
                <w:lang w:val="en-US"/>
              </w:rPr>
            </w:pPr>
          </w:p>
        </w:tc>
      </w:tr>
      <w:tr w:rsidR="00AA7DFA" w:rsidRPr="00A17A3C" w:rsidTr="00175B42">
        <w:trPr>
          <w:trHeight w:val="950"/>
        </w:trPr>
        <w:tc>
          <w:tcPr>
            <w:tcW w:w="709" w:type="dxa"/>
          </w:tcPr>
          <w:p w:rsidR="00AA7DFA" w:rsidRPr="00A17A3C" w:rsidRDefault="00AA7DFA" w:rsidP="00175B42">
            <w:pPr>
              <w:pStyle w:val="TableParagraph"/>
              <w:numPr>
                <w:ilvl w:val="0"/>
                <w:numId w:val="3"/>
              </w:numPr>
              <w:rPr>
                <w:rFonts w:ascii="Cambria" w:hAnsi="Cambria"/>
                <w:lang w:val="en-US"/>
              </w:rPr>
            </w:pPr>
          </w:p>
        </w:tc>
        <w:tc>
          <w:tcPr>
            <w:tcW w:w="6379" w:type="dxa"/>
          </w:tcPr>
          <w:p w:rsidR="00AA7DFA" w:rsidRPr="00A17A3C" w:rsidRDefault="00E1242E" w:rsidP="00175B42">
            <w:pPr>
              <w:pStyle w:val="TableParagraph"/>
              <w:spacing w:line="254" w:lineRule="auto"/>
              <w:ind w:left="142" w:right="142"/>
              <w:jc w:val="both"/>
              <w:rPr>
                <w:rFonts w:ascii="Cambria" w:hAnsi="Cambria"/>
                <w:lang w:val="en-US"/>
              </w:rPr>
            </w:pPr>
            <w:r w:rsidRPr="00A17A3C">
              <w:rPr>
                <w:rFonts w:ascii="Cambria" w:hAnsi="Cambria"/>
                <w:lang w:val="en-US"/>
              </w:rPr>
              <w:t>Decree No. 148/2021</w:t>
            </w:r>
            <w:r w:rsidR="00AA7DFA" w:rsidRPr="00A17A3C">
              <w:rPr>
                <w:rFonts w:ascii="Cambria" w:hAnsi="Cambria"/>
                <w:lang w:val="en-US"/>
              </w:rPr>
              <w:t xml:space="preserve">/ND-CP </w:t>
            </w:r>
            <w:r w:rsidRPr="00A17A3C">
              <w:rPr>
                <w:rFonts w:ascii="Cambria" w:hAnsi="Cambria"/>
                <w:lang w:val="en-US"/>
              </w:rPr>
              <w:t>on management and use of revenues from conversion of ownership of enterprises, public non-business units, revenues from the transfer of state capital and the difference in equity greater than capital charter at the enterprise</w:t>
            </w:r>
          </w:p>
        </w:tc>
        <w:tc>
          <w:tcPr>
            <w:tcW w:w="1559" w:type="dxa"/>
          </w:tcPr>
          <w:p w:rsidR="00AA7DFA" w:rsidRPr="00A17A3C" w:rsidRDefault="00E1242E" w:rsidP="00175B42">
            <w:pPr>
              <w:spacing w:line="252" w:lineRule="auto"/>
              <w:jc w:val="center"/>
              <w:rPr>
                <w:rFonts w:ascii="Cambria" w:hAnsi="Cambria"/>
                <w:lang w:val="en-US"/>
              </w:rPr>
            </w:pPr>
            <w:r w:rsidRPr="00A17A3C">
              <w:rPr>
                <w:rFonts w:ascii="Cambria" w:hAnsi="Cambria"/>
                <w:lang w:val="en-US"/>
              </w:rPr>
              <w:t>31/12/2021</w:t>
            </w:r>
          </w:p>
          <w:p w:rsidR="00AA7DFA" w:rsidRPr="00A17A3C" w:rsidRDefault="00AA7DFA" w:rsidP="00175B42">
            <w:pPr>
              <w:pStyle w:val="TableParagraph"/>
              <w:ind w:left="108"/>
              <w:jc w:val="center"/>
              <w:rPr>
                <w:rFonts w:ascii="Cambria" w:hAnsi="Cambria"/>
                <w:lang w:val="en-US"/>
              </w:rPr>
            </w:pPr>
          </w:p>
        </w:tc>
        <w:tc>
          <w:tcPr>
            <w:tcW w:w="1571" w:type="dxa"/>
          </w:tcPr>
          <w:p w:rsidR="00AA7DFA" w:rsidRPr="00A17A3C" w:rsidRDefault="00E1242E" w:rsidP="00175B42">
            <w:pPr>
              <w:pStyle w:val="TableParagraph"/>
              <w:jc w:val="center"/>
              <w:rPr>
                <w:rFonts w:ascii="Cambria" w:hAnsi="Cambria"/>
                <w:lang w:val="en-US"/>
              </w:rPr>
            </w:pPr>
            <w:r w:rsidRPr="00A17A3C">
              <w:rPr>
                <w:rFonts w:ascii="Cambria" w:hAnsi="Cambria"/>
                <w:lang w:val="en-US"/>
              </w:rPr>
              <w:t>01/4</w:t>
            </w:r>
            <w:r w:rsidR="00AA7DFA" w:rsidRPr="00A17A3C">
              <w:rPr>
                <w:rFonts w:ascii="Cambria" w:hAnsi="Cambria"/>
                <w:lang w:val="en-US"/>
              </w:rPr>
              <w:t>/2022</w:t>
            </w:r>
          </w:p>
        </w:tc>
      </w:tr>
      <w:tr w:rsidR="00AA7DFA" w:rsidRPr="00A17A3C" w:rsidTr="00175B42">
        <w:trPr>
          <w:trHeight w:val="597"/>
        </w:trPr>
        <w:tc>
          <w:tcPr>
            <w:tcW w:w="709" w:type="dxa"/>
            <w:tcBorders>
              <w:top w:val="single" w:sz="4" w:space="0" w:color="000000"/>
              <w:left w:val="single" w:sz="4" w:space="0" w:color="000000"/>
              <w:bottom w:val="single" w:sz="4" w:space="0" w:color="000000"/>
              <w:right w:val="single" w:sz="4" w:space="0" w:color="000000"/>
            </w:tcBorders>
          </w:tcPr>
          <w:p w:rsidR="00AA7DFA" w:rsidRPr="00A17A3C" w:rsidRDefault="00AA7DFA" w:rsidP="00175B42">
            <w:pPr>
              <w:pStyle w:val="TableParagraph"/>
              <w:numPr>
                <w:ilvl w:val="0"/>
                <w:numId w:val="3"/>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spacing w:line="254" w:lineRule="auto"/>
              <w:ind w:left="143" w:right="90"/>
              <w:jc w:val="both"/>
              <w:rPr>
                <w:rFonts w:ascii="Cambria" w:hAnsi="Cambria"/>
                <w:lang w:val="en-US"/>
              </w:rPr>
            </w:pPr>
            <w:r w:rsidRPr="00A17A3C">
              <w:rPr>
                <w:rFonts w:ascii="Cambria" w:hAnsi="Cambria"/>
                <w:lang w:val="en-US"/>
              </w:rPr>
              <w:t>Decree No. 18</w:t>
            </w:r>
            <w:r w:rsidR="00AA7DFA" w:rsidRPr="00A17A3C">
              <w:rPr>
                <w:rFonts w:ascii="Cambria" w:hAnsi="Cambria"/>
                <w:lang w:val="en-US"/>
              </w:rPr>
              <w:t xml:space="preserve">/2022/ND-CP </w:t>
            </w:r>
            <w:r w:rsidRPr="00A17A3C">
              <w:rPr>
                <w:rFonts w:ascii="Cambria" w:hAnsi="Cambria"/>
                <w:lang w:val="en-US"/>
              </w:rPr>
              <w:t>on foreign rituals</w:t>
            </w:r>
          </w:p>
        </w:tc>
        <w:tc>
          <w:tcPr>
            <w:tcW w:w="155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ind w:left="108"/>
              <w:jc w:val="center"/>
              <w:rPr>
                <w:rFonts w:ascii="Cambria" w:hAnsi="Cambria"/>
                <w:lang w:val="en-US"/>
              </w:rPr>
            </w:pPr>
            <w:r w:rsidRPr="00A17A3C">
              <w:rPr>
                <w:rFonts w:ascii="Cambria" w:hAnsi="Cambria"/>
                <w:lang w:val="en-US"/>
              </w:rPr>
              <w:t>18/02</w:t>
            </w:r>
            <w:r w:rsidR="00AA7DFA" w:rsidRPr="00A17A3C">
              <w:rPr>
                <w:rFonts w:ascii="Cambria" w:hAnsi="Cambria"/>
                <w:lang w:val="en-US"/>
              </w:rPr>
              <w:t>/2022</w:t>
            </w:r>
          </w:p>
        </w:tc>
        <w:tc>
          <w:tcPr>
            <w:tcW w:w="1571"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jc w:val="center"/>
              <w:rPr>
                <w:rFonts w:ascii="Cambria" w:hAnsi="Cambria"/>
                <w:lang w:val="en-US"/>
              </w:rPr>
            </w:pPr>
            <w:r w:rsidRPr="00A17A3C">
              <w:rPr>
                <w:rFonts w:ascii="Cambria" w:hAnsi="Cambria"/>
                <w:lang w:val="en-US"/>
              </w:rPr>
              <w:t>10/4</w:t>
            </w:r>
            <w:r w:rsidR="00AA7DFA" w:rsidRPr="00A17A3C">
              <w:rPr>
                <w:rFonts w:ascii="Cambria" w:hAnsi="Cambria"/>
                <w:lang w:val="en-US"/>
              </w:rPr>
              <w:t>/2022</w:t>
            </w:r>
          </w:p>
        </w:tc>
      </w:tr>
      <w:tr w:rsidR="00AA7DFA" w:rsidRPr="00A17A3C" w:rsidTr="00175B42">
        <w:trPr>
          <w:trHeight w:val="491"/>
        </w:trPr>
        <w:tc>
          <w:tcPr>
            <w:tcW w:w="10218" w:type="dxa"/>
            <w:gridSpan w:val="4"/>
            <w:tcBorders>
              <w:top w:val="single" w:sz="4" w:space="0" w:color="000000"/>
              <w:left w:val="single" w:sz="4" w:space="0" w:color="000000"/>
              <w:bottom w:val="single" w:sz="4" w:space="0" w:color="000000"/>
              <w:right w:val="single" w:sz="4" w:space="0" w:color="000000"/>
            </w:tcBorders>
          </w:tcPr>
          <w:p w:rsidR="00AA7DFA" w:rsidRPr="00A17A3C" w:rsidRDefault="00AA7DFA" w:rsidP="00175B42">
            <w:pPr>
              <w:pStyle w:val="TableParagraph"/>
              <w:jc w:val="center"/>
              <w:rPr>
                <w:rFonts w:ascii="Cambria" w:hAnsi="Cambria"/>
                <w:b/>
                <w:lang w:val="en-US"/>
              </w:rPr>
            </w:pPr>
            <w:r w:rsidRPr="00A17A3C">
              <w:rPr>
                <w:rFonts w:ascii="Cambria" w:hAnsi="Cambria"/>
                <w:b/>
                <w:lang w:val="en-US"/>
              </w:rPr>
              <w:t>CIRCULAR</w:t>
            </w:r>
          </w:p>
        </w:tc>
      </w:tr>
      <w:tr w:rsidR="00AA7DFA" w:rsidRPr="00A17A3C" w:rsidTr="00175B42">
        <w:trPr>
          <w:trHeight w:val="603"/>
        </w:trPr>
        <w:tc>
          <w:tcPr>
            <w:tcW w:w="709" w:type="dxa"/>
            <w:tcBorders>
              <w:top w:val="single" w:sz="4" w:space="0" w:color="000000"/>
              <w:left w:val="single" w:sz="4" w:space="0" w:color="000000"/>
              <w:bottom w:val="single" w:sz="4" w:space="0" w:color="000000"/>
              <w:right w:val="single" w:sz="4" w:space="0" w:color="000000"/>
            </w:tcBorders>
          </w:tcPr>
          <w:p w:rsidR="00AA7DFA" w:rsidRPr="00A17A3C" w:rsidRDefault="00AA7DFA" w:rsidP="00AA7DFA">
            <w:pPr>
              <w:pStyle w:val="TableParagraph"/>
              <w:numPr>
                <w:ilvl w:val="0"/>
                <w:numId w:val="10"/>
              </w:numPr>
              <w:rPr>
                <w:rFonts w:ascii="Cambria" w:hAnsi="Cambria"/>
                <w:lang w:val="en-US"/>
              </w:rPr>
            </w:pPr>
            <w:r w:rsidRPr="00A17A3C">
              <w:rPr>
                <w:rFonts w:ascii="Cambria" w:hAnsi="Cambria"/>
                <w:lang w:val="en-US"/>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spacing w:line="254" w:lineRule="auto"/>
              <w:ind w:left="143" w:right="142"/>
              <w:jc w:val="both"/>
              <w:rPr>
                <w:rFonts w:ascii="Cambria" w:hAnsi="Cambria"/>
                <w:lang w:val="en-US"/>
              </w:rPr>
            </w:pPr>
            <w:r w:rsidRPr="00A17A3C">
              <w:rPr>
                <w:rFonts w:ascii="Cambria" w:hAnsi="Cambria"/>
                <w:lang w:val="en-US"/>
              </w:rPr>
              <w:t>Circular No. 24/2021/TT-NHNN amending Circular 39/2011/TT-NHNN providing for independent audit of credit institutions, foreign bank branches</w:t>
            </w:r>
          </w:p>
        </w:tc>
        <w:tc>
          <w:tcPr>
            <w:tcW w:w="155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ind w:left="108"/>
              <w:jc w:val="center"/>
              <w:rPr>
                <w:rFonts w:ascii="Cambria" w:hAnsi="Cambria"/>
                <w:lang w:val="en-US"/>
              </w:rPr>
            </w:pPr>
            <w:r w:rsidRPr="00A17A3C">
              <w:rPr>
                <w:rFonts w:ascii="Cambria" w:hAnsi="Cambria"/>
                <w:lang w:val="en-US"/>
              </w:rPr>
              <w:t>31</w:t>
            </w:r>
            <w:r w:rsidR="00AA7DFA" w:rsidRPr="00A17A3C">
              <w:rPr>
                <w:rFonts w:ascii="Cambria" w:hAnsi="Cambria"/>
                <w:lang w:val="en-US"/>
              </w:rPr>
              <w:t>/12/2021</w:t>
            </w:r>
          </w:p>
        </w:tc>
        <w:tc>
          <w:tcPr>
            <w:tcW w:w="1571"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jc w:val="center"/>
              <w:rPr>
                <w:rFonts w:ascii="Cambria" w:hAnsi="Cambria"/>
                <w:lang w:val="en-US"/>
              </w:rPr>
            </w:pPr>
            <w:r w:rsidRPr="00A17A3C">
              <w:rPr>
                <w:rFonts w:ascii="Cambria" w:hAnsi="Cambria"/>
                <w:lang w:val="en-US"/>
              </w:rPr>
              <w:t>01/4</w:t>
            </w:r>
            <w:r w:rsidR="00AA7DFA" w:rsidRPr="00A17A3C">
              <w:rPr>
                <w:rFonts w:ascii="Cambria" w:hAnsi="Cambria"/>
                <w:lang w:val="en-US"/>
              </w:rPr>
              <w:t>/2022</w:t>
            </w:r>
          </w:p>
        </w:tc>
      </w:tr>
      <w:tr w:rsidR="00AA7DFA" w:rsidRPr="00A17A3C" w:rsidTr="00175B42">
        <w:trPr>
          <w:trHeight w:val="994"/>
        </w:trPr>
        <w:tc>
          <w:tcPr>
            <w:tcW w:w="709" w:type="dxa"/>
            <w:tcBorders>
              <w:top w:val="single" w:sz="4" w:space="0" w:color="000000"/>
              <w:left w:val="single" w:sz="4" w:space="0" w:color="000000"/>
              <w:bottom w:val="single" w:sz="4" w:space="0" w:color="000000"/>
              <w:right w:val="single" w:sz="4" w:space="0" w:color="000000"/>
            </w:tcBorders>
          </w:tcPr>
          <w:p w:rsidR="00AA7DFA" w:rsidRPr="00A17A3C" w:rsidRDefault="00AA7DFA" w:rsidP="00AA7DFA">
            <w:pPr>
              <w:pStyle w:val="TableParagraph"/>
              <w:numPr>
                <w:ilvl w:val="0"/>
                <w:numId w:val="10"/>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spacing w:line="254" w:lineRule="auto"/>
              <w:ind w:left="109" w:right="142"/>
              <w:jc w:val="both"/>
              <w:rPr>
                <w:rFonts w:ascii="Cambria" w:hAnsi="Cambria"/>
                <w:lang w:val="en-US"/>
              </w:rPr>
            </w:pPr>
            <w:r w:rsidRPr="00A17A3C">
              <w:rPr>
                <w:rFonts w:ascii="Cambria" w:hAnsi="Cambria"/>
                <w:lang w:val="en-US"/>
              </w:rPr>
              <w:t>Circular No. 09/2022/TT-BTC amending and supplementing a number of articles of the regulation on consideration, verification and approval of foreign loans by the method of self-borrowing and self-payment of state-owned enterprises over 50% of charter capital issued together with Circular No. 153/2014/TT-BTC dated October 20, 2014 of the Minister of Finance</w:t>
            </w:r>
          </w:p>
        </w:tc>
        <w:tc>
          <w:tcPr>
            <w:tcW w:w="155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ind w:left="108"/>
              <w:jc w:val="center"/>
              <w:rPr>
                <w:rFonts w:ascii="Cambria" w:hAnsi="Cambria"/>
                <w:lang w:val="en-US"/>
              </w:rPr>
            </w:pPr>
            <w:r w:rsidRPr="00A17A3C">
              <w:rPr>
                <w:rFonts w:ascii="Cambria" w:hAnsi="Cambria"/>
                <w:lang w:val="en-US"/>
              </w:rPr>
              <w:t>31</w:t>
            </w:r>
            <w:r w:rsidR="00AA7DFA" w:rsidRPr="00A17A3C">
              <w:rPr>
                <w:rFonts w:ascii="Cambria" w:hAnsi="Cambria"/>
                <w:lang w:val="en-US"/>
              </w:rPr>
              <w:t>/12/2021</w:t>
            </w:r>
          </w:p>
        </w:tc>
        <w:tc>
          <w:tcPr>
            <w:tcW w:w="1571"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jc w:val="center"/>
              <w:rPr>
                <w:rFonts w:ascii="Cambria" w:hAnsi="Cambria"/>
                <w:lang w:val="en-US"/>
              </w:rPr>
            </w:pPr>
            <w:r w:rsidRPr="00A17A3C">
              <w:rPr>
                <w:rFonts w:ascii="Cambria" w:hAnsi="Cambria"/>
                <w:lang w:val="en-US"/>
              </w:rPr>
              <w:t>01/4</w:t>
            </w:r>
            <w:r w:rsidR="00AA7DFA" w:rsidRPr="00A17A3C">
              <w:rPr>
                <w:rFonts w:ascii="Cambria" w:hAnsi="Cambria"/>
                <w:lang w:val="en-US"/>
              </w:rPr>
              <w:t>/2022</w:t>
            </w:r>
          </w:p>
        </w:tc>
      </w:tr>
      <w:tr w:rsidR="00AA7DFA" w:rsidRPr="00A17A3C" w:rsidTr="00175B42">
        <w:trPr>
          <w:trHeight w:val="994"/>
        </w:trPr>
        <w:tc>
          <w:tcPr>
            <w:tcW w:w="709" w:type="dxa"/>
            <w:tcBorders>
              <w:top w:val="single" w:sz="4" w:space="0" w:color="000000"/>
              <w:left w:val="single" w:sz="4" w:space="0" w:color="000000"/>
              <w:bottom w:val="single" w:sz="4" w:space="0" w:color="000000"/>
              <w:right w:val="single" w:sz="4" w:space="0" w:color="000000"/>
            </w:tcBorders>
          </w:tcPr>
          <w:p w:rsidR="00AA7DFA" w:rsidRPr="00A17A3C" w:rsidRDefault="00AA7DFA" w:rsidP="00AA7DFA">
            <w:pPr>
              <w:pStyle w:val="TableParagraph"/>
              <w:numPr>
                <w:ilvl w:val="0"/>
                <w:numId w:val="10"/>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spacing w:line="254" w:lineRule="auto"/>
              <w:ind w:left="109" w:right="142"/>
              <w:jc w:val="both"/>
              <w:rPr>
                <w:rFonts w:ascii="Cambria" w:hAnsi="Cambria"/>
                <w:lang w:val="en-US"/>
              </w:rPr>
            </w:pPr>
            <w:r w:rsidRPr="00A17A3C">
              <w:rPr>
                <w:rFonts w:ascii="Cambria" w:hAnsi="Cambria"/>
                <w:lang w:val="en-US"/>
              </w:rPr>
              <w:t>Circular No. 10/2022/TT-BTC stipulating the general report of financial information according to convention</w:t>
            </w:r>
          </w:p>
        </w:tc>
        <w:tc>
          <w:tcPr>
            <w:tcW w:w="155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ind w:left="108"/>
              <w:jc w:val="center"/>
              <w:rPr>
                <w:rFonts w:ascii="Cambria" w:hAnsi="Cambria"/>
                <w:lang w:val="en-US"/>
              </w:rPr>
            </w:pPr>
            <w:r w:rsidRPr="00A17A3C">
              <w:rPr>
                <w:rFonts w:ascii="Cambria" w:hAnsi="Cambria"/>
                <w:lang w:val="en-US"/>
              </w:rPr>
              <w:t>14/02/2022</w:t>
            </w:r>
          </w:p>
        </w:tc>
        <w:tc>
          <w:tcPr>
            <w:tcW w:w="1571"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jc w:val="center"/>
              <w:rPr>
                <w:rFonts w:ascii="Cambria" w:hAnsi="Cambria"/>
                <w:lang w:val="en-US"/>
              </w:rPr>
            </w:pPr>
            <w:r w:rsidRPr="00A17A3C">
              <w:rPr>
                <w:rFonts w:ascii="Cambria" w:hAnsi="Cambria"/>
                <w:lang w:val="en-US"/>
              </w:rPr>
              <w:t>01/4</w:t>
            </w:r>
            <w:r w:rsidR="00AA7DFA" w:rsidRPr="00A17A3C">
              <w:rPr>
                <w:rFonts w:ascii="Cambria" w:hAnsi="Cambria"/>
                <w:lang w:val="en-US"/>
              </w:rPr>
              <w:t>/2022</w:t>
            </w:r>
          </w:p>
        </w:tc>
      </w:tr>
      <w:tr w:rsidR="00AA7DFA" w:rsidRPr="00A17A3C" w:rsidTr="00175B42">
        <w:trPr>
          <w:trHeight w:val="320"/>
        </w:trPr>
        <w:tc>
          <w:tcPr>
            <w:tcW w:w="709" w:type="dxa"/>
            <w:tcBorders>
              <w:top w:val="single" w:sz="4" w:space="0" w:color="000000"/>
              <w:left w:val="single" w:sz="4" w:space="0" w:color="000000"/>
              <w:bottom w:val="single" w:sz="4" w:space="0" w:color="000000"/>
              <w:right w:val="single" w:sz="4" w:space="0" w:color="000000"/>
            </w:tcBorders>
          </w:tcPr>
          <w:p w:rsidR="00AA7DFA" w:rsidRPr="00A17A3C" w:rsidRDefault="00AA7DFA" w:rsidP="00AA7DFA">
            <w:pPr>
              <w:pStyle w:val="TableParagraph"/>
              <w:numPr>
                <w:ilvl w:val="0"/>
                <w:numId w:val="10"/>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AA7DFA" w:rsidRPr="00A17A3C" w:rsidRDefault="00E1242E" w:rsidP="00175B42">
            <w:pPr>
              <w:pStyle w:val="TableParagraph"/>
              <w:spacing w:line="252" w:lineRule="auto"/>
              <w:ind w:right="142"/>
              <w:contextualSpacing/>
              <w:jc w:val="both"/>
              <w:rPr>
                <w:rFonts w:ascii="Cambria" w:hAnsi="Cambria"/>
                <w:lang w:val="en-US"/>
              </w:rPr>
            </w:pPr>
            <w:r w:rsidRPr="00A17A3C">
              <w:rPr>
                <w:rFonts w:ascii="Cambria" w:hAnsi="Cambria"/>
                <w:lang w:val="en-US"/>
              </w:rPr>
              <w:t>Circular No. 05/2022/TT-BCT stipulating the Rules of Origin of goods in the Regional Comprehensive Economic Partnership Agreement</w:t>
            </w:r>
          </w:p>
        </w:tc>
        <w:tc>
          <w:tcPr>
            <w:tcW w:w="1559"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pStyle w:val="TableParagraph"/>
              <w:spacing w:line="252" w:lineRule="auto"/>
              <w:ind w:left="108"/>
              <w:contextualSpacing/>
              <w:jc w:val="center"/>
              <w:rPr>
                <w:rFonts w:ascii="Cambria" w:hAnsi="Cambria"/>
                <w:lang w:val="en-US"/>
              </w:rPr>
            </w:pPr>
            <w:r w:rsidRPr="00A17A3C">
              <w:rPr>
                <w:rFonts w:ascii="Cambria" w:hAnsi="Cambria"/>
                <w:lang w:val="en-US"/>
              </w:rPr>
              <w:t>18/02/2022</w:t>
            </w:r>
          </w:p>
        </w:tc>
        <w:tc>
          <w:tcPr>
            <w:tcW w:w="1571"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pStyle w:val="TableParagraph"/>
              <w:spacing w:line="252" w:lineRule="auto"/>
              <w:contextualSpacing/>
              <w:jc w:val="center"/>
              <w:rPr>
                <w:rFonts w:ascii="Cambria" w:hAnsi="Cambria"/>
                <w:lang w:val="en-US"/>
              </w:rPr>
            </w:pPr>
            <w:r w:rsidRPr="00A17A3C">
              <w:rPr>
                <w:rFonts w:ascii="Cambria" w:hAnsi="Cambria"/>
                <w:lang w:val="en-US"/>
              </w:rPr>
              <w:t>04/4</w:t>
            </w:r>
            <w:r w:rsidR="00AA7DFA" w:rsidRPr="00A17A3C">
              <w:rPr>
                <w:rFonts w:ascii="Cambria" w:hAnsi="Cambria"/>
                <w:lang w:val="en-US"/>
              </w:rPr>
              <w:t>/2021</w:t>
            </w:r>
          </w:p>
        </w:tc>
      </w:tr>
      <w:tr w:rsidR="00AA7DFA" w:rsidRPr="00A17A3C" w:rsidTr="00175B42">
        <w:trPr>
          <w:trHeight w:val="320"/>
        </w:trPr>
        <w:tc>
          <w:tcPr>
            <w:tcW w:w="709" w:type="dxa"/>
            <w:tcBorders>
              <w:top w:val="single" w:sz="4" w:space="0" w:color="000000"/>
              <w:left w:val="single" w:sz="4" w:space="0" w:color="000000"/>
              <w:bottom w:val="single" w:sz="4" w:space="0" w:color="000000"/>
              <w:right w:val="single" w:sz="4" w:space="0" w:color="000000"/>
            </w:tcBorders>
          </w:tcPr>
          <w:p w:rsidR="00AA7DFA" w:rsidRPr="00A17A3C" w:rsidRDefault="00AA7DFA" w:rsidP="00AA7DFA">
            <w:pPr>
              <w:pStyle w:val="TableParagraph"/>
              <w:numPr>
                <w:ilvl w:val="0"/>
                <w:numId w:val="10"/>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pStyle w:val="TableParagraph"/>
              <w:spacing w:line="252" w:lineRule="auto"/>
              <w:ind w:right="142"/>
              <w:contextualSpacing/>
              <w:jc w:val="both"/>
              <w:rPr>
                <w:rFonts w:ascii="Cambria" w:hAnsi="Cambria"/>
                <w:lang w:val="en-US"/>
              </w:rPr>
            </w:pPr>
            <w:r w:rsidRPr="00A17A3C">
              <w:rPr>
                <w:rFonts w:ascii="Cambria" w:hAnsi="Cambria"/>
                <w:lang w:val="en-US"/>
              </w:rPr>
              <w:t>Circular No. 02/2022/TT-BKHCN guiding the implementation of a number of articles of the Government's Decree No. 142/2020/ND-CP dated December 9, 2020 stipulating the conduct of radiation work and translation activities atomic energy application support service</w:t>
            </w:r>
          </w:p>
        </w:tc>
        <w:tc>
          <w:tcPr>
            <w:tcW w:w="1559"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pStyle w:val="TableParagraph"/>
              <w:spacing w:line="252" w:lineRule="auto"/>
              <w:ind w:left="108"/>
              <w:contextualSpacing/>
              <w:jc w:val="center"/>
              <w:rPr>
                <w:rFonts w:ascii="Cambria" w:hAnsi="Cambria"/>
                <w:lang w:val="en-US"/>
              </w:rPr>
            </w:pPr>
            <w:r w:rsidRPr="00A17A3C">
              <w:rPr>
                <w:rFonts w:ascii="Cambria" w:hAnsi="Cambria"/>
                <w:lang w:val="en-US"/>
              </w:rPr>
              <w:t>25/02</w:t>
            </w:r>
            <w:r w:rsidR="00AA7DFA" w:rsidRPr="00A17A3C">
              <w:rPr>
                <w:rFonts w:ascii="Cambria" w:hAnsi="Cambria"/>
                <w:lang w:val="en-US"/>
              </w:rPr>
              <w:t>/2022</w:t>
            </w:r>
          </w:p>
        </w:tc>
        <w:tc>
          <w:tcPr>
            <w:tcW w:w="1571"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pStyle w:val="TableParagraph"/>
              <w:spacing w:line="252" w:lineRule="auto"/>
              <w:contextualSpacing/>
              <w:jc w:val="center"/>
              <w:rPr>
                <w:rFonts w:ascii="Cambria" w:hAnsi="Cambria"/>
                <w:lang w:val="en-US"/>
              </w:rPr>
            </w:pPr>
            <w:r w:rsidRPr="00A17A3C">
              <w:rPr>
                <w:rFonts w:ascii="Cambria" w:hAnsi="Cambria"/>
                <w:lang w:val="en-US"/>
              </w:rPr>
              <w:t>15/4</w:t>
            </w:r>
            <w:r w:rsidR="00AA7DFA" w:rsidRPr="00A17A3C">
              <w:rPr>
                <w:rFonts w:ascii="Cambria" w:hAnsi="Cambria"/>
                <w:lang w:val="en-US"/>
              </w:rPr>
              <w:t>/2021</w:t>
            </w:r>
          </w:p>
        </w:tc>
      </w:tr>
      <w:tr w:rsidR="00AA7DFA" w:rsidRPr="00A17A3C" w:rsidTr="00175B42">
        <w:trPr>
          <w:trHeight w:val="731"/>
        </w:trPr>
        <w:tc>
          <w:tcPr>
            <w:tcW w:w="709" w:type="dxa"/>
            <w:tcBorders>
              <w:top w:val="single" w:sz="4" w:space="0" w:color="000000"/>
              <w:left w:val="single" w:sz="4" w:space="0" w:color="000000"/>
              <w:bottom w:val="single" w:sz="4" w:space="0" w:color="000000"/>
              <w:right w:val="single" w:sz="4" w:space="0" w:color="000000"/>
            </w:tcBorders>
          </w:tcPr>
          <w:p w:rsidR="00AA7DFA" w:rsidRPr="00A17A3C" w:rsidRDefault="00AA7DFA" w:rsidP="00AA7DFA">
            <w:pPr>
              <w:pStyle w:val="TableParagraph"/>
              <w:numPr>
                <w:ilvl w:val="0"/>
                <w:numId w:val="10"/>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pStyle w:val="TableParagraph"/>
              <w:spacing w:line="254" w:lineRule="auto"/>
              <w:ind w:left="142" w:right="90"/>
              <w:jc w:val="both"/>
              <w:rPr>
                <w:rFonts w:ascii="Cambria" w:hAnsi="Cambria"/>
                <w:lang w:val="en-US"/>
              </w:rPr>
            </w:pPr>
            <w:r w:rsidRPr="00A17A3C">
              <w:rPr>
                <w:rFonts w:ascii="Cambria" w:hAnsi="Cambria"/>
                <w:lang w:val="en-US"/>
              </w:rPr>
              <w:t>Circular 01/20 Circular 06/2022/TT-BCT stipulating the import of rice and dried tobacco leaves originating from the Kingdom of Cambodia under tariff quotas in 2021 and 2022</w:t>
            </w:r>
          </w:p>
        </w:tc>
        <w:tc>
          <w:tcPr>
            <w:tcW w:w="1559"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pStyle w:val="TableParagraph"/>
              <w:ind w:left="108"/>
              <w:jc w:val="center"/>
              <w:rPr>
                <w:rFonts w:ascii="Cambria" w:hAnsi="Cambria"/>
                <w:lang w:val="en-US"/>
              </w:rPr>
            </w:pPr>
            <w:r w:rsidRPr="00A17A3C">
              <w:rPr>
                <w:rFonts w:ascii="Cambria" w:hAnsi="Cambria"/>
                <w:lang w:val="en-US"/>
              </w:rPr>
              <w:t>28/02</w:t>
            </w:r>
            <w:r w:rsidR="00AA7DFA" w:rsidRPr="00A17A3C">
              <w:rPr>
                <w:rFonts w:ascii="Cambria" w:hAnsi="Cambria"/>
                <w:lang w:val="en-US"/>
              </w:rPr>
              <w:t>/2022</w:t>
            </w:r>
          </w:p>
        </w:tc>
        <w:tc>
          <w:tcPr>
            <w:tcW w:w="1571" w:type="dxa"/>
            <w:tcBorders>
              <w:top w:val="single" w:sz="4" w:space="0" w:color="000000"/>
              <w:left w:val="single" w:sz="4" w:space="0" w:color="000000"/>
              <w:bottom w:val="single" w:sz="4" w:space="0" w:color="000000"/>
              <w:right w:val="single" w:sz="4" w:space="0" w:color="000000"/>
            </w:tcBorders>
          </w:tcPr>
          <w:p w:rsidR="00AA7DFA" w:rsidRPr="00A17A3C" w:rsidRDefault="00E806B1" w:rsidP="00175B42">
            <w:pPr>
              <w:spacing w:line="252" w:lineRule="auto"/>
              <w:jc w:val="center"/>
              <w:rPr>
                <w:rFonts w:ascii="Cambria" w:hAnsi="Cambria"/>
                <w:lang w:val="en-US"/>
              </w:rPr>
            </w:pPr>
            <w:r w:rsidRPr="00A17A3C">
              <w:rPr>
                <w:rFonts w:ascii="Cambria" w:hAnsi="Cambria"/>
                <w:lang w:val="en-US"/>
              </w:rPr>
              <w:t>15/04</w:t>
            </w:r>
            <w:r w:rsidR="00AA7DFA" w:rsidRPr="00A17A3C">
              <w:rPr>
                <w:rFonts w:ascii="Cambria" w:hAnsi="Cambria"/>
                <w:lang w:val="en-US"/>
              </w:rPr>
              <w:t>/2022</w:t>
            </w:r>
          </w:p>
          <w:p w:rsidR="00AA7DFA" w:rsidRPr="00A17A3C" w:rsidRDefault="00AA7DFA" w:rsidP="00175B42">
            <w:pPr>
              <w:pStyle w:val="TableParagraph"/>
              <w:jc w:val="center"/>
              <w:rPr>
                <w:rFonts w:ascii="Cambria" w:hAnsi="Cambria"/>
                <w:lang w:val="en-US"/>
              </w:rPr>
            </w:pPr>
          </w:p>
        </w:tc>
      </w:tr>
      <w:tr w:rsidR="00E806B1" w:rsidRPr="00A17A3C" w:rsidTr="00175B42">
        <w:trPr>
          <w:trHeight w:val="731"/>
        </w:trPr>
        <w:tc>
          <w:tcPr>
            <w:tcW w:w="709" w:type="dxa"/>
            <w:tcBorders>
              <w:top w:val="single" w:sz="4" w:space="0" w:color="000000"/>
              <w:left w:val="single" w:sz="4" w:space="0" w:color="000000"/>
              <w:bottom w:val="single" w:sz="4" w:space="0" w:color="000000"/>
              <w:right w:val="single" w:sz="4" w:space="0" w:color="000000"/>
            </w:tcBorders>
          </w:tcPr>
          <w:p w:rsidR="00E806B1" w:rsidRPr="00A17A3C" w:rsidRDefault="00E806B1" w:rsidP="00AA7DFA">
            <w:pPr>
              <w:pStyle w:val="TableParagraph"/>
              <w:numPr>
                <w:ilvl w:val="0"/>
                <w:numId w:val="10"/>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E806B1" w:rsidRPr="00A17A3C" w:rsidRDefault="00E806B1" w:rsidP="00175B42">
            <w:pPr>
              <w:pStyle w:val="TableParagraph"/>
              <w:spacing w:line="254" w:lineRule="auto"/>
              <w:ind w:left="142" w:right="90"/>
              <w:jc w:val="both"/>
              <w:rPr>
                <w:rFonts w:ascii="Cambria" w:hAnsi="Cambria"/>
                <w:lang w:val="en-US"/>
              </w:rPr>
            </w:pPr>
            <w:r w:rsidRPr="00A17A3C">
              <w:rPr>
                <w:rFonts w:ascii="Cambria" w:hAnsi="Cambria"/>
                <w:lang w:val="en-US"/>
              </w:rPr>
              <w:t>Circular 18/2022/TT-BTC amending and supplementing a number of articles of Circular No. 36/2019/TT-BTC dated June 17, 2019 of the Ministry of Finance guiding business activities of self-selecting lottery numbers maths</w:t>
            </w:r>
          </w:p>
        </w:tc>
        <w:tc>
          <w:tcPr>
            <w:tcW w:w="1559" w:type="dxa"/>
            <w:tcBorders>
              <w:top w:val="single" w:sz="4" w:space="0" w:color="000000"/>
              <w:left w:val="single" w:sz="4" w:space="0" w:color="000000"/>
              <w:bottom w:val="single" w:sz="4" w:space="0" w:color="000000"/>
              <w:right w:val="single" w:sz="4" w:space="0" w:color="000000"/>
            </w:tcBorders>
          </w:tcPr>
          <w:p w:rsidR="00E806B1" w:rsidRPr="00A17A3C" w:rsidRDefault="00E806B1" w:rsidP="00175B42">
            <w:pPr>
              <w:pStyle w:val="TableParagraph"/>
              <w:ind w:left="108"/>
              <w:jc w:val="center"/>
              <w:rPr>
                <w:rFonts w:ascii="Cambria" w:hAnsi="Cambria"/>
                <w:lang w:val="en-US"/>
              </w:rPr>
            </w:pPr>
            <w:r w:rsidRPr="00A17A3C">
              <w:rPr>
                <w:rFonts w:ascii="Cambria" w:hAnsi="Cambria"/>
                <w:lang w:val="en-US"/>
              </w:rPr>
              <w:t>15/3/2022</w:t>
            </w:r>
          </w:p>
        </w:tc>
        <w:tc>
          <w:tcPr>
            <w:tcW w:w="1571" w:type="dxa"/>
            <w:tcBorders>
              <w:top w:val="single" w:sz="4" w:space="0" w:color="000000"/>
              <w:left w:val="single" w:sz="4" w:space="0" w:color="000000"/>
              <w:bottom w:val="single" w:sz="4" w:space="0" w:color="000000"/>
              <w:right w:val="single" w:sz="4" w:space="0" w:color="000000"/>
            </w:tcBorders>
          </w:tcPr>
          <w:p w:rsidR="00E806B1" w:rsidRPr="00A17A3C" w:rsidRDefault="00E806B1" w:rsidP="00175B42">
            <w:pPr>
              <w:spacing w:line="252" w:lineRule="auto"/>
              <w:jc w:val="center"/>
              <w:rPr>
                <w:rFonts w:ascii="Cambria" w:hAnsi="Cambria"/>
                <w:lang w:val="en-US"/>
              </w:rPr>
            </w:pPr>
            <w:r w:rsidRPr="00A17A3C">
              <w:rPr>
                <w:rFonts w:ascii="Cambria" w:hAnsi="Cambria"/>
                <w:lang w:val="en-US"/>
              </w:rPr>
              <w:t>28/4/2022</w:t>
            </w:r>
          </w:p>
        </w:tc>
      </w:tr>
      <w:bookmarkEnd w:id="5"/>
    </w:tbl>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r w:rsidRPr="00A17A3C">
        <w:rPr>
          <w:rFonts w:ascii="Cambria" w:hAnsi="Cambria"/>
          <w:lang w:val="en-US"/>
        </w:rPr>
        <w:lastRenderedPageBreak/>
        <w:t>We hope this Legal Newsletter has a lot of useful information.</w:t>
      </w:r>
    </w:p>
    <w:p w:rsidR="00AA7DFA" w:rsidRPr="00A17A3C" w:rsidRDefault="00AA7DFA" w:rsidP="00AA7DFA">
      <w:pPr>
        <w:jc w:val="both"/>
        <w:rPr>
          <w:rFonts w:ascii="Cambria" w:hAnsi="Cambria"/>
          <w:lang w:val="en-US"/>
        </w:rPr>
      </w:pPr>
    </w:p>
    <w:p w:rsidR="00AA7DFA" w:rsidRPr="00A17A3C" w:rsidRDefault="00AA7DFA" w:rsidP="00AA7DFA">
      <w:pPr>
        <w:rPr>
          <w:rFonts w:ascii="Cambria" w:hAnsi="Cambria"/>
          <w:lang w:val="en-US"/>
        </w:rPr>
      </w:pPr>
      <w:r w:rsidRPr="00A17A3C">
        <w:rPr>
          <w:rFonts w:ascii="Cambria" w:hAnsi="Cambria"/>
          <w:lang w:val="en-US"/>
        </w:rPr>
        <w:t>Best Regards.</w:t>
      </w:r>
    </w:p>
    <w:p w:rsidR="00AA7DFA" w:rsidRPr="00A17A3C" w:rsidRDefault="00AA7DFA" w:rsidP="00AA7DFA">
      <w:pPr>
        <w:jc w:val="both"/>
        <w:rPr>
          <w:rFonts w:ascii="Cambria" w:hAnsi="Cambria"/>
          <w:lang w:val="en-US"/>
        </w:rPr>
      </w:pPr>
    </w:p>
    <w:p w:rsidR="00AA7DFA" w:rsidRPr="00A17A3C" w:rsidRDefault="00AA7DFA" w:rsidP="00AA7DFA">
      <w:pPr>
        <w:spacing w:line="252" w:lineRule="auto"/>
        <w:contextualSpacing/>
        <w:jc w:val="both"/>
        <w:rPr>
          <w:rFonts w:ascii="Amasis MT Pro" w:hAnsi="Amasis MT Pro"/>
          <w:lang w:val="en-US"/>
        </w:rPr>
      </w:pPr>
    </w:p>
    <w:p w:rsidR="00AA7DFA" w:rsidRPr="00A17A3C" w:rsidRDefault="00AA7DFA" w:rsidP="00AA7DFA">
      <w:pPr>
        <w:spacing w:line="252" w:lineRule="auto"/>
        <w:contextualSpacing/>
        <w:jc w:val="both"/>
        <w:rPr>
          <w:rFonts w:ascii="Amasis MT Pro" w:hAnsi="Amasis MT Pro"/>
          <w:lang w:val="en-US"/>
        </w:rPr>
      </w:pPr>
    </w:p>
    <w:p w:rsidR="00AA7DFA" w:rsidRPr="00A17A3C" w:rsidRDefault="00AA7DFA" w:rsidP="00AA7DFA">
      <w:pPr>
        <w:spacing w:line="252" w:lineRule="auto"/>
        <w:contextualSpacing/>
        <w:jc w:val="both"/>
        <w:rPr>
          <w:rFonts w:ascii="Amasis MT Pro" w:hAnsi="Amasis MT Pro"/>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tbl>
      <w:tblPr>
        <w:tblpPr w:leftFromText="180" w:rightFromText="180" w:vertAnchor="page" w:horzAnchor="margin" w:tblpY="6301"/>
        <w:tblOverlap w:val="never"/>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A17A3C" w:rsidRPr="001244C0" w:rsidTr="00A17A3C">
        <w:trPr>
          <w:trHeight w:val="4343"/>
        </w:trPr>
        <w:tc>
          <w:tcPr>
            <w:tcW w:w="20" w:type="dxa"/>
            <w:tcBorders>
              <w:top w:val="nil"/>
              <w:left w:val="nil"/>
              <w:right w:val="nil"/>
            </w:tcBorders>
          </w:tcPr>
          <w:p w:rsidR="00A17A3C" w:rsidRPr="001244C0" w:rsidRDefault="00A17A3C" w:rsidP="00A17A3C">
            <w:pPr>
              <w:rPr>
                <w:rFonts w:ascii="Cambria" w:hAnsi="Cambria"/>
                <w:color w:val="000000" w:themeColor="text1"/>
                <w:lang w:val="en-US"/>
              </w:rPr>
            </w:pPr>
            <w:bookmarkStart w:id="6" w:name="_Hlk75963262"/>
          </w:p>
        </w:tc>
        <w:tc>
          <w:tcPr>
            <w:tcW w:w="8391" w:type="dxa"/>
            <w:tcBorders>
              <w:top w:val="double" w:sz="1" w:space="0" w:color="000000"/>
              <w:left w:val="nil"/>
              <w:right w:val="nil"/>
            </w:tcBorders>
            <w:shd w:val="clear" w:color="auto" w:fill="D9E1F3"/>
          </w:tcPr>
          <w:p w:rsidR="00A17A3C" w:rsidRPr="001244C0" w:rsidRDefault="00A17A3C" w:rsidP="00A17A3C">
            <w:pPr>
              <w:rPr>
                <w:rFonts w:ascii="Cambria" w:hAnsi="Cambria"/>
                <w:b/>
                <w:color w:val="000000" w:themeColor="text1"/>
                <w:lang w:val="en-US"/>
              </w:rPr>
            </w:pPr>
          </w:p>
          <w:p w:rsidR="00A17A3C" w:rsidRPr="001244C0" w:rsidRDefault="00A17A3C" w:rsidP="00A17A3C">
            <w:pPr>
              <w:ind w:left="68" w:right="102" w:hanging="17"/>
              <w:contextualSpacing/>
              <w:jc w:val="both"/>
              <w:rPr>
                <w:rFonts w:ascii="Cambria" w:hAnsi="Cambria" w:cs="Arial"/>
                <w:lang w:val="en-US" w:eastAsia="en-GB"/>
              </w:rPr>
            </w:pPr>
            <w:r w:rsidRPr="001244C0">
              <w:rPr>
                <w:rFonts w:ascii="Cambria" w:hAnsi="Cambria" w:cs="Arial"/>
                <w:lang w:val="en-US" w:eastAsia="en-GB"/>
              </w:rPr>
              <w:t>This document has been only prepared for general</w:t>
            </w:r>
            <w:r w:rsidRPr="001244C0">
              <w:rPr>
                <w:rFonts w:ascii="Cambria" w:hAnsi="Cambria"/>
                <w:lang w:val="en-US"/>
              </w:rPr>
              <w:t xml:space="preserve"> </w:t>
            </w:r>
            <w:r w:rsidRPr="001244C0">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A17A3C" w:rsidRPr="001244C0" w:rsidRDefault="00A17A3C" w:rsidP="00A17A3C">
            <w:pPr>
              <w:ind w:left="68" w:right="102" w:hanging="17"/>
              <w:contextualSpacing/>
              <w:jc w:val="both"/>
              <w:rPr>
                <w:rFonts w:ascii="Cambria" w:hAnsi="Cambria" w:cs="Arial"/>
                <w:lang w:val="en-US" w:eastAsia="en-GB"/>
              </w:rPr>
            </w:pPr>
          </w:p>
          <w:p w:rsidR="00A17A3C" w:rsidRPr="001244C0" w:rsidRDefault="00A17A3C" w:rsidP="00A17A3C">
            <w:pPr>
              <w:ind w:left="68" w:right="102" w:hanging="17"/>
              <w:contextualSpacing/>
              <w:jc w:val="both"/>
              <w:rPr>
                <w:rFonts w:ascii="Cambria" w:hAnsi="Cambria" w:cs="Arial"/>
                <w:lang w:val="en-US" w:eastAsia="en-GB"/>
              </w:rPr>
            </w:pPr>
            <w:r w:rsidRPr="001244C0">
              <w:rPr>
                <w:rFonts w:ascii="Cambria" w:hAnsi="Cambria" w:cs="Arial"/>
                <w:lang w:val="en-US" w:eastAsia="en-GB"/>
              </w:rPr>
              <w:t>If you have or suspect that you may have a particular problem, you should contact us or your lawyer for specific advice on the matter.</w:t>
            </w:r>
          </w:p>
          <w:p w:rsidR="00A17A3C" w:rsidRPr="001244C0" w:rsidRDefault="00A17A3C" w:rsidP="00A17A3C">
            <w:pPr>
              <w:ind w:left="68" w:right="102" w:hanging="17"/>
              <w:contextualSpacing/>
              <w:jc w:val="both"/>
              <w:rPr>
                <w:rFonts w:ascii="Cambria" w:hAnsi="Cambria" w:cs="Arial"/>
                <w:lang w:val="en-US" w:eastAsia="en-GB"/>
              </w:rPr>
            </w:pPr>
          </w:p>
          <w:p w:rsidR="00A17A3C" w:rsidRPr="001244C0" w:rsidRDefault="00A17A3C" w:rsidP="00A17A3C">
            <w:pPr>
              <w:ind w:left="68" w:right="102" w:hanging="17"/>
              <w:contextualSpacing/>
              <w:jc w:val="center"/>
              <w:rPr>
                <w:rFonts w:ascii="Cambria" w:hAnsi="Cambria" w:cs="Arial"/>
                <w:b/>
                <w:bCs/>
                <w:lang w:val="en-US" w:eastAsia="en-GB"/>
              </w:rPr>
            </w:pPr>
            <w:r w:rsidRPr="001244C0">
              <w:rPr>
                <w:rFonts w:ascii="Cambria" w:hAnsi="Cambria" w:cs="Arial"/>
                <w:b/>
                <w:bCs/>
                <w:lang w:val="en-US" w:eastAsia="en-GB"/>
              </w:rPr>
              <w:t>ADK VIET NAM LAWYERS</w:t>
            </w:r>
          </w:p>
          <w:p w:rsidR="00A17A3C" w:rsidRPr="001244C0" w:rsidRDefault="00A17A3C" w:rsidP="00A17A3C">
            <w:pPr>
              <w:ind w:left="68" w:right="102" w:hanging="17"/>
              <w:contextualSpacing/>
              <w:jc w:val="both"/>
              <w:rPr>
                <w:rFonts w:ascii="Cambria" w:hAnsi="Cambria" w:cs="Arial"/>
                <w:b/>
                <w:bCs/>
                <w:lang w:val="en-US" w:eastAsia="en-GB"/>
              </w:rPr>
            </w:pPr>
          </w:p>
          <w:p w:rsidR="00A17A3C" w:rsidRPr="001244C0" w:rsidRDefault="00A17A3C" w:rsidP="00A17A3C">
            <w:pPr>
              <w:rPr>
                <w:rFonts w:ascii="Cambria" w:hAnsi="Cambria"/>
                <w:color w:val="000000"/>
                <w:lang w:val="en-US"/>
              </w:rPr>
            </w:pPr>
            <w:r w:rsidRPr="001244C0">
              <w:rPr>
                <w:rFonts w:ascii="Cambria" w:hAnsi="Cambria"/>
                <w:b/>
                <w:bCs/>
                <w:color w:val="000000"/>
                <w:lang w:val="en-US"/>
              </w:rPr>
              <w:t>Ho Chi Minh Office</w:t>
            </w:r>
            <w:r w:rsidRPr="001244C0">
              <w:rPr>
                <w:rFonts w:ascii="Cambria" w:hAnsi="Cambria"/>
                <w:color w:val="000000"/>
                <w:lang w:val="en-US"/>
              </w:rPr>
              <w:t>: Ground Fl. HBT Tower, 456-458 Hai Ba Trung Str., Tan Dinh Ward, District 1, HCM City, VN</w:t>
            </w:r>
          </w:p>
          <w:p w:rsidR="00A17A3C" w:rsidRPr="001244C0" w:rsidRDefault="00A17A3C" w:rsidP="00A17A3C">
            <w:pPr>
              <w:rPr>
                <w:rFonts w:ascii="Cambria" w:hAnsi="Cambria"/>
                <w:color w:val="000000"/>
                <w:lang w:val="en-US"/>
              </w:rPr>
            </w:pPr>
            <w:r w:rsidRPr="001244C0">
              <w:rPr>
                <w:rFonts w:ascii="Cambria" w:hAnsi="Cambria"/>
                <w:b/>
                <w:bCs/>
                <w:color w:val="000000"/>
                <w:lang w:val="en-US"/>
              </w:rPr>
              <w:t>Ha Noi Office</w:t>
            </w:r>
            <w:r w:rsidRPr="001244C0">
              <w:rPr>
                <w:rFonts w:ascii="Cambria" w:hAnsi="Cambria"/>
                <w:color w:val="000000"/>
                <w:lang w:val="en-US"/>
              </w:rPr>
              <w:t>: </w:t>
            </w:r>
            <w:r w:rsidRPr="001244C0">
              <w:rPr>
                <w:rFonts w:ascii="Cambria" w:hAnsi="Cambria"/>
                <w:color w:val="333333"/>
                <w:lang w:val="en-US"/>
              </w:rPr>
              <w:t>Ground Fl. Pax Sky Building, 63-65 Ngo Thi Nham Str., Pham Dinh Ho Ward, Hai Ba Trung District, Hanoi City, VN</w:t>
            </w:r>
            <w:r w:rsidRPr="001244C0">
              <w:rPr>
                <w:rFonts w:ascii="Cambria" w:hAnsi="Cambria"/>
                <w:color w:val="000000"/>
                <w:lang w:val="en-US"/>
              </w:rPr>
              <w:t>    </w:t>
            </w:r>
          </w:p>
          <w:p w:rsidR="00A17A3C" w:rsidRPr="001244C0" w:rsidRDefault="00A17A3C" w:rsidP="00A17A3C">
            <w:pPr>
              <w:pStyle w:val="ListParagraph"/>
              <w:spacing w:line="264" w:lineRule="auto"/>
              <w:ind w:left="0"/>
              <w:jc w:val="both"/>
              <w:rPr>
                <w:rFonts w:ascii="Cambria" w:hAnsi="Cambria" w:cs="Arial"/>
                <w:lang w:val="en-US" w:eastAsia="en-GB"/>
              </w:rPr>
            </w:pPr>
            <w:r w:rsidRPr="001244C0">
              <w:rPr>
                <w:rFonts w:ascii="Cambria" w:hAnsi="Cambria" w:cs="Arial"/>
                <w:lang w:val="en-US" w:eastAsia="en-GB"/>
              </w:rPr>
              <w:t>Hotline: (+84) 28 66 79 79 66 or (+84) 939 107 387</w:t>
            </w:r>
          </w:p>
          <w:p w:rsidR="00A17A3C" w:rsidRPr="001244C0" w:rsidRDefault="00A17A3C" w:rsidP="00A17A3C">
            <w:pPr>
              <w:ind w:left="68" w:right="102" w:hanging="17"/>
              <w:contextualSpacing/>
              <w:jc w:val="both"/>
              <w:rPr>
                <w:rFonts w:ascii="Cambria" w:hAnsi="Cambria" w:cs="Arial"/>
                <w:color w:val="0000FF"/>
                <w:u w:val="single"/>
                <w:lang w:val="en-US" w:eastAsia="en-GB"/>
              </w:rPr>
            </w:pPr>
            <w:r w:rsidRPr="001244C0">
              <w:rPr>
                <w:rFonts w:ascii="Cambria" w:hAnsi="Cambria" w:cs="Arial"/>
                <w:lang w:val="en-US" w:eastAsia="en-GB"/>
              </w:rPr>
              <w:t xml:space="preserve">Email: </w:t>
            </w:r>
            <w:hyperlink r:id="rId9" w:history="1">
              <w:r w:rsidRPr="001244C0">
                <w:rPr>
                  <w:rFonts w:ascii="Cambria" w:hAnsi="Cambria" w:cs="Arial"/>
                  <w:color w:val="0000FF"/>
                  <w:u w:val="single"/>
                  <w:lang w:val="en-US" w:eastAsia="en-GB"/>
                </w:rPr>
                <w:t>info@adk-lawyers.com</w:t>
              </w:r>
            </w:hyperlink>
          </w:p>
          <w:p w:rsidR="00A17A3C" w:rsidRPr="001244C0" w:rsidRDefault="00A17A3C" w:rsidP="00A17A3C">
            <w:pPr>
              <w:ind w:left="68" w:right="102" w:hanging="17"/>
              <w:contextualSpacing/>
              <w:jc w:val="both"/>
              <w:rPr>
                <w:rFonts w:ascii="Cambria" w:hAnsi="Cambria" w:cs="Arial"/>
                <w:lang w:val="en-US" w:eastAsia="en-GB"/>
              </w:rPr>
            </w:pPr>
            <w:r w:rsidRPr="001244C0">
              <w:rPr>
                <w:rFonts w:ascii="Cambria" w:hAnsi="Cambria" w:cs="Arial"/>
                <w:lang w:val="en-US" w:eastAsia="en-GB"/>
              </w:rPr>
              <w:t>W</w:t>
            </w:r>
            <w:r w:rsidRPr="001244C0">
              <w:rPr>
                <w:rFonts w:ascii="Cambria" w:hAnsi="Cambria" w:cs="Arial"/>
                <w:lang w:val="en-US"/>
              </w:rPr>
              <w:t xml:space="preserve">ebsite: </w:t>
            </w:r>
            <w:hyperlink r:id="rId10" w:history="1">
              <w:r w:rsidRPr="001244C0">
                <w:rPr>
                  <w:rFonts w:ascii="Cambria" w:hAnsi="Cambria" w:cs="Arial"/>
                  <w:color w:val="0000FF"/>
                  <w:u w:val="single"/>
                  <w:lang w:val="en-US"/>
                </w:rPr>
                <w:t>www.adk-lawyers.com</w:t>
              </w:r>
            </w:hyperlink>
            <w:r w:rsidRPr="001244C0">
              <w:rPr>
                <w:rFonts w:ascii="Cambria" w:hAnsi="Cambria" w:cs="Arial"/>
                <w:lang w:val="en-US"/>
              </w:rPr>
              <w:t xml:space="preserve">  </w:t>
            </w:r>
          </w:p>
          <w:p w:rsidR="00A17A3C" w:rsidRPr="001244C0" w:rsidRDefault="00A17A3C" w:rsidP="00A17A3C">
            <w:pPr>
              <w:jc w:val="both"/>
              <w:rPr>
                <w:rFonts w:ascii="Cambria" w:hAnsi="Cambria"/>
                <w:color w:val="000000" w:themeColor="text1"/>
                <w:lang w:val="en-US"/>
              </w:rPr>
            </w:pPr>
          </w:p>
        </w:tc>
        <w:tc>
          <w:tcPr>
            <w:tcW w:w="20" w:type="dxa"/>
            <w:tcBorders>
              <w:top w:val="nil"/>
              <w:left w:val="nil"/>
              <w:bottom w:val="single" w:sz="4" w:space="0" w:color="000000"/>
              <w:right w:val="nil"/>
            </w:tcBorders>
          </w:tcPr>
          <w:p w:rsidR="00A17A3C" w:rsidRPr="001244C0" w:rsidRDefault="00A17A3C" w:rsidP="00A17A3C">
            <w:pPr>
              <w:rPr>
                <w:rFonts w:ascii="Cambria" w:hAnsi="Cambria"/>
                <w:color w:val="000000" w:themeColor="text1"/>
                <w:lang w:val="en-US"/>
              </w:rPr>
            </w:pPr>
          </w:p>
        </w:tc>
      </w:tr>
      <w:bookmarkEnd w:id="6"/>
    </w:tbl>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jc w:val="both"/>
        <w:rPr>
          <w:rFonts w:ascii="Cambria" w:hAnsi="Cambria"/>
          <w:lang w:val="en-US"/>
        </w:rPr>
      </w:pPr>
    </w:p>
    <w:p w:rsidR="00AA7DFA" w:rsidRPr="00A17A3C" w:rsidRDefault="00AA7DFA" w:rsidP="00AA7DFA">
      <w:pPr>
        <w:pStyle w:val="BodyText"/>
        <w:spacing w:before="1"/>
        <w:rPr>
          <w:rFonts w:ascii="Cambria" w:hAnsi="Cambria"/>
          <w:b/>
          <w:lang w:val="en-US"/>
        </w:rPr>
      </w:pPr>
    </w:p>
    <w:p w:rsidR="00AA7DFA" w:rsidRPr="00A17A3C" w:rsidRDefault="00AA7DFA" w:rsidP="00AA7DFA">
      <w:pPr>
        <w:rPr>
          <w:rFonts w:ascii="Cambria" w:hAnsi="Cambria"/>
          <w:lang w:val="en-US"/>
        </w:rPr>
      </w:pPr>
    </w:p>
    <w:p w:rsidR="00AA7DFA" w:rsidRPr="00A17A3C" w:rsidRDefault="00AA7DFA" w:rsidP="00AA7DFA">
      <w:pPr>
        <w:rPr>
          <w:lang w:val="en-US"/>
        </w:rPr>
      </w:pPr>
    </w:p>
    <w:p w:rsidR="009F1ED6" w:rsidRPr="00A17A3C" w:rsidRDefault="00982D45" w:rsidP="00AA7DFA">
      <w:pPr>
        <w:rPr>
          <w:lang w:val="en-US"/>
        </w:rPr>
      </w:pPr>
    </w:p>
    <w:sectPr w:rsidR="009F1ED6" w:rsidRPr="00A17A3C" w:rsidSect="00030BCD">
      <w:headerReference w:type="default" r:id="rId11"/>
      <w:footerReference w:type="defaul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D45" w:rsidRDefault="00982D45">
      <w:r>
        <w:separator/>
      </w:r>
    </w:p>
  </w:endnote>
  <w:endnote w:type="continuationSeparator" w:id="0">
    <w:p w:rsidR="00982D45" w:rsidRDefault="0098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00000001" w:usb1="4000205B" w:usb2="00000000" w:usb3="00000000" w:csb0="00000093"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42" w:rsidRPr="00591F1C" w:rsidRDefault="00E806B1" w:rsidP="00961B42">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Vietnam Lawyers</w:t>
    </w:r>
  </w:p>
  <w:p w:rsidR="00961B42" w:rsidRPr="00961B42" w:rsidRDefault="00982D45" w:rsidP="00961B42">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E806B1" w:rsidRPr="00591F1C">
        <w:rPr>
          <w:rStyle w:val="Hyperlink"/>
          <w:sz w:val="18"/>
          <w:szCs w:val="18"/>
          <w:lang w:val="en"/>
        </w:rPr>
        <w:t>www.adk</w:t>
      </w:r>
      <w:r w:rsidR="00E806B1" w:rsidRPr="005C3A0B">
        <w:rPr>
          <w:rStyle w:val="Hyperlink"/>
          <w:sz w:val="18"/>
          <w:szCs w:val="18"/>
          <w:lang w:val="en"/>
        </w:rPr>
        <w:t>-lawyers</w:t>
      </w:r>
      <w:r w:rsidR="00E806B1"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D45" w:rsidRDefault="00982D45">
      <w:r>
        <w:separator/>
      </w:r>
    </w:p>
  </w:footnote>
  <w:footnote w:type="continuationSeparator" w:id="0">
    <w:p w:rsidR="00982D45" w:rsidRDefault="00982D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42" w:rsidRDefault="00E806B1">
    <w:pPr>
      <w:pStyle w:val="Header"/>
    </w:pPr>
    <w:r>
      <w:rPr>
        <w:noProof/>
        <w:lang w:val="en-US"/>
      </w:rPr>
      <w:drawing>
        <wp:anchor distT="0" distB="0" distL="114300" distR="114300" simplePos="0" relativeHeight="251659264" behindDoc="1" locked="0" layoutInCell="1" allowOverlap="1" wp14:anchorId="7787D5C6" wp14:editId="3121142D">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DB2EA1"/>
    <w:multiLevelType w:val="hybridMultilevel"/>
    <w:tmpl w:val="D34A6F40"/>
    <w:lvl w:ilvl="0" w:tplc="F3661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170C6"/>
    <w:multiLevelType w:val="hybridMultilevel"/>
    <w:tmpl w:val="165E7636"/>
    <w:lvl w:ilvl="0" w:tplc="AFF258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7A1ACC"/>
    <w:multiLevelType w:val="hybridMultilevel"/>
    <w:tmpl w:val="9CA8826E"/>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6" w15:restartNumberingAfterBreak="0">
    <w:nsid w:val="4BEF4674"/>
    <w:multiLevelType w:val="hybridMultilevel"/>
    <w:tmpl w:val="09B84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A772B4"/>
    <w:multiLevelType w:val="hybridMultilevel"/>
    <w:tmpl w:val="BBBC9704"/>
    <w:lvl w:ilvl="0" w:tplc="63B8DF8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62E65F9C"/>
    <w:multiLevelType w:val="hybridMultilevel"/>
    <w:tmpl w:val="87506D7C"/>
    <w:lvl w:ilvl="0" w:tplc="BB5AFD64">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8F42C7"/>
    <w:multiLevelType w:val="hybridMultilevel"/>
    <w:tmpl w:val="2EA4C7A0"/>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3A45B07"/>
    <w:multiLevelType w:val="hybridMultilevel"/>
    <w:tmpl w:val="F66AFD46"/>
    <w:lvl w:ilvl="0" w:tplc="075CD174">
      <w:start w:val="1"/>
      <w:numFmt w:val="bullet"/>
      <w:lvlText w:val="-"/>
      <w:lvlJc w:val="left"/>
      <w:pPr>
        <w:ind w:left="1789" w:hanging="360"/>
      </w:pPr>
      <w:rPr>
        <w:rFonts w:ascii="Cambria" w:eastAsia="Times New Roman" w:hAnsi="Cambria"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15:restartNumberingAfterBreak="0">
    <w:nsid w:val="75410494"/>
    <w:multiLevelType w:val="hybridMultilevel"/>
    <w:tmpl w:val="27DA2CDA"/>
    <w:lvl w:ilvl="0" w:tplc="23200582">
      <w:numFmt w:val="bullet"/>
      <w:lvlText w:val="-"/>
      <w:lvlJc w:val="left"/>
      <w:pPr>
        <w:ind w:left="2160" w:hanging="360"/>
      </w:pPr>
      <w:rPr>
        <w:rFonts w:ascii="Cambria" w:eastAsia="Times New Roman" w:hAnsi="Cambria" w:cs="Times New Roman" w:hint="default"/>
      </w:rPr>
    </w:lvl>
    <w:lvl w:ilvl="1" w:tplc="FEBAB228">
      <w:start w:val="5"/>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1"/>
  </w:num>
  <w:num w:numId="6">
    <w:abstractNumId w:val="12"/>
  </w:num>
  <w:num w:numId="7">
    <w:abstractNumId w:val="2"/>
  </w:num>
  <w:num w:numId="8">
    <w:abstractNumId w:val="9"/>
  </w:num>
  <w:num w:numId="9">
    <w:abstractNumId w:val="6"/>
  </w:num>
  <w:num w:numId="10">
    <w:abstractNumId w:val="0"/>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E0"/>
    <w:rsid w:val="00002F8A"/>
    <w:rsid w:val="001C2F01"/>
    <w:rsid w:val="002747E7"/>
    <w:rsid w:val="002B3C92"/>
    <w:rsid w:val="0060463D"/>
    <w:rsid w:val="00623C73"/>
    <w:rsid w:val="00802DC8"/>
    <w:rsid w:val="00982D45"/>
    <w:rsid w:val="00A17A3C"/>
    <w:rsid w:val="00AA7DFA"/>
    <w:rsid w:val="00C64CF6"/>
    <w:rsid w:val="00E10FA6"/>
    <w:rsid w:val="00E1242E"/>
    <w:rsid w:val="00E67676"/>
    <w:rsid w:val="00E806B1"/>
    <w:rsid w:val="00EE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8EC5"/>
  <w15:chartTrackingRefBased/>
  <w15:docId w15:val="{A76ED3B0-70CD-4542-8F31-59E1079F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DF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A7DFA"/>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DFA"/>
    <w:rPr>
      <w:rFonts w:ascii="Times New Roman" w:eastAsia="Times New Roman" w:hAnsi="Times New Roman" w:cs="Times New Roman"/>
      <w:b/>
      <w:bCs/>
      <w:lang w:val="vi"/>
    </w:rPr>
  </w:style>
  <w:style w:type="paragraph" w:styleId="BodyText">
    <w:name w:val="Body Text"/>
    <w:basedOn w:val="Normal"/>
    <w:link w:val="BodyTextChar"/>
    <w:uiPriority w:val="1"/>
    <w:qFormat/>
    <w:rsid w:val="00AA7DFA"/>
  </w:style>
  <w:style w:type="character" w:customStyle="1" w:styleId="BodyTextChar">
    <w:name w:val="Body Text Char"/>
    <w:basedOn w:val="DefaultParagraphFont"/>
    <w:link w:val="BodyText"/>
    <w:uiPriority w:val="1"/>
    <w:rsid w:val="00AA7DFA"/>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AA7DFA"/>
    <w:pPr>
      <w:ind w:left="1557" w:hanging="721"/>
    </w:pPr>
  </w:style>
  <w:style w:type="paragraph" w:styleId="Header">
    <w:name w:val="header"/>
    <w:basedOn w:val="Normal"/>
    <w:link w:val="HeaderChar"/>
    <w:uiPriority w:val="99"/>
    <w:unhideWhenUsed/>
    <w:rsid w:val="00AA7DFA"/>
    <w:pPr>
      <w:tabs>
        <w:tab w:val="center" w:pos="4680"/>
        <w:tab w:val="right" w:pos="9360"/>
      </w:tabs>
    </w:pPr>
  </w:style>
  <w:style w:type="character" w:customStyle="1" w:styleId="HeaderChar">
    <w:name w:val="Header Char"/>
    <w:basedOn w:val="DefaultParagraphFont"/>
    <w:link w:val="Header"/>
    <w:uiPriority w:val="99"/>
    <w:rsid w:val="00AA7DFA"/>
    <w:rPr>
      <w:rFonts w:ascii="Times New Roman" w:eastAsia="Times New Roman" w:hAnsi="Times New Roman" w:cs="Times New Roman"/>
      <w:lang w:val="vi"/>
    </w:rPr>
  </w:style>
  <w:style w:type="character" w:styleId="Hyperlink">
    <w:name w:val="Hyperlink"/>
    <w:uiPriority w:val="99"/>
    <w:unhideWhenUsed/>
    <w:rsid w:val="00AA7DFA"/>
    <w:rPr>
      <w:color w:val="0000FF"/>
      <w:u w:val="single"/>
    </w:rPr>
  </w:style>
  <w:style w:type="paragraph" w:styleId="Title">
    <w:name w:val="Title"/>
    <w:basedOn w:val="Normal"/>
    <w:link w:val="TitleChar"/>
    <w:uiPriority w:val="10"/>
    <w:qFormat/>
    <w:rsid w:val="00AA7DFA"/>
    <w:pPr>
      <w:spacing w:before="95" w:line="466" w:lineRule="exact"/>
      <w:ind w:left="6003"/>
    </w:pPr>
    <w:rPr>
      <w:b/>
      <w:bCs/>
      <w:sz w:val="40"/>
      <w:szCs w:val="40"/>
    </w:rPr>
  </w:style>
  <w:style w:type="character" w:customStyle="1" w:styleId="TitleChar">
    <w:name w:val="Title Char"/>
    <w:basedOn w:val="DefaultParagraphFont"/>
    <w:link w:val="Title"/>
    <w:uiPriority w:val="10"/>
    <w:rsid w:val="00AA7DFA"/>
    <w:rPr>
      <w:rFonts w:ascii="Times New Roman" w:eastAsia="Times New Roman" w:hAnsi="Times New Roman" w:cs="Times New Roman"/>
      <w:b/>
      <w:bCs/>
      <w:sz w:val="40"/>
      <w:szCs w:val="40"/>
      <w:lang w:val="vi"/>
    </w:rPr>
  </w:style>
  <w:style w:type="paragraph" w:customStyle="1" w:styleId="TableParagraph">
    <w:name w:val="Table Paragraph"/>
    <w:basedOn w:val="Normal"/>
    <w:uiPriority w:val="1"/>
    <w:qFormat/>
    <w:rsid w:val="00AA7DFA"/>
    <w:pPr>
      <w:spacing w:line="256" w:lineRule="exact"/>
      <w:ind w:left="103"/>
    </w:pPr>
  </w:style>
  <w:style w:type="table" w:styleId="TableGrid">
    <w:name w:val="Table Grid"/>
    <w:basedOn w:val="TableNormal"/>
    <w:uiPriority w:val="59"/>
    <w:rsid w:val="00AA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A7DFA"/>
    <w:rPr>
      <w:rFonts w:ascii="Times New Roman" w:eastAsia="Times New Roman" w:hAnsi="Times New Roman" w:cs="Times New Roman"/>
      <w:lang w:val="vi"/>
    </w:rPr>
  </w:style>
  <w:style w:type="paragraph" w:styleId="Footer">
    <w:name w:val="footer"/>
    <w:basedOn w:val="Normal"/>
    <w:link w:val="FooterChar"/>
    <w:uiPriority w:val="99"/>
    <w:unhideWhenUsed/>
    <w:rsid w:val="00AA7DFA"/>
    <w:pPr>
      <w:tabs>
        <w:tab w:val="center" w:pos="4680"/>
        <w:tab w:val="right" w:pos="9360"/>
      </w:tabs>
    </w:pPr>
  </w:style>
  <w:style w:type="character" w:customStyle="1" w:styleId="FooterChar">
    <w:name w:val="Footer Char"/>
    <w:basedOn w:val="DefaultParagraphFont"/>
    <w:link w:val="Footer"/>
    <w:uiPriority w:val="99"/>
    <w:rsid w:val="00AA7DFA"/>
    <w:rPr>
      <w:rFonts w:ascii="Times New Roman" w:eastAsia="Times New Roman" w:hAnsi="Times New Roman" w:cs="Times New Roman"/>
      <w:lang w:val="vi"/>
    </w:rPr>
  </w:style>
  <w:style w:type="paragraph" w:styleId="NormalWeb">
    <w:name w:val="Normal (Web)"/>
    <w:basedOn w:val="Normal"/>
    <w:uiPriority w:val="99"/>
    <w:unhideWhenUsed/>
    <w:rsid w:val="00AA7DFA"/>
    <w:pPr>
      <w:widowControl/>
      <w:autoSpaceDE/>
      <w:autoSpaceDN/>
      <w:spacing w:before="100" w:beforeAutospacing="1" w:after="100" w:afterAutospacing="1"/>
    </w:pPr>
    <w:rPr>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k-lawyers.com/en/legal-artic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k-lawyers.com" TargetMode="External"/><Relationship Id="rId4" Type="http://schemas.openxmlformats.org/officeDocument/2006/relationships/settings" Target="settings.xml"/><Relationship Id="rId9" Type="http://schemas.openxmlformats.org/officeDocument/2006/relationships/hyperlink" Target="mailto:info@adk-lawye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45C8-469A-4E42-9536-A7226899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1503</Words>
  <Characters>8571</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Dear Value Clients and Partners,</vt:lpstr>
      <vt:lpstr>Legal Spotlight</vt:lpstr>
      <vt:lpstr/>
      <vt:lpstr/>
      <vt:lpstr>Featured Articles of ADK Lawyer in March</vt:lpstr>
      <vt:lpstr/>
      <vt:lpstr>The article “A number of new notable contents of Decree No. 02/2022/ND-CP on ela</vt:lpstr>
      <vt:lpstr/>
      <vt:lpstr>The article “Procedures for operation registration of rooftop solar power system</vt:lpstr>
      <vt:lpstr/>
      <vt:lpstr>Some prominent legal documents take effect from April 2022</vt:lpstr>
    </vt:vector>
  </TitlesOfParts>
  <Company>Tin Hoc Luna</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Nguyen (ADK Lawyers)</dc:creator>
  <cp:keywords/>
  <dc:description/>
  <cp:lastModifiedBy>ADK-003</cp:lastModifiedBy>
  <cp:revision>9</cp:revision>
  <dcterms:created xsi:type="dcterms:W3CDTF">2022-04-01T06:24:00Z</dcterms:created>
  <dcterms:modified xsi:type="dcterms:W3CDTF">2022-04-02T02:33:00Z</dcterms:modified>
</cp:coreProperties>
</file>