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C205" w14:textId="17AC6B1B" w:rsidR="00D27567" w:rsidRPr="00072A9C" w:rsidRDefault="00D27567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8EB5AD" w14:textId="77777777" w:rsidR="00D85026" w:rsidRPr="00072A9C" w:rsidRDefault="00D85026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E1529F" w14:textId="58BE9744" w:rsidR="000E5190" w:rsidRPr="00072A9C" w:rsidRDefault="00917F4B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72A9C"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80C2CA" wp14:editId="6787E3A4">
                <wp:simplePos x="0" y="0"/>
                <wp:positionH relativeFrom="page">
                  <wp:posOffset>332105</wp:posOffset>
                </wp:positionH>
                <wp:positionV relativeFrom="paragraph">
                  <wp:posOffset>119380</wp:posOffset>
                </wp:positionV>
                <wp:extent cx="427482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E82EC" w14:textId="2813E748" w:rsidR="006C7BE5" w:rsidRPr="00B30018" w:rsidRDefault="005E691A" w:rsidP="00837F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LEGAL UPDATE</w:t>
                            </w:r>
                            <w:r w:rsidR="006C7BE5" w:rsidRPr="0063147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C7BE5"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(</w:t>
                            </w:r>
                            <w:r w:rsidR="00AC78E0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lang w:val="vi-VN"/>
                              </w:rPr>
                              <w:t>November</w:t>
                            </w:r>
                            <w:r w:rsidR="00FE1617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C72BC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</w:t>
                            </w:r>
                            <w:r w:rsidR="00EE580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9</w:t>
                            </w:r>
                            <w:r w:rsidR="005C72BC" w:rsidRPr="005C72BC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4A712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,</w:t>
                            </w:r>
                            <w:r w:rsidR="00391F93"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C7BE5"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202</w:t>
                            </w:r>
                            <w:r w:rsidR="000A1AA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1</w:t>
                            </w:r>
                            <w:r w:rsidR="006C7BE5"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0C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9.4pt;width:33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" filled="f" stroked="f">
                <v:textbox style="mso-fit-shape-to-text:t">
                  <w:txbxContent>
                    <w:p w14:paraId="3B5E82EC" w14:textId="2813E748" w:rsidR="006C7BE5" w:rsidRPr="00B30018" w:rsidRDefault="005E691A" w:rsidP="00837F1D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LEGAL UPDATE</w:t>
                      </w:r>
                      <w:r w:rsidR="006C7BE5" w:rsidRPr="0063147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6C7BE5"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(</w:t>
                      </w:r>
                      <w:r w:rsidR="00AC78E0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lang w:val="vi-VN"/>
                        </w:rPr>
                        <w:t>November</w:t>
                      </w:r>
                      <w:r w:rsidR="00FE1617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5C72BC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</w:t>
                      </w:r>
                      <w:r w:rsidR="00EE580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9</w:t>
                      </w:r>
                      <w:r w:rsidR="005C72BC" w:rsidRPr="005C72BC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4A712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,</w:t>
                      </w:r>
                      <w:r w:rsidR="00391F93"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6C7BE5"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202</w:t>
                      </w:r>
                      <w:r w:rsidR="000A1AA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1</w:t>
                      </w:r>
                      <w:r w:rsidR="006C7BE5"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5219E0" w14:textId="57889293" w:rsidR="003236B5" w:rsidRPr="00072A9C" w:rsidRDefault="00885F1A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72A9C"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3740D" wp14:editId="7DF52CAA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6616700" cy="157162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A13FC" w14:textId="701FB916" w:rsidR="00153D52" w:rsidRPr="00C771E7" w:rsidRDefault="00153D52" w:rsidP="00153D52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this issue, we would like to bring to your attention </w:t>
                            </w:r>
                            <w:r w:rsidR="00BE27AD"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following: </w:t>
                            </w:r>
                          </w:p>
                          <w:p w14:paraId="1B6D8569" w14:textId="77777777" w:rsidR="00153D52" w:rsidRPr="00C771E7" w:rsidRDefault="00153D52" w:rsidP="00153D52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3E6F15" w14:textId="19D77099" w:rsidR="00C44D1A" w:rsidRPr="00C771E7" w:rsidRDefault="000649D1" w:rsidP="00AD3B5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77876690"/>
                            <w:r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4200ED"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Circular</w:t>
                            </w:r>
                            <w:r w:rsidR="00D10EC9"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="004200ED"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16/2021/TT-NHNN on</w:t>
                            </w:r>
                            <w:r w:rsidR="00D10EC9"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purchase and sale of corporate bonds by credit institutions and branches of foreign banks</w:t>
                            </w:r>
                            <w:r w:rsidR="007F60E9"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1504B9" w14:textId="77777777" w:rsidR="00714751" w:rsidRPr="00C771E7" w:rsidRDefault="00714751" w:rsidP="00714751">
                            <w:pPr>
                              <w:pStyle w:val="ListParagraph"/>
                              <w:spacing w:after="0"/>
                              <w:ind w:left="114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5AB85683" w14:textId="7A41D015" w:rsidR="0086310A" w:rsidRPr="00C771E7" w:rsidRDefault="00D10EC9" w:rsidP="00AD3B5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Circular No. 09/2021</w:t>
                            </w:r>
                            <w:r w:rsidR="0047374F"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/TT-BKHĐT guiding on the selection of</w:t>
                            </w:r>
                            <w:r w:rsidR="008B13BC"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investors to implement investment projects in the form of public-private partnerships and investment projects utilizing land</w:t>
                            </w:r>
                            <w:r w:rsidR="007F60E9" w:rsidRPr="00C77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345B35" w14:textId="3D47F3F2" w:rsidR="00C164A2" w:rsidRPr="00C771E7" w:rsidRDefault="00C164A2" w:rsidP="00AD3B5A">
                            <w:pPr>
                              <w:pStyle w:val="ListParagraph"/>
                              <w:ind w:left="70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740D" id="_x0000_s1027" type="#_x0000_t202" style="position:absolute;left:0;text-align:left;margin-left:469.8pt;margin-top:21.95pt;width:521pt;height:12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" fillcolor="#d8d8d8 [2732]" stroked="f">
                <v:textbox>
                  <w:txbxContent>
                    <w:p w14:paraId="0F7A13FC" w14:textId="701FB916" w:rsidR="00153D52" w:rsidRPr="00C771E7" w:rsidRDefault="00153D52" w:rsidP="00153D52">
                      <w:pPr>
                        <w:spacing w:after="0"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this issue, we would like to bring to your attention </w:t>
                      </w:r>
                      <w:r w:rsidR="00BE27AD"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following: </w:t>
                      </w:r>
                    </w:p>
                    <w:p w14:paraId="1B6D8569" w14:textId="77777777" w:rsidR="00153D52" w:rsidRPr="00C771E7" w:rsidRDefault="00153D52" w:rsidP="00153D52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3E6F15" w14:textId="19D77099" w:rsidR="00C44D1A" w:rsidRPr="00C771E7" w:rsidRDefault="000649D1" w:rsidP="00AD3B5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Hlk77876690"/>
                      <w:r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="004200ED"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>Circular</w:t>
                      </w:r>
                      <w:r w:rsidR="00D10EC9"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No.</w:t>
                      </w:r>
                      <w:r w:rsidR="004200ED"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16/2021/TT-NHNN on</w:t>
                      </w:r>
                      <w:r w:rsidR="00D10EC9"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purchase and sale of corporate bonds by credit institutions and branches of foreign banks</w:t>
                      </w:r>
                      <w:r w:rsidR="007F60E9"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A1504B9" w14:textId="77777777" w:rsidR="00714751" w:rsidRPr="00C771E7" w:rsidRDefault="00714751" w:rsidP="00714751">
                      <w:pPr>
                        <w:pStyle w:val="ListParagraph"/>
                        <w:spacing w:after="0"/>
                        <w:ind w:left="114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bookmarkEnd w:id="1"/>
                    <w:p w14:paraId="5AB85683" w14:textId="7A41D015" w:rsidR="0086310A" w:rsidRPr="00C771E7" w:rsidRDefault="00D10EC9" w:rsidP="00AD3B5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>The Circular No. 09/2021</w:t>
                      </w:r>
                      <w:r w:rsidR="0047374F"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>/TT-BKHĐT guiding on the selection of</w:t>
                      </w:r>
                      <w:r w:rsidR="008B13BC"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investors to implement investment projects in the form of public-private partnerships and investment projects utilizing land</w:t>
                      </w:r>
                      <w:r w:rsidR="007F60E9" w:rsidRPr="00C771E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7345B35" w14:textId="3D47F3F2" w:rsidR="00C164A2" w:rsidRPr="00C771E7" w:rsidRDefault="00C164A2" w:rsidP="00AD3B5A">
                      <w:pPr>
                        <w:pStyle w:val="ListParagraph"/>
                        <w:ind w:left="70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3B384D" w14:textId="6ED3408A" w:rsidR="000E5190" w:rsidRPr="00072A9C" w:rsidRDefault="000E5190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4F692E" w14:textId="4323F4DA" w:rsidR="00C44D1A" w:rsidRPr="004A4B84" w:rsidRDefault="00292C6B" w:rsidP="00292C6B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iCs/>
          <w:color w:val="C00000"/>
          <w:sz w:val="24"/>
          <w:szCs w:val="24"/>
        </w:rPr>
      </w:pPr>
      <w:bookmarkStart w:id="2" w:name="_Hlk78965494"/>
      <w:bookmarkStart w:id="3" w:name="_Hlk77876703"/>
      <w:r w:rsidRPr="004A4B84">
        <w:rPr>
          <w:rFonts w:ascii="Arial" w:hAnsi="Arial" w:cs="Arial"/>
          <w:b/>
          <w:bCs/>
          <w:iCs/>
          <w:color w:val="C00000"/>
          <w:sz w:val="24"/>
          <w:szCs w:val="24"/>
        </w:rPr>
        <w:t>The Circular No. 16/2021/TT-NHNN on the purchase and sale of corporate bonds by credit institutions and branches of foreign banks</w:t>
      </w:r>
    </w:p>
    <w:bookmarkEnd w:id="2"/>
    <w:p w14:paraId="47587900" w14:textId="683CB845" w:rsidR="001125B6" w:rsidRPr="001125B6" w:rsidRDefault="001125B6" w:rsidP="00EF76F4">
      <w:pPr>
        <w:spacing w:after="0" w:line="264" w:lineRule="auto"/>
        <w:ind w:left="706"/>
        <w:jc w:val="both"/>
        <w:rPr>
          <w:rFonts w:ascii="Arial" w:hAnsi="Arial" w:cs="Arial"/>
          <w:sz w:val="24"/>
          <w:szCs w:val="24"/>
        </w:rPr>
      </w:pPr>
      <w:r w:rsidRPr="001125B6">
        <w:rPr>
          <w:rFonts w:ascii="Arial" w:hAnsi="Arial" w:cs="Arial"/>
          <w:sz w:val="24"/>
          <w:szCs w:val="24"/>
        </w:rPr>
        <w:t>On November 10</w:t>
      </w:r>
      <w:r w:rsidRPr="001125B6">
        <w:rPr>
          <w:rFonts w:ascii="Arial" w:hAnsi="Arial" w:cs="Arial"/>
          <w:sz w:val="24"/>
          <w:szCs w:val="24"/>
          <w:vertAlign w:val="superscript"/>
        </w:rPr>
        <w:t>th</w:t>
      </w:r>
      <w:r w:rsidRPr="001125B6">
        <w:rPr>
          <w:rFonts w:ascii="Arial" w:hAnsi="Arial" w:cs="Arial"/>
          <w:sz w:val="24"/>
          <w:szCs w:val="24"/>
        </w:rPr>
        <w:t xml:space="preserve">, 2021, the Governor of the State Bank </w:t>
      </w:r>
      <w:r>
        <w:rPr>
          <w:rFonts w:ascii="Arial" w:hAnsi="Arial" w:cs="Arial"/>
          <w:sz w:val="24"/>
          <w:szCs w:val="24"/>
        </w:rPr>
        <w:t>has promulgated the Circular No. 16/2021/TT-NHNN to replace the Circular No. 22/2016/TT-NHNN and</w:t>
      </w:r>
      <w:r w:rsidR="00697556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Circular No. 15/2018/TT-NHNN (hereinafter referred to as “</w:t>
      </w:r>
      <w:r w:rsidRPr="001125B6">
        <w:rPr>
          <w:rFonts w:ascii="Arial" w:hAnsi="Arial" w:cs="Arial"/>
          <w:b/>
          <w:sz w:val="24"/>
          <w:szCs w:val="24"/>
        </w:rPr>
        <w:t>Circular No. 16/2021</w:t>
      </w:r>
      <w:r>
        <w:rPr>
          <w:rFonts w:ascii="Arial" w:hAnsi="Arial" w:cs="Arial"/>
          <w:sz w:val="24"/>
          <w:szCs w:val="24"/>
        </w:rPr>
        <w:t xml:space="preserve">”) </w:t>
      </w:r>
      <w:r w:rsidR="00803E93">
        <w:rPr>
          <w:rFonts w:ascii="Arial" w:hAnsi="Arial" w:cs="Arial"/>
          <w:sz w:val="24"/>
          <w:szCs w:val="24"/>
        </w:rPr>
        <w:t>regulating</w:t>
      </w:r>
      <w:r>
        <w:rPr>
          <w:rFonts w:ascii="Arial" w:hAnsi="Arial" w:cs="Arial"/>
          <w:sz w:val="24"/>
          <w:szCs w:val="24"/>
        </w:rPr>
        <w:t xml:space="preserve"> the purchase and sale of corporate bonds by credit institutions and branches of foreign banks with </w:t>
      </w:r>
      <w:r w:rsidR="00527580">
        <w:rPr>
          <w:rFonts w:ascii="Arial" w:hAnsi="Arial" w:cs="Arial"/>
          <w:sz w:val="24"/>
          <w:szCs w:val="24"/>
        </w:rPr>
        <w:t>the following</w:t>
      </w:r>
      <w:r>
        <w:rPr>
          <w:rFonts w:ascii="Arial" w:hAnsi="Arial" w:cs="Arial"/>
          <w:sz w:val="24"/>
          <w:szCs w:val="24"/>
        </w:rPr>
        <w:t xml:space="preserve"> noteworthy</w:t>
      </w:r>
      <w:r w:rsidR="00527580">
        <w:rPr>
          <w:rFonts w:ascii="Arial" w:hAnsi="Arial" w:cs="Arial"/>
          <w:sz w:val="24"/>
          <w:szCs w:val="24"/>
        </w:rPr>
        <w:t xml:space="preserve"> points</w:t>
      </w:r>
      <w:r>
        <w:rPr>
          <w:rFonts w:ascii="Arial" w:hAnsi="Arial" w:cs="Arial"/>
          <w:sz w:val="24"/>
          <w:szCs w:val="24"/>
        </w:rPr>
        <w:t>:</w:t>
      </w:r>
    </w:p>
    <w:p w14:paraId="4B356A3E" w14:textId="77777777" w:rsidR="00EF76F4" w:rsidRDefault="00EF76F4" w:rsidP="00EF76F4">
      <w:pPr>
        <w:spacing w:after="0" w:line="264" w:lineRule="auto"/>
        <w:ind w:left="706"/>
        <w:jc w:val="both"/>
      </w:pPr>
    </w:p>
    <w:p w14:paraId="21CABA36" w14:textId="455ED577" w:rsidR="002A2A08" w:rsidRDefault="00553983" w:rsidP="00C86A5E">
      <w:pPr>
        <w:pStyle w:val="ListParagraph"/>
        <w:numPr>
          <w:ilvl w:val="0"/>
          <w:numId w:val="26"/>
        </w:numPr>
        <w:ind w:left="1134" w:hanging="425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Conditions for corporat</w:t>
      </w:r>
      <w:r w:rsidR="001266EB">
        <w:rPr>
          <w:rFonts w:ascii="Arial" w:hAnsi="Arial" w:cs="Arial"/>
          <w:b/>
          <w:bCs/>
          <w:iCs/>
          <w:sz w:val="24"/>
          <w:szCs w:val="24"/>
        </w:rPr>
        <w:t>e bonds to be traded in transactions</w:t>
      </w:r>
    </w:p>
    <w:p w14:paraId="4DC7CB5F" w14:textId="4C358A68" w:rsidR="002530E2" w:rsidRDefault="002530E2" w:rsidP="002530E2">
      <w:pPr>
        <w:pStyle w:val="ListParagraph"/>
        <w:spacing w:after="0" w:line="264" w:lineRule="auto"/>
        <w:ind w:left="1429"/>
        <w:jc w:val="both"/>
        <w:rPr>
          <w:rFonts w:ascii="Arial" w:hAnsi="Arial" w:cs="Arial"/>
          <w:bCs/>
          <w:iCs/>
          <w:sz w:val="24"/>
          <w:szCs w:val="24"/>
        </w:rPr>
      </w:pPr>
    </w:p>
    <w:p w14:paraId="253DA86D" w14:textId="6AD5952E" w:rsidR="00412FDA" w:rsidRPr="00412FDA" w:rsidRDefault="00412FDA" w:rsidP="003A76A1">
      <w:pPr>
        <w:pStyle w:val="ListParagraph"/>
        <w:spacing w:after="0" w:line="264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412FDA">
        <w:rPr>
          <w:rFonts w:ascii="Arial" w:hAnsi="Arial" w:cs="Arial"/>
          <w:bCs/>
          <w:sz w:val="24"/>
          <w:szCs w:val="24"/>
        </w:rPr>
        <w:t xml:space="preserve">The Circular No. 16/2021/TT-NHNN sets forth a new provision on the conditions that </w:t>
      </w:r>
      <w:r w:rsidR="0024260A">
        <w:rPr>
          <w:rFonts w:ascii="Arial" w:hAnsi="Arial" w:cs="Arial"/>
          <w:bCs/>
          <w:sz w:val="24"/>
          <w:szCs w:val="24"/>
        </w:rPr>
        <w:t>corporate bonds must</w:t>
      </w:r>
      <w:r w:rsidRPr="00412FDA">
        <w:rPr>
          <w:rFonts w:ascii="Arial" w:hAnsi="Arial" w:cs="Arial"/>
          <w:bCs/>
          <w:sz w:val="24"/>
          <w:szCs w:val="24"/>
        </w:rPr>
        <w:t xml:space="preserve"> satisfy before </w:t>
      </w:r>
      <w:r w:rsidR="002479B1">
        <w:rPr>
          <w:rFonts w:ascii="Arial" w:hAnsi="Arial" w:cs="Arial"/>
          <w:bCs/>
          <w:sz w:val="24"/>
          <w:szCs w:val="24"/>
        </w:rPr>
        <w:t xml:space="preserve">being </w:t>
      </w:r>
      <w:r w:rsidR="00A86171">
        <w:rPr>
          <w:rFonts w:ascii="Arial" w:hAnsi="Arial" w:cs="Arial"/>
          <w:bCs/>
          <w:sz w:val="24"/>
          <w:szCs w:val="24"/>
        </w:rPr>
        <w:t>sold or</w:t>
      </w:r>
      <w:r w:rsidR="003476A3">
        <w:rPr>
          <w:rFonts w:ascii="Arial" w:hAnsi="Arial" w:cs="Arial"/>
          <w:bCs/>
          <w:sz w:val="24"/>
          <w:szCs w:val="24"/>
        </w:rPr>
        <w:t xml:space="preserve"> purchased in</w:t>
      </w:r>
      <w:r w:rsidRPr="00412FDA">
        <w:rPr>
          <w:rFonts w:ascii="Arial" w:hAnsi="Arial" w:cs="Arial"/>
          <w:bCs/>
          <w:sz w:val="24"/>
          <w:szCs w:val="24"/>
        </w:rPr>
        <w:t xml:space="preserve"> transactions as follows:</w:t>
      </w:r>
    </w:p>
    <w:p w14:paraId="524AE848" w14:textId="1EBDE973" w:rsidR="00EA46B2" w:rsidRDefault="00EA46B2" w:rsidP="003A76A1">
      <w:pPr>
        <w:pStyle w:val="ListParagraph"/>
        <w:spacing w:after="0" w:line="264" w:lineRule="auto"/>
        <w:ind w:left="1134"/>
        <w:jc w:val="both"/>
        <w:rPr>
          <w:rFonts w:ascii="Arial" w:hAnsi="Arial" w:cs="Arial"/>
          <w:bCs/>
          <w:i/>
          <w:sz w:val="24"/>
          <w:szCs w:val="24"/>
        </w:rPr>
      </w:pPr>
    </w:p>
    <w:p w14:paraId="3BEE651B" w14:textId="0142AA3F" w:rsidR="006B5A53" w:rsidRDefault="006B5A53" w:rsidP="0057396D">
      <w:pPr>
        <w:pStyle w:val="ListParagraph"/>
        <w:numPr>
          <w:ilvl w:val="0"/>
          <w:numId w:val="37"/>
        </w:numPr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corporate bonds must be issued in accordance with the laws of Vietnam;</w:t>
      </w:r>
    </w:p>
    <w:p w14:paraId="183617BC" w14:textId="1905CAA0" w:rsidR="0057396D" w:rsidRDefault="0057396D" w:rsidP="0057396D">
      <w:pPr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</w:p>
    <w:p w14:paraId="5B6E5A51" w14:textId="0AE0675E" w:rsidR="006B5A53" w:rsidRDefault="006B5A53" w:rsidP="0057396D">
      <w:pPr>
        <w:pStyle w:val="ListParagraph"/>
        <w:numPr>
          <w:ilvl w:val="0"/>
          <w:numId w:val="37"/>
        </w:numPr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corporate bonds must be issued in Vietnam Dongs;</w:t>
      </w:r>
    </w:p>
    <w:p w14:paraId="15FE2B57" w14:textId="77777777" w:rsidR="0057396D" w:rsidRPr="0057396D" w:rsidRDefault="0057396D" w:rsidP="0057396D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8F7ADD8" w14:textId="2C4A3388" w:rsidR="006B5A53" w:rsidRDefault="00195B78" w:rsidP="0057396D">
      <w:pPr>
        <w:pStyle w:val="ListParagraph"/>
        <w:numPr>
          <w:ilvl w:val="0"/>
          <w:numId w:val="37"/>
        </w:numPr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corporate bonds must be legally owned by the seller, </w:t>
      </w:r>
      <w:r w:rsidR="006276F2">
        <w:rPr>
          <w:rFonts w:ascii="Arial" w:hAnsi="Arial" w:cs="Arial"/>
          <w:bCs/>
          <w:sz w:val="24"/>
          <w:szCs w:val="24"/>
        </w:rPr>
        <w:t>mus</w:t>
      </w:r>
      <w:r w:rsidR="007E76BA">
        <w:rPr>
          <w:rFonts w:ascii="Arial" w:hAnsi="Arial" w:cs="Arial"/>
          <w:bCs/>
          <w:sz w:val="24"/>
          <w:szCs w:val="24"/>
        </w:rPr>
        <w:t>t</w:t>
      </w:r>
      <w:r w:rsidR="006276F2">
        <w:rPr>
          <w:rFonts w:ascii="Arial" w:hAnsi="Arial" w:cs="Arial"/>
          <w:bCs/>
          <w:sz w:val="24"/>
          <w:szCs w:val="24"/>
        </w:rPr>
        <w:t xml:space="preserve"> </w:t>
      </w:r>
      <w:r w:rsidR="0016592C">
        <w:rPr>
          <w:rFonts w:ascii="Arial" w:hAnsi="Arial" w:cs="Arial"/>
          <w:bCs/>
          <w:sz w:val="24"/>
          <w:szCs w:val="24"/>
        </w:rPr>
        <w:t xml:space="preserve">not </w:t>
      </w:r>
      <w:r w:rsidR="006276F2">
        <w:rPr>
          <w:rFonts w:ascii="Arial" w:hAnsi="Arial" w:cs="Arial"/>
          <w:bCs/>
          <w:sz w:val="24"/>
          <w:szCs w:val="24"/>
        </w:rPr>
        <w:t>have</w:t>
      </w:r>
      <w:r w:rsidR="00F0648D">
        <w:rPr>
          <w:rFonts w:ascii="Arial" w:hAnsi="Arial" w:cs="Arial"/>
          <w:bCs/>
          <w:sz w:val="24"/>
          <w:szCs w:val="24"/>
        </w:rPr>
        <w:t xml:space="preserve"> matured for full payment of principal and interest and must be committed by the seller to be undisputed, allowed for transactions by law and not be involved in any </w:t>
      </w:r>
      <w:r w:rsidR="002E2E6C">
        <w:rPr>
          <w:rFonts w:ascii="Arial" w:hAnsi="Arial" w:cs="Arial"/>
          <w:bCs/>
          <w:sz w:val="24"/>
          <w:szCs w:val="24"/>
        </w:rPr>
        <w:t>forward trading, d</w:t>
      </w:r>
      <w:r w:rsidR="006F6D02">
        <w:rPr>
          <w:rFonts w:ascii="Arial" w:hAnsi="Arial" w:cs="Arial"/>
          <w:bCs/>
          <w:sz w:val="24"/>
          <w:szCs w:val="24"/>
        </w:rPr>
        <w:t>iscount, re-discount (except</w:t>
      </w:r>
      <w:r w:rsidR="002E2E6C">
        <w:rPr>
          <w:rFonts w:ascii="Arial" w:hAnsi="Arial" w:cs="Arial"/>
          <w:bCs/>
          <w:sz w:val="24"/>
          <w:szCs w:val="24"/>
        </w:rPr>
        <w:t xml:space="preserve"> cases where credit institutions purchase corporate bonds being issued for sale for the first time).</w:t>
      </w:r>
    </w:p>
    <w:p w14:paraId="7B790236" w14:textId="07C52EB4" w:rsidR="0057396D" w:rsidRPr="0057396D" w:rsidRDefault="0057396D" w:rsidP="0057396D">
      <w:pPr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</w:p>
    <w:p w14:paraId="3FC95AD8" w14:textId="4E778807" w:rsidR="000248AB" w:rsidRPr="000248AB" w:rsidRDefault="000248AB" w:rsidP="003A76A1">
      <w:pPr>
        <w:pStyle w:val="ListParagraph"/>
        <w:spacing w:after="0" w:line="264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addition, Circular No. 16/2021/TT-NHNN also supplements some principles that credit institutions and branches of foreign banks (hereinafter referred to as “</w:t>
      </w:r>
      <w:r w:rsidRPr="00827FC3">
        <w:rPr>
          <w:rFonts w:ascii="Arial" w:hAnsi="Arial" w:cs="Arial"/>
          <w:b/>
          <w:bCs/>
          <w:sz w:val="24"/>
          <w:szCs w:val="24"/>
        </w:rPr>
        <w:t>credit institutions</w:t>
      </w:r>
      <w:r>
        <w:rPr>
          <w:rFonts w:ascii="Arial" w:hAnsi="Arial" w:cs="Arial"/>
          <w:bCs/>
          <w:sz w:val="24"/>
          <w:szCs w:val="24"/>
        </w:rPr>
        <w:t>”) should take into consideration before purchasing corporate bonds, such as ensuring</w:t>
      </w:r>
      <w:r w:rsidR="009105EE">
        <w:rPr>
          <w:rFonts w:ascii="Arial" w:hAnsi="Arial" w:cs="Arial"/>
          <w:bCs/>
          <w:sz w:val="24"/>
          <w:szCs w:val="24"/>
        </w:rPr>
        <w:t xml:space="preserve"> that</w:t>
      </w:r>
      <w:r>
        <w:rPr>
          <w:rFonts w:ascii="Arial" w:hAnsi="Arial" w:cs="Arial"/>
          <w:bCs/>
          <w:sz w:val="24"/>
          <w:szCs w:val="24"/>
        </w:rPr>
        <w:t xml:space="preserve"> the issuing enterprise commits to buy back the bonds prior to maturity when</w:t>
      </w:r>
      <w:r w:rsidR="00952D72">
        <w:rPr>
          <w:rFonts w:ascii="Arial" w:hAnsi="Arial" w:cs="Arial"/>
          <w:bCs/>
          <w:sz w:val="24"/>
          <w:szCs w:val="24"/>
        </w:rPr>
        <w:t xml:space="preserve"> changing</w:t>
      </w:r>
      <w:r>
        <w:rPr>
          <w:rFonts w:ascii="Arial" w:hAnsi="Arial" w:cs="Arial"/>
          <w:bCs/>
          <w:sz w:val="24"/>
          <w:szCs w:val="24"/>
        </w:rPr>
        <w:t xml:space="preserve"> the purpose of using the money earned from </w:t>
      </w:r>
      <w:r w:rsidR="00A32CBD">
        <w:rPr>
          <w:rFonts w:ascii="Arial" w:hAnsi="Arial" w:cs="Arial"/>
          <w:bCs/>
          <w:sz w:val="24"/>
          <w:szCs w:val="24"/>
        </w:rPr>
        <w:t xml:space="preserve">the </w:t>
      </w:r>
      <w:r w:rsidR="00A32CBD">
        <w:rPr>
          <w:rFonts w:ascii="Arial" w:hAnsi="Arial" w:cs="Arial"/>
          <w:bCs/>
          <w:sz w:val="24"/>
          <w:szCs w:val="24"/>
        </w:rPr>
        <w:lastRenderedPageBreak/>
        <w:t>issuance of</w:t>
      </w:r>
      <w:r w:rsidR="00952D72">
        <w:rPr>
          <w:rFonts w:ascii="Arial" w:hAnsi="Arial" w:cs="Arial"/>
          <w:bCs/>
          <w:sz w:val="24"/>
          <w:szCs w:val="24"/>
        </w:rPr>
        <w:t xml:space="preserve"> such</w:t>
      </w:r>
      <w:r w:rsidR="00CC4E6A">
        <w:rPr>
          <w:rFonts w:ascii="Arial" w:hAnsi="Arial" w:cs="Arial"/>
          <w:bCs/>
          <w:sz w:val="24"/>
          <w:szCs w:val="24"/>
        </w:rPr>
        <w:t xml:space="preserve"> bonds while those</w:t>
      </w:r>
      <w:r>
        <w:rPr>
          <w:rFonts w:ascii="Arial" w:hAnsi="Arial" w:cs="Arial"/>
          <w:bCs/>
          <w:sz w:val="24"/>
          <w:szCs w:val="24"/>
        </w:rPr>
        <w:t xml:space="preserve"> bonds are in the possession of</w:t>
      </w:r>
      <w:r w:rsidR="00A552A6">
        <w:rPr>
          <w:rFonts w:ascii="Arial" w:hAnsi="Arial" w:cs="Arial"/>
          <w:bCs/>
          <w:sz w:val="24"/>
          <w:szCs w:val="24"/>
        </w:rPr>
        <w:t xml:space="preserve"> the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552A6">
        <w:rPr>
          <w:rFonts w:ascii="Arial" w:hAnsi="Arial" w:cs="Arial"/>
          <w:bCs/>
          <w:sz w:val="24"/>
          <w:szCs w:val="24"/>
        </w:rPr>
        <w:t>credit institution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CC4E6A">
        <w:rPr>
          <w:rFonts w:ascii="Arial" w:hAnsi="Arial" w:cs="Arial"/>
          <w:bCs/>
          <w:sz w:val="24"/>
          <w:szCs w:val="24"/>
        </w:rPr>
        <w:t>the issuing enterprise does</w:t>
      </w:r>
      <w:r w:rsidR="0016592C">
        <w:rPr>
          <w:rFonts w:ascii="Arial" w:hAnsi="Arial" w:cs="Arial"/>
          <w:bCs/>
          <w:sz w:val="24"/>
          <w:szCs w:val="24"/>
        </w:rPr>
        <w:t xml:space="preserve"> not</w:t>
      </w:r>
      <w:r w:rsidR="000B7547">
        <w:rPr>
          <w:rFonts w:ascii="Arial" w:hAnsi="Arial" w:cs="Arial"/>
          <w:bCs/>
          <w:sz w:val="24"/>
          <w:szCs w:val="24"/>
        </w:rPr>
        <w:t xml:space="preserve"> have</w:t>
      </w:r>
      <w:r w:rsidR="00CC4E6A">
        <w:rPr>
          <w:rFonts w:ascii="Arial" w:hAnsi="Arial" w:cs="Arial"/>
          <w:bCs/>
          <w:sz w:val="24"/>
          <w:szCs w:val="24"/>
        </w:rPr>
        <w:t xml:space="preserve"> bad debt at any credit institution</w:t>
      </w:r>
      <w:r w:rsidR="0016592C">
        <w:rPr>
          <w:rFonts w:ascii="Arial" w:hAnsi="Arial" w:cs="Arial"/>
          <w:bCs/>
          <w:sz w:val="24"/>
          <w:szCs w:val="24"/>
        </w:rPr>
        <w:t>s</w:t>
      </w:r>
      <w:r w:rsidR="00CC4E6A">
        <w:rPr>
          <w:rFonts w:ascii="Arial" w:hAnsi="Arial" w:cs="Arial"/>
          <w:bCs/>
          <w:sz w:val="24"/>
          <w:szCs w:val="24"/>
        </w:rPr>
        <w:t xml:space="preserve"> within the last 12 months before the credit institution purchases the corporate bonds.</w:t>
      </w:r>
    </w:p>
    <w:p w14:paraId="2225E3A3" w14:textId="42C2A063" w:rsidR="0039328A" w:rsidRPr="0039328A" w:rsidRDefault="0039328A" w:rsidP="0039328A">
      <w:pPr>
        <w:spacing w:after="0" w:line="264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724B2D0" w14:textId="6529693C" w:rsidR="00F55816" w:rsidRDefault="002A1002" w:rsidP="002530E2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Credit institutions are</w:t>
      </w:r>
      <w:r w:rsidR="00BC2F35">
        <w:rPr>
          <w:rFonts w:ascii="Arial" w:hAnsi="Arial" w:cs="Arial"/>
          <w:b/>
          <w:bCs/>
          <w:iCs/>
          <w:sz w:val="24"/>
          <w:szCs w:val="24"/>
        </w:rPr>
        <w:t xml:space="preserve"> only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allowed to</w:t>
      </w:r>
      <w:r w:rsidR="00BC2F35">
        <w:rPr>
          <w:rFonts w:ascii="Arial" w:hAnsi="Arial" w:cs="Arial"/>
          <w:b/>
          <w:bCs/>
          <w:iCs/>
          <w:sz w:val="24"/>
          <w:szCs w:val="24"/>
        </w:rPr>
        <w:t xml:space="preserve"> purchase corporate bonds if their bad debt rat</w:t>
      </w:r>
      <w:r w:rsidR="00B96652">
        <w:rPr>
          <w:rFonts w:ascii="Arial" w:hAnsi="Arial" w:cs="Arial"/>
          <w:b/>
          <w:bCs/>
          <w:iCs/>
          <w:sz w:val="24"/>
          <w:szCs w:val="24"/>
        </w:rPr>
        <w:t>io</w:t>
      </w:r>
      <w:r w:rsidR="00BC2F35">
        <w:rPr>
          <w:rFonts w:ascii="Arial" w:hAnsi="Arial" w:cs="Arial"/>
          <w:b/>
          <w:bCs/>
          <w:iCs/>
          <w:sz w:val="24"/>
          <w:szCs w:val="24"/>
        </w:rPr>
        <w:t xml:space="preserve"> is below 3%</w:t>
      </w:r>
    </w:p>
    <w:p w14:paraId="21F868BC" w14:textId="324086BF" w:rsidR="002530E2" w:rsidRDefault="002530E2" w:rsidP="002530E2">
      <w:pPr>
        <w:pStyle w:val="ListParagraph"/>
        <w:spacing w:after="0" w:line="264" w:lineRule="auto"/>
        <w:ind w:left="1429"/>
        <w:jc w:val="both"/>
        <w:rPr>
          <w:rFonts w:ascii="Arial" w:hAnsi="Arial" w:cs="Arial"/>
          <w:bCs/>
          <w:iCs/>
          <w:sz w:val="24"/>
          <w:szCs w:val="24"/>
        </w:rPr>
      </w:pPr>
    </w:p>
    <w:p w14:paraId="6B8196A2" w14:textId="15ABB68D" w:rsidR="00651AB9" w:rsidRPr="0003490F" w:rsidRDefault="007125A9" w:rsidP="008042BE">
      <w:pPr>
        <w:pStyle w:val="ListParagraph"/>
        <w:spacing w:after="0" w:line="264" w:lineRule="auto"/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03490F">
        <w:rPr>
          <w:rFonts w:ascii="Arial" w:hAnsi="Arial" w:cs="Arial"/>
          <w:iCs/>
          <w:sz w:val="24"/>
          <w:szCs w:val="24"/>
        </w:rPr>
        <w:t>When</w:t>
      </w:r>
      <w:r w:rsidR="00651AB9" w:rsidRPr="0003490F">
        <w:rPr>
          <w:rFonts w:ascii="Arial" w:hAnsi="Arial" w:cs="Arial"/>
          <w:iCs/>
          <w:sz w:val="24"/>
          <w:szCs w:val="24"/>
        </w:rPr>
        <w:t xml:space="preserve"> </w:t>
      </w:r>
      <w:r w:rsidR="0016592C">
        <w:rPr>
          <w:rFonts w:ascii="Arial" w:hAnsi="Arial" w:cs="Arial"/>
          <w:iCs/>
          <w:sz w:val="24"/>
          <w:szCs w:val="24"/>
        </w:rPr>
        <w:t xml:space="preserve">the </w:t>
      </w:r>
      <w:r w:rsidR="00651AB9" w:rsidRPr="0003490F">
        <w:rPr>
          <w:rFonts w:ascii="Arial" w:hAnsi="Arial" w:cs="Arial"/>
          <w:iCs/>
          <w:sz w:val="24"/>
          <w:szCs w:val="24"/>
        </w:rPr>
        <w:t>Circular No. 16/2021 takes effect, credit institutions are only allowed to purchase corporate bon</w:t>
      </w:r>
      <w:r w:rsidR="00AF1EA1" w:rsidRPr="0003490F">
        <w:rPr>
          <w:rFonts w:ascii="Arial" w:hAnsi="Arial" w:cs="Arial"/>
          <w:iCs/>
          <w:sz w:val="24"/>
          <w:szCs w:val="24"/>
        </w:rPr>
        <w:t>ds if their</w:t>
      </w:r>
      <w:r w:rsidR="00651AB9" w:rsidRPr="0003490F">
        <w:rPr>
          <w:rFonts w:ascii="Arial" w:hAnsi="Arial" w:cs="Arial"/>
          <w:iCs/>
          <w:sz w:val="24"/>
          <w:szCs w:val="24"/>
        </w:rPr>
        <w:t xml:space="preserve"> bad debt ratio is below 3% according to the most recent classification period as regulated by the State Bank of Vietnam on </w:t>
      </w:r>
      <w:r w:rsidR="00D26DC3" w:rsidRPr="0003490F">
        <w:rPr>
          <w:rFonts w:ascii="Arial" w:hAnsi="Arial" w:cs="Arial"/>
          <w:iCs/>
          <w:sz w:val="24"/>
          <w:szCs w:val="24"/>
        </w:rPr>
        <w:t>the classification of</w:t>
      </w:r>
      <w:r w:rsidR="00651AB9" w:rsidRPr="0003490F">
        <w:rPr>
          <w:rFonts w:ascii="Arial" w:hAnsi="Arial" w:cs="Arial"/>
          <w:iCs/>
          <w:sz w:val="24"/>
          <w:szCs w:val="24"/>
        </w:rPr>
        <w:t xml:space="preserve"> current assets, deduction rate</w:t>
      </w:r>
      <w:r w:rsidR="00F9108D" w:rsidRPr="0003490F">
        <w:rPr>
          <w:rFonts w:ascii="Arial" w:hAnsi="Arial" w:cs="Arial"/>
          <w:iCs/>
          <w:sz w:val="24"/>
          <w:szCs w:val="24"/>
        </w:rPr>
        <w:t xml:space="preserve">, </w:t>
      </w:r>
      <w:r w:rsidR="00D26DC3" w:rsidRPr="0003490F">
        <w:rPr>
          <w:rFonts w:ascii="Arial" w:hAnsi="Arial" w:cs="Arial"/>
          <w:iCs/>
          <w:sz w:val="24"/>
          <w:szCs w:val="24"/>
        </w:rPr>
        <w:t xml:space="preserve">method of setting up plans for risk prevention and the use of prevention to handle operational risks of credit institutions prior to </w:t>
      </w:r>
      <w:r w:rsidR="002831B6">
        <w:rPr>
          <w:rFonts w:ascii="Arial" w:hAnsi="Arial" w:cs="Arial"/>
          <w:iCs/>
          <w:sz w:val="24"/>
          <w:szCs w:val="24"/>
        </w:rPr>
        <w:t xml:space="preserve">the time of </w:t>
      </w:r>
      <w:r w:rsidR="00D26DC3" w:rsidRPr="0003490F">
        <w:rPr>
          <w:rFonts w:ascii="Arial" w:hAnsi="Arial" w:cs="Arial"/>
          <w:iCs/>
          <w:sz w:val="24"/>
          <w:szCs w:val="24"/>
        </w:rPr>
        <w:t>purchasing corporate bonds.</w:t>
      </w:r>
    </w:p>
    <w:p w14:paraId="1D79B7CD" w14:textId="63CEA281" w:rsidR="00EE336C" w:rsidRDefault="00EE336C" w:rsidP="009112A3">
      <w:p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CF211DB" w14:textId="2A077AEE" w:rsidR="008E325D" w:rsidRPr="008E325D" w:rsidRDefault="008E325D" w:rsidP="00BB724E">
      <w:pPr>
        <w:spacing w:after="0" w:line="264" w:lineRule="auto"/>
        <w:ind w:left="113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Furthermore, Circular No. 16/2021 a</w:t>
      </w:r>
      <w:r w:rsidR="00224C42">
        <w:rPr>
          <w:rFonts w:ascii="Arial" w:hAnsi="Arial" w:cs="Arial"/>
          <w:iCs/>
          <w:sz w:val="24"/>
          <w:szCs w:val="24"/>
        </w:rPr>
        <w:t>lso stipulates certain</w:t>
      </w:r>
      <w:r>
        <w:rPr>
          <w:rFonts w:ascii="Arial" w:hAnsi="Arial" w:cs="Arial"/>
          <w:iCs/>
          <w:sz w:val="24"/>
          <w:szCs w:val="24"/>
        </w:rPr>
        <w:t xml:space="preserve"> cases where credit institutions are not allowed to purchase corporate bonds as follows:</w:t>
      </w:r>
    </w:p>
    <w:p w14:paraId="11B21A46" w14:textId="29C78DCA" w:rsidR="009F07B8" w:rsidRDefault="009F07B8" w:rsidP="00BB724E">
      <w:pPr>
        <w:spacing w:after="0" w:line="264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</w:p>
    <w:p w14:paraId="264D39C9" w14:textId="7B6A172C" w:rsidR="00850128" w:rsidRDefault="002831B6" w:rsidP="009F07B8">
      <w:pPr>
        <w:pStyle w:val="ListParagraph"/>
        <w:numPr>
          <w:ilvl w:val="0"/>
          <w:numId w:val="37"/>
        </w:num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="00850128">
        <w:rPr>
          <w:rFonts w:ascii="Arial" w:hAnsi="Arial" w:cs="Arial"/>
          <w:iCs/>
          <w:sz w:val="24"/>
          <w:szCs w:val="24"/>
        </w:rPr>
        <w:t xml:space="preserve">he corporate bonds </w:t>
      </w:r>
      <w:r>
        <w:rPr>
          <w:rFonts w:ascii="Arial" w:hAnsi="Arial" w:cs="Arial"/>
          <w:iCs/>
          <w:sz w:val="24"/>
          <w:szCs w:val="24"/>
        </w:rPr>
        <w:t>issued for the purpose of</w:t>
      </w:r>
      <w:r w:rsidR="00850128">
        <w:rPr>
          <w:rFonts w:ascii="Arial" w:hAnsi="Arial" w:cs="Arial"/>
          <w:iCs/>
          <w:sz w:val="24"/>
          <w:szCs w:val="24"/>
        </w:rPr>
        <w:t xml:space="preserve"> restructur</w:t>
      </w:r>
      <w:r>
        <w:rPr>
          <w:rFonts w:ascii="Arial" w:hAnsi="Arial" w:cs="Arial"/>
          <w:iCs/>
          <w:sz w:val="24"/>
          <w:szCs w:val="24"/>
        </w:rPr>
        <w:t>ing</w:t>
      </w:r>
      <w:r w:rsidR="00850128">
        <w:rPr>
          <w:rFonts w:ascii="Arial" w:hAnsi="Arial" w:cs="Arial"/>
          <w:iCs/>
          <w:sz w:val="24"/>
          <w:szCs w:val="24"/>
        </w:rPr>
        <w:t xml:space="preserve"> the issuing enterprise’s debts;</w:t>
      </w:r>
    </w:p>
    <w:p w14:paraId="4F6F8C44" w14:textId="212A9BC7" w:rsidR="009F07B8" w:rsidRDefault="009F07B8" w:rsidP="009F07B8">
      <w:p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6EA1E71" w14:textId="5684AED9" w:rsidR="00446233" w:rsidRDefault="002831B6" w:rsidP="00446233">
      <w:pPr>
        <w:pStyle w:val="ListParagraph"/>
        <w:numPr>
          <w:ilvl w:val="0"/>
          <w:numId w:val="37"/>
        </w:num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="00446233">
        <w:rPr>
          <w:rFonts w:ascii="Arial" w:hAnsi="Arial" w:cs="Arial"/>
          <w:iCs/>
          <w:sz w:val="24"/>
          <w:szCs w:val="24"/>
        </w:rPr>
        <w:t>he corporate bonds</w:t>
      </w:r>
      <w:r>
        <w:rPr>
          <w:rFonts w:ascii="Arial" w:hAnsi="Arial" w:cs="Arial"/>
          <w:iCs/>
          <w:sz w:val="24"/>
          <w:szCs w:val="24"/>
        </w:rPr>
        <w:t xml:space="preserve"> issued for the purpose of</w:t>
      </w:r>
      <w:r w:rsidR="00446233">
        <w:rPr>
          <w:rFonts w:ascii="Arial" w:hAnsi="Arial" w:cs="Arial"/>
          <w:iCs/>
          <w:sz w:val="24"/>
          <w:szCs w:val="24"/>
        </w:rPr>
        <w:t xml:space="preserve"> contribut</w:t>
      </w:r>
      <w:r>
        <w:rPr>
          <w:rFonts w:ascii="Arial" w:hAnsi="Arial" w:cs="Arial"/>
          <w:iCs/>
          <w:sz w:val="24"/>
          <w:szCs w:val="24"/>
        </w:rPr>
        <w:t>ing</w:t>
      </w:r>
      <w:r w:rsidR="00446233">
        <w:rPr>
          <w:rFonts w:ascii="Arial" w:hAnsi="Arial" w:cs="Arial"/>
          <w:iCs/>
          <w:sz w:val="24"/>
          <w:szCs w:val="24"/>
        </w:rPr>
        <w:t xml:space="preserve"> capital, acquire share</w:t>
      </w:r>
      <w:r w:rsidR="00FD432F">
        <w:rPr>
          <w:rFonts w:ascii="Arial" w:hAnsi="Arial" w:cs="Arial"/>
          <w:iCs/>
          <w:sz w:val="24"/>
          <w:szCs w:val="24"/>
        </w:rPr>
        <w:t>s</w:t>
      </w:r>
      <w:r w:rsidR="00446233">
        <w:rPr>
          <w:rFonts w:ascii="Arial" w:hAnsi="Arial" w:cs="Arial"/>
          <w:iCs/>
          <w:sz w:val="24"/>
          <w:szCs w:val="24"/>
        </w:rPr>
        <w:t xml:space="preserve"> at other enterprises;</w:t>
      </w:r>
    </w:p>
    <w:p w14:paraId="50543580" w14:textId="77777777" w:rsidR="009F07B8" w:rsidRPr="009F07B8" w:rsidRDefault="009F07B8" w:rsidP="009F07B8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7415C77E" w14:textId="20D46E01" w:rsidR="00FD432F" w:rsidRDefault="002831B6" w:rsidP="009F07B8">
      <w:pPr>
        <w:pStyle w:val="ListParagraph"/>
        <w:numPr>
          <w:ilvl w:val="0"/>
          <w:numId w:val="37"/>
        </w:num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="00FD432F">
        <w:rPr>
          <w:rFonts w:ascii="Arial" w:hAnsi="Arial" w:cs="Arial"/>
          <w:iCs/>
          <w:sz w:val="24"/>
          <w:szCs w:val="24"/>
        </w:rPr>
        <w:t>he corporate bonds</w:t>
      </w:r>
      <w:r>
        <w:rPr>
          <w:rFonts w:ascii="Arial" w:hAnsi="Arial" w:cs="Arial"/>
          <w:iCs/>
          <w:sz w:val="24"/>
          <w:szCs w:val="24"/>
        </w:rPr>
        <w:t xml:space="preserve"> issued for the purpose of</w:t>
      </w:r>
      <w:r w:rsidR="00FD432F">
        <w:rPr>
          <w:rFonts w:ascii="Arial" w:hAnsi="Arial" w:cs="Arial"/>
          <w:iCs/>
          <w:sz w:val="24"/>
          <w:szCs w:val="24"/>
        </w:rPr>
        <w:t xml:space="preserve"> increas</w:t>
      </w:r>
      <w:r>
        <w:rPr>
          <w:rFonts w:ascii="Arial" w:hAnsi="Arial" w:cs="Arial"/>
          <w:iCs/>
          <w:sz w:val="24"/>
          <w:szCs w:val="24"/>
        </w:rPr>
        <w:t>ing</w:t>
      </w:r>
      <w:r w:rsidR="00FD432F">
        <w:rPr>
          <w:rFonts w:ascii="Arial" w:hAnsi="Arial" w:cs="Arial"/>
          <w:iCs/>
          <w:sz w:val="24"/>
          <w:szCs w:val="24"/>
        </w:rPr>
        <w:t xml:space="preserve"> the scale of </w:t>
      </w:r>
      <w:r w:rsidR="00E410B6">
        <w:rPr>
          <w:rFonts w:ascii="Arial" w:hAnsi="Arial" w:cs="Arial"/>
          <w:iCs/>
          <w:sz w:val="24"/>
          <w:szCs w:val="24"/>
        </w:rPr>
        <w:t>operational cap</w:t>
      </w:r>
      <w:r w:rsidR="00FD432F">
        <w:rPr>
          <w:rFonts w:ascii="Arial" w:hAnsi="Arial" w:cs="Arial"/>
          <w:iCs/>
          <w:sz w:val="24"/>
          <w:szCs w:val="24"/>
        </w:rPr>
        <w:t>i</w:t>
      </w:r>
      <w:r w:rsidR="00E410B6">
        <w:rPr>
          <w:rFonts w:ascii="Arial" w:hAnsi="Arial" w:cs="Arial"/>
          <w:iCs/>
          <w:sz w:val="24"/>
          <w:szCs w:val="24"/>
        </w:rPr>
        <w:t>t</w:t>
      </w:r>
      <w:r w:rsidR="00FD432F">
        <w:rPr>
          <w:rFonts w:ascii="Arial" w:hAnsi="Arial" w:cs="Arial"/>
          <w:iCs/>
          <w:sz w:val="24"/>
          <w:szCs w:val="24"/>
        </w:rPr>
        <w:t>al.</w:t>
      </w:r>
    </w:p>
    <w:p w14:paraId="3BDDD693" w14:textId="77777777" w:rsidR="009F07B8" w:rsidRDefault="009F07B8" w:rsidP="00BB724E">
      <w:pPr>
        <w:spacing w:after="0" w:line="264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</w:p>
    <w:p w14:paraId="76CB3249" w14:textId="40E4EF45" w:rsidR="00DE47B9" w:rsidRPr="00DE47B9" w:rsidRDefault="00DE47B9" w:rsidP="00BB724E">
      <w:pPr>
        <w:spacing w:after="0" w:line="264" w:lineRule="auto"/>
        <w:ind w:left="113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Circular No. 16/2021/TT-NHNN will take effect from January 15</w:t>
      </w:r>
      <w:r w:rsidRPr="00DE47B9">
        <w:rPr>
          <w:rFonts w:ascii="Arial" w:hAnsi="Arial" w:cs="Arial"/>
          <w:iCs/>
          <w:sz w:val="24"/>
          <w:szCs w:val="24"/>
          <w:vertAlign w:val="superscript"/>
        </w:rPr>
        <w:t>th</w:t>
      </w:r>
      <w:r>
        <w:rPr>
          <w:rFonts w:ascii="Arial" w:hAnsi="Arial" w:cs="Arial"/>
          <w:iCs/>
          <w:sz w:val="24"/>
          <w:szCs w:val="24"/>
        </w:rPr>
        <w:t xml:space="preserve">, 2022, enterprises should pay attention to the aforementioned new points to comply with </w:t>
      </w:r>
      <w:r w:rsidR="0010009D">
        <w:rPr>
          <w:rFonts w:ascii="Arial" w:hAnsi="Arial" w:cs="Arial"/>
          <w:iCs/>
          <w:sz w:val="24"/>
          <w:szCs w:val="24"/>
        </w:rPr>
        <w:t>provisions of</w:t>
      </w:r>
      <w:r>
        <w:rPr>
          <w:rFonts w:ascii="Arial" w:hAnsi="Arial" w:cs="Arial"/>
          <w:iCs/>
          <w:sz w:val="24"/>
          <w:szCs w:val="24"/>
        </w:rPr>
        <w:t xml:space="preserve"> law.</w:t>
      </w:r>
    </w:p>
    <w:p w14:paraId="13C6FD03" w14:textId="77777777" w:rsidR="001D3F43" w:rsidRPr="00714751" w:rsidRDefault="001D3F43" w:rsidP="00BB724E">
      <w:pPr>
        <w:spacing w:after="0" w:line="264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</w:p>
    <w:p w14:paraId="62A2613D" w14:textId="155438AC" w:rsidR="001D3F43" w:rsidRPr="004A4B84" w:rsidRDefault="0074428D" w:rsidP="0074428D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iCs/>
          <w:color w:val="C00000"/>
          <w:sz w:val="24"/>
          <w:szCs w:val="24"/>
        </w:rPr>
      </w:pPr>
      <w:r w:rsidRPr="004A4B84">
        <w:rPr>
          <w:rFonts w:ascii="Arial" w:hAnsi="Arial" w:cs="Arial"/>
          <w:b/>
          <w:bCs/>
          <w:iCs/>
          <w:color w:val="C00000"/>
          <w:sz w:val="24"/>
          <w:szCs w:val="24"/>
        </w:rPr>
        <w:t>The Circular No. 09/2021/TT-BKHĐT guiding on the selection of investors to implement investment projects in the form of public-private partnerships and investment projects utilizing land</w:t>
      </w:r>
    </w:p>
    <w:bookmarkEnd w:id="3"/>
    <w:p w14:paraId="400D4DF1" w14:textId="77777777" w:rsidR="002530E2" w:rsidRPr="00714751" w:rsidRDefault="002530E2" w:rsidP="00714751">
      <w:pPr>
        <w:pStyle w:val="ListParagraph"/>
        <w:rPr>
          <w:rFonts w:ascii="Arial" w:hAnsi="Arial" w:cs="Arial"/>
          <w:color w:val="000000" w:themeColor="text1"/>
          <w:spacing w:val="-2"/>
          <w:sz w:val="24"/>
          <w:szCs w:val="24"/>
        </w:rPr>
      </w:pPr>
    </w:p>
    <w:p w14:paraId="4E88E80E" w14:textId="77A0CE23" w:rsidR="00827FC3" w:rsidRPr="00F91BDC" w:rsidRDefault="00827FC3" w:rsidP="00F91BDC">
      <w:pPr>
        <w:pStyle w:val="ListParagraph"/>
        <w:spacing w:after="0" w:line="264" w:lineRule="auto"/>
        <w:jc w:val="both"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 w:rsidRPr="00F91BDC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On November 16</w:t>
      </w:r>
      <w:r w:rsidRPr="00F91BDC">
        <w:rPr>
          <w:rFonts w:ascii="Arial" w:hAnsi="Arial" w:cs="Arial"/>
          <w:iCs/>
          <w:color w:val="000000" w:themeColor="text1"/>
          <w:spacing w:val="-2"/>
          <w:sz w:val="24"/>
          <w:szCs w:val="24"/>
          <w:vertAlign w:val="superscript"/>
        </w:rPr>
        <w:t>th</w:t>
      </w:r>
      <w:r w:rsidRPr="00F91BDC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, 2021, the Ministry of Planning and Investment has promulgated the Circular No. 09/</w:t>
      </w:r>
      <w:r w:rsidR="003B746D" w:rsidRPr="00F91BDC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2021/TT-BKHD</w:t>
      </w:r>
      <w:r w:rsidR="000066B3" w:rsidRPr="00F91BDC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T guiding</w:t>
      </w:r>
      <w:r w:rsidRPr="00F91BDC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on the selection of investors to implement investment projects in the form of public-private partnerships and investment projects utilizing land (hereinafter referred to as “</w:t>
      </w:r>
      <w:r w:rsidRPr="00F91BDC">
        <w:rPr>
          <w:rFonts w:ascii="Arial" w:hAnsi="Arial" w:cs="Arial"/>
          <w:b/>
          <w:iCs/>
          <w:color w:val="000000" w:themeColor="text1"/>
          <w:spacing w:val="-2"/>
          <w:sz w:val="24"/>
          <w:szCs w:val="24"/>
        </w:rPr>
        <w:t>Circular No. 09/2021</w:t>
      </w:r>
      <w:r w:rsidRPr="00F91BDC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”)</w:t>
      </w:r>
      <w:r w:rsidR="00F91BDC" w:rsidRPr="00F91BDC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detailing and guiding the implementation of certain provisions of the Decree No. 35/2021/ND-CP and the Decree No. 25/2020/ND-CP</w:t>
      </w:r>
      <w:r w:rsidR="005E7CA2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, as well as replacing the former Circular No. 06/2020/TT-BKHDT. The highlight of this Circular is that it adds urban </w:t>
      </w:r>
      <w:r w:rsidR="00106A26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areas, headquarters buildings</w:t>
      </w:r>
      <w:r w:rsidR="00804C80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</w:t>
      </w:r>
      <w:r w:rsidR="00804C80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lastRenderedPageBreak/>
        <w:t>and work</w:t>
      </w:r>
      <w:r w:rsidR="005E7CA2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offices construction projects into </w:t>
      </w:r>
      <w:r w:rsidR="00106A26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the guidance on identifying investment projects utilizing land.</w:t>
      </w:r>
    </w:p>
    <w:p w14:paraId="0647DAC9" w14:textId="77777777" w:rsidR="00C164A2" w:rsidRPr="00FD0896" w:rsidRDefault="00C164A2" w:rsidP="00C164A2">
      <w:pPr>
        <w:pStyle w:val="ListParagraph"/>
        <w:spacing w:after="0" w:line="264" w:lineRule="auto"/>
        <w:ind w:left="1440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5B7CC703" w14:textId="0B0709E6" w:rsidR="00F63522" w:rsidRPr="00F63522" w:rsidRDefault="00F63522" w:rsidP="00FD0896">
      <w:pPr>
        <w:spacing w:after="0" w:line="264" w:lineRule="auto"/>
        <w:ind w:left="720"/>
        <w:jc w:val="both"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Accordingly, the identification of investment projects utilizing land as prescribed by Article 11.1 of the Decree No. 25/2020/ND-CP (amended by Article 108.4 of the Decree No. 31/2021/ND-CP) will be conducted as follows:</w:t>
      </w:r>
    </w:p>
    <w:p w14:paraId="447845B1" w14:textId="169EACEB" w:rsidR="006A259C" w:rsidRDefault="006A259C">
      <w:pPr>
        <w:pStyle w:val="ListParagraph"/>
        <w:spacing w:after="0" w:line="264" w:lineRule="auto"/>
        <w:ind w:left="1134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62A0D41D" w14:textId="76C19058" w:rsidR="00D352AD" w:rsidRDefault="00D352AD" w:rsidP="00FD0896">
      <w:pPr>
        <w:pStyle w:val="ListParagraph"/>
        <w:numPr>
          <w:ilvl w:val="0"/>
          <w:numId w:val="37"/>
        </w:numPr>
        <w:spacing w:after="0" w:line="264" w:lineRule="auto"/>
        <w:ind w:left="1080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Urban areas </w:t>
      </w:r>
      <w:r w:rsidR="00DE481B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shall be identified in accordance with</w:t>
      </w: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Clause 1, Section VII about Construction investment projects with mixed service function in Appendix IX attached to the Decree No. 15/2021/ND-CP, including:</w:t>
      </w:r>
    </w:p>
    <w:p w14:paraId="3663AB9E" w14:textId="58534A7B" w:rsidR="006A259C" w:rsidRDefault="006A259C" w:rsidP="003623B5">
      <w:pPr>
        <w:spacing w:after="0" w:line="264" w:lineRule="auto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0D9A120A" w14:textId="11C86C0C" w:rsidR="00A93640" w:rsidRPr="002E58BF" w:rsidRDefault="00680C46" w:rsidP="00FD0896">
      <w:pPr>
        <w:pStyle w:val="ListParagraph"/>
        <w:numPr>
          <w:ilvl w:val="0"/>
          <w:numId w:val="38"/>
        </w:numPr>
        <w:spacing w:after="0" w:line="264" w:lineRule="auto"/>
        <w:ind w:left="1386"/>
        <w:jc w:val="both"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 w:rsidRPr="002E58BF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Investment projects to construct</w:t>
      </w:r>
      <w:r w:rsidR="00503D8C" w:rsidRPr="002E58BF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housing-included urban areas</w:t>
      </w:r>
      <w:r w:rsidRPr="002E58BF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that are projects</w:t>
      </w:r>
      <w:r w:rsidR="002C7E2B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invested</w:t>
      </w:r>
      <w:r w:rsidR="003671C1" w:rsidRPr="002E58BF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to construct synchronous</w:t>
      </w:r>
      <w:r w:rsidRPr="002E58BF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technical and social infrastructure systems, </w:t>
      </w:r>
      <w:r w:rsidR="000353F5" w:rsidRPr="002E58BF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formed from one or more residential unit according to the</w:t>
      </w:r>
      <w:r w:rsidR="00A8567D" w:rsidRPr="002E58BF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approved</w:t>
      </w:r>
      <w:r w:rsidR="000353F5" w:rsidRPr="002E58BF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</w:t>
      </w:r>
      <w:r w:rsidR="00A8567D" w:rsidRPr="002E58BF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zoning plans or projects with the land use scale of 20 hectares or more in case the zoning plans don’t </w:t>
      </w:r>
      <w:r w:rsidR="00596CD9" w:rsidRPr="002E58BF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identify specific</w:t>
      </w:r>
      <w:r w:rsidR="00A8567D" w:rsidRPr="002E58BF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residential units;</w:t>
      </w:r>
    </w:p>
    <w:p w14:paraId="48DD38E3" w14:textId="4E3E11F7" w:rsidR="006A259C" w:rsidRDefault="006A259C" w:rsidP="003623B5">
      <w:pPr>
        <w:spacing w:after="0" w:line="264" w:lineRule="auto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6B07AD5A" w14:textId="5351EFE7" w:rsidR="002C7E2B" w:rsidRDefault="002C7E2B" w:rsidP="00FD0896">
      <w:pPr>
        <w:pStyle w:val="ListParagraph"/>
        <w:numPr>
          <w:ilvl w:val="0"/>
          <w:numId w:val="38"/>
        </w:numPr>
        <w:spacing w:after="0" w:line="264" w:lineRule="auto"/>
        <w:ind w:left="1386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Investment projects to construct non-housing urban areas that are projects invested to construct synchronous technical and social infrastructure systems with other construction works having the land use scale of 20 hectares or more.</w:t>
      </w:r>
    </w:p>
    <w:p w14:paraId="04B25703" w14:textId="7A9A9B7A" w:rsidR="006A259C" w:rsidRDefault="006A259C" w:rsidP="003623B5">
      <w:pPr>
        <w:spacing w:after="0" w:line="264" w:lineRule="auto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520E4F5B" w14:textId="2FA1C3B2" w:rsidR="00DE481B" w:rsidRDefault="00DE481B" w:rsidP="00FD0896">
      <w:pPr>
        <w:pStyle w:val="ListParagraph"/>
        <w:numPr>
          <w:ilvl w:val="0"/>
          <w:numId w:val="37"/>
        </w:numPr>
        <w:spacing w:after="0" w:line="264" w:lineRule="auto"/>
        <w:ind w:left="1080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  <w:r w:rsidRPr="00EE5802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Commercial housings </w:t>
      </w:r>
      <w:r w:rsidR="005B4E0E" w:rsidRPr="00EE5802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shall be identified in accordance with</w:t>
      </w:r>
      <w:r w:rsidRPr="00EE5802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Article 3.4 of the Law on Housing No. 65/2014/QH13</w:t>
      </w:r>
      <w:r w:rsidR="00E023EB" w:rsidRPr="00EE5802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. Correspon</w:t>
      </w:r>
      <w:r w:rsidRPr="00EE5802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dingly, </w:t>
      </w:r>
      <w:r w:rsidR="005B4E0E" w:rsidRPr="00EE5802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Commercial housing is any house invested to construct for sale, lease, lease purchase</w:t>
      </w:r>
      <w:r w:rsidR="00E023EB" w:rsidRPr="00EE5802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according to market mechanism</w:t>
      </w:r>
      <w:r w:rsidR="00C03535" w:rsidRPr="00EE5802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s</w:t>
      </w:r>
      <w:r w:rsidR="00E023EB"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  <w:t>.</w:t>
      </w:r>
    </w:p>
    <w:p w14:paraId="695627C9" w14:textId="118DB552" w:rsidR="00796E5D" w:rsidRDefault="00796E5D" w:rsidP="003623B5">
      <w:pPr>
        <w:spacing w:after="0" w:line="264" w:lineRule="auto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052BFEE6" w14:textId="20EB2FFE" w:rsidR="00804C80" w:rsidRDefault="00804C80" w:rsidP="00FD0896">
      <w:pPr>
        <w:pStyle w:val="ListParagraph"/>
        <w:numPr>
          <w:ilvl w:val="0"/>
          <w:numId w:val="37"/>
        </w:numPr>
        <w:spacing w:after="0" w:line="264" w:lineRule="auto"/>
        <w:ind w:left="1080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Headquarters buildings and work offices including buildings used as offices combined with accommodations shall be identified in accordance with Point h, Clause 2, Section I of Appendix I attached to the Decree No. 06/2021/ND-CP, including:</w:t>
      </w:r>
    </w:p>
    <w:p w14:paraId="5ED7753E" w14:textId="77777777" w:rsidR="00796E5D" w:rsidRPr="00796E5D" w:rsidRDefault="00796E5D" w:rsidP="00FD0896">
      <w:pPr>
        <w:pStyle w:val="ListParagraph"/>
        <w:ind w:left="306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19E5C63E" w14:textId="4A1F537A" w:rsidR="007A2DCB" w:rsidRDefault="007A2DCB" w:rsidP="00FD0896">
      <w:pPr>
        <w:pStyle w:val="ListParagraph"/>
        <w:numPr>
          <w:ilvl w:val="0"/>
          <w:numId w:val="39"/>
        </w:numPr>
        <w:spacing w:after="0" w:line="264" w:lineRule="auto"/>
        <w:ind w:left="1386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Buildings used as headquarters, work offices of State agencies and political</w:t>
      </w:r>
      <w:r w:rsidR="00A74896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, socio</w:t>
      </w: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–</w:t>
      </w:r>
      <w:r w:rsidR="00A74896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political</w:t>
      </w: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organizations;</w:t>
      </w:r>
    </w:p>
    <w:p w14:paraId="5156929A" w14:textId="77777777" w:rsidR="00796E5D" w:rsidRDefault="00796E5D" w:rsidP="00FD0896">
      <w:pPr>
        <w:pStyle w:val="ListParagraph"/>
        <w:spacing w:after="0" w:line="264" w:lineRule="auto"/>
        <w:ind w:left="1386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2E12346F" w14:textId="128C12B0" w:rsidR="00A74896" w:rsidRDefault="00A74896" w:rsidP="00FD0896">
      <w:pPr>
        <w:pStyle w:val="ListParagraph"/>
        <w:numPr>
          <w:ilvl w:val="0"/>
          <w:numId w:val="39"/>
        </w:numPr>
        <w:spacing w:after="0" w:line="264" w:lineRule="auto"/>
        <w:ind w:left="1386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Buildings used as headquarters, work offices of socio – occupational organizations, </w:t>
      </w:r>
      <w:r w:rsidR="008B0462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service providers, enterprises and other organizations, individuals;</w:t>
      </w:r>
    </w:p>
    <w:p w14:paraId="0C91CA1F" w14:textId="4DD496D1" w:rsidR="00796E5D" w:rsidRPr="00796E5D" w:rsidRDefault="00796E5D" w:rsidP="003623B5">
      <w:pPr>
        <w:spacing w:after="0" w:line="264" w:lineRule="auto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7B9FB891" w14:textId="47B99ED4" w:rsidR="000F6ED4" w:rsidRDefault="000F6ED4" w:rsidP="00FD0896">
      <w:pPr>
        <w:pStyle w:val="ListParagraph"/>
        <w:numPr>
          <w:ilvl w:val="0"/>
          <w:numId w:val="39"/>
        </w:numPr>
        <w:spacing w:after="0" w:line="264" w:lineRule="auto"/>
        <w:ind w:left="1386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Building used as offices combined with accommodations.</w:t>
      </w:r>
    </w:p>
    <w:p w14:paraId="28E1CA96" w14:textId="77777777" w:rsidR="00D80CFD" w:rsidRPr="00D80CFD" w:rsidRDefault="00D80CFD" w:rsidP="00FD0896">
      <w:pPr>
        <w:pStyle w:val="ListParagraph"/>
        <w:ind w:left="306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26897DBE" w14:textId="5F1C0772" w:rsidR="002A714F" w:rsidRDefault="002A714F" w:rsidP="00FD0896">
      <w:pPr>
        <w:pStyle w:val="ListParagraph"/>
        <w:numPr>
          <w:ilvl w:val="0"/>
          <w:numId w:val="37"/>
        </w:numPr>
        <w:spacing w:after="0" w:line="264" w:lineRule="auto"/>
        <w:ind w:left="1080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Commercial constructions including shopping malls, supermarkets, markets, stores; restaurants, food and beverage shops and other commercial constructions as prescribed in Point e, Clause 2, Section I of Appendix I attached to the Decree No. 06/2021/ND-CP;</w:t>
      </w:r>
    </w:p>
    <w:p w14:paraId="29D59A3F" w14:textId="24E752A9" w:rsidR="00D80CFD" w:rsidRDefault="00D80CFD" w:rsidP="003623B5">
      <w:pPr>
        <w:spacing w:after="0" w:line="264" w:lineRule="auto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774E7E46" w14:textId="0B19ECB0" w:rsidR="00985524" w:rsidRDefault="00985524" w:rsidP="00FD0896">
      <w:pPr>
        <w:pStyle w:val="ListParagraph"/>
        <w:numPr>
          <w:ilvl w:val="0"/>
          <w:numId w:val="37"/>
        </w:numPr>
        <w:spacing w:after="0" w:line="264" w:lineRule="auto"/>
        <w:ind w:left="1080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Service constructions including hotels, guest houses, motels; resorts; rental villas, rental apartments and other accommodation service facilities as prescribed in Point g, Clause 2, Section I of Appendix I attached to the Decree No. 06/2021/ND-CP, </w:t>
      </w:r>
      <w:r w:rsidR="001F5A8C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in particular</w:t>
      </w: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:</w:t>
      </w:r>
    </w:p>
    <w:p w14:paraId="761D0895" w14:textId="77777777" w:rsidR="00DC2913" w:rsidRPr="00FD0896" w:rsidRDefault="00DC2913" w:rsidP="00FD0896">
      <w:pPr>
        <w:pStyle w:val="ListParagraph"/>
        <w:ind w:left="306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77688E56" w14:textId="78754FDB" w:rsidR="003079A5" w:rsidRPr="003079A5" w:rsidRDefault="003079A5" w:rsidP="00FD0896">
      <w:pPr>
        <w:pStyle w:val="ListParagraph"/>
        <w:numPr>
          <w:ilvl w:val="0"/>
          <w:numId w:val="40"/>
        </w:numPr>
        <w:spacing w:after="0" w:line="264" w:lineRule="auto"/>
        <w:ind w:left="1440"/>
        <w:jc w:val="both"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 w:rsidRPr="003079A5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Hotels, guest houses, motels; resorts; rental villas, rental apartments </w:t>
      </w: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and other accommodation service</w:t>
      </w:r>
      <w:r w:rsidRPr="003079A5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facilities;</w:t>
      </w:r>
    </w:p>
    <w:p w14:paraId="161F8D6E" w14:textId="77777777" w:rsidR="00DC2913" w:rsidRPr="00DC2913" w:rsidRDefault="00DC2913" w:rsidP="00FD0896">
      <w:pPr>
        <w:pStyle w:val="ListParagraph"/>
        <w:spacing w:after="0" w:line="264" w:lineRule="auto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</w:p>
    <w:p w14:paraId="66ABB0CA" w14:textId="369C109C" w:rsidR="003079A5" w:rsidRDefault="003079A5" w:rsidP="00FD0896">
      <w:pPr>
        <w:pStyle w:val="ListParagraph"/>
        <w:numPr>
          <w:ilvl w:val="0"/>
          <w:numId w:val="40"/>
        </w:numPr>
        <w:spacing w:after="0" w:line="264" w:lineRule="auto"/>
        <w:ind w:left="1440"/>
        <w:jc w:val="both"/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Standalone billboards; post offices, post bureaus, other post and telecommunications service providers.</w:t>
      </w:r>
    </w:p>
    <w:p w14:paraId="5133C6A3" w14:textId="7B5B677D" w:rsidR="000C0FBA" w:rsidRDefault="000C0FBA" w:rsidP="00FD0896">
      <w:pPr>
        <w:rPr>
          <w:i/>
          <w:iCs/>
        </w:rPr>
      </w:pPr>
    </w:p>
    <w:p w14:paraId="77BF6E2B" w14:textId="3681D2C0" w:rsidR="00FD0896" w:rsidRPr="00FD0896" w:rsidRDefault="00FD0896" w:rsidP="002224CB">
      <w:pPr>
        <w:pStyle w:val="ListParagraph"/>
        <w:spacing w:after="0"/>
        <w:ind w:left="1134"/>
        <w:jc w:val="both"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 w:rsidRPr="00FD0896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The Circular </w:t>
      </w:r>
      <w:r w:rsidR="002224CB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No. 09/2021/TT-BKHD</w:t>
      </w:r>
      <w:r w:rsidRPr="00FD0896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T replacing </w:t>
      </w:r>
      <w:r w:rsidR="002224CB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the Circular No. 06/2020/TT-BKHD</w:t>
      </w:r>
      <w:r w:rsidRPr="00FD0896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T will </w:t>
      </w:r>
      <w:r w:rsidR="002224CB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start to </w:t>
      </w:r>
      <w:r w:rsidRPr="00FD0896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take effect from January 1</w:t>
      </w:r>
      <w:r w:rsidRPr="00FD0896">
        <w:rPr>
          <w:rFonts w:ascii="Arial" w:hAnsi="Arial" w:cs="Arial"/>
          <w:iCs/>
          <w:color w:val="000000" w:themeColor="text1"/>
          <w:spacing w:val="-2"/>
          <w:sz w:val="24"/>
          <w:szCs w:val="24"/>
          <w:vertAlign w:val="superscript"/>
        </w:rPr>
        <w:t>st</w:t>
      </w:r>
      <w:r w:rsidRPr="00FD0896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, 2022.</w:t>
      </w:r>
    </w:p>
    <w:p w14:paraId="2DBCA76F" w14:textId="77777777" w:rsidR="001E4C15" w:rsidRDefault="001E4C15" w:rsidP="00BE2B3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B2A8F6" w14:textId="17CBDCC1" w:rsidR="00360020" w:rsidRPr="00072A9C" w:rsidRDefault="002635C4" w:rsidP="00BE2B3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2A9C">
        <w:rPr>
          <w:rFonts w:ascii="Arial" w:hAnsi="Arial" w:cs="Arial"/>
          <w:color w:val="000000" w:themeColor="text1"/>
          <w:sz w:val="24"/>
          <w:szCs w:val="24"/>
        </w:rPr>
        <w:t>We hope this Monthly Newsletter</w:t>
      </w:r>
      <w:r w:rsidR="007E76BA">
        <w:rPr>
          <w:rFonts w:ascii="Arial" w:hAnsi="Arial" w:cs="Arial"/>
          <w:color w:val="000000" w:themeColor="text1"/>
          <w:sz w:val="24"/>
          <w:szCs w:val="24"/>
        </w:rPr>
        <w:t xml:space="preserve"> will</w:t>
      </w:r>
      <w:r w:rsidR="00360020" w:rsidRPr="00072A9C">
        <w:rPr>
          <w:rFonts w:ascii="Arial" w:hAnsi="Arial" w:cs="Arial"/>
          <w:color w:val="000000" w:themeColor="text1"/>
          <w:sz w:val="24"/>
          <w:szCs w:val="24"/>
        </w:rPr>
        <w:t xml:space="preserve"> bring you useful information.</w:t>
      </w:r>
    </w:p>
    <w:p w14:paraId="6AC2B62B" w14:textId="77777777" w:rsidR="00526FDB" w:rsidRPr="00072A9C" w:rsidRDefault="00526FDB" w:rsidP="00BE27AD">
      <w:pPr>
        <w:spacing w:after="0" w:line="264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4"/>
        <w:gridCol w:w="4239"/>
      </w:tblGrid>
      <w:tr w:rsidR="003B0B84" w:rsidRPr="00072A9C" w14:paraId="7F1C8318" w14:textId="77777777" w:rsidTr="004A712B">
        <w:trPr>
          <w:trHeight w:val="8029"/>
        </w:trPr>
        <w:tc>
          <w:tcPr>
            <w:tcW w:w="5684" w:type="dxa"/>
          </w:tcPr>
          <w:p w14:paraId="2349D404" w14:textId="7188B9F5" w:rsidR="000B55A8" w:rsidRPr="00072A9C" w:rsidRDefault="00D8791C" w:rsidP="00072A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</w:pPr>
            <w:r w:rsidRPr="00072A9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A3ED7A8" wp14:editId="687112B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333375</wp:posOffset>
                      </wp:positionV>
                      <wp:extent cx="3438525" cy="2030730"/>
                      <wp:effectExtent l="0" t="0" r="0" b="0"/>
                      <wp:wrapSquare wrapText="bothSides"/>
                      <wp:docPr id="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2030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8C406" w14:textId="77777777" w:rsidR="004649BD" w:rsidRPr="00072A9C" w:rsidRDefault="004649BD" w:rsidP="004649BD">
                                  <w:pPr>
                                    <w:spacing w:after="0"/>
                                    <w:rPr>
                                      <w:rFonts w:ascii="Arial" w:eastAsiaTheme="minorHAnsi" w:hAnsi="Arial" w:cs="Arial"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</w:pP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en-GB" w:eastAsia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vi-VN"/>
                                    </w:rPr>
                                    <w:t>r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t>. DIN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vi-VN"/>
                                    </w:rPr>
                                    <w:t>H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t xml:space="preserve"> QUANG LONG</w:t>
                                  </w:r>
                                </w:p>
                                <w:p w14:paraId="6984E93A" w14:textId="62626918" w:rsidR="004649BD" w:rsidRPr="00072A9C" w:rsidRDefault="004649BD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Director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cum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Managing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Partner</w:t>
                                  </w:r>
                                  <w:proofErr w:type="spellEnd"/>
                                </w:p>
                                <w:p w14:paraId="2AF4481D" w14:textId="77777777" w:rsidR="004649BD" w:rsidRPr="00072A9C" w:rsidRDefault="004649BD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FA48E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(+84)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919 963 977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 |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 </w:t>
                                  </w:r>
                                  <w:hyperlink r:id="rId8" w:tgtFrame="_blank" w:tooltip="mailto:long.dinh@apolatlegal.com" w:history="1">
                                    <w:r w:rsidRPr="00072A9C">
                                      <w:rPr>
                                        <w:rFonts w:ascii="Arial" w:eastAsia="Times New Roman" w:hAnsi="Arial" w:cs="Arial"/>
                                        <w:color w:val="1155CC"/>
                                        <w:sz w:val="20"/>
                                        <w:szCs w:val="20"/>
                                        <w:u w:val="single"/>
                                        <w:lang w:val="en-GB"/>
                                      </w:rPr>
                                      <w:t>long.dinh@apolatlegal.com</w:t>
                                    </w:r>
                                  </w:hyperlink>
                                </w:p>
                                <w:p w14:paraId="787F458A" w14:textId="77777777" w:rsidR="004649BD" w:rsidRPr="00072A9C" w:rsidRDefault="004649BD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9BCA80" w14:textId="7BC29324" w:rsidR="004649BD" w:rsidRPr="00072A9C" w:rsidRDefault="004649BD" w:rsidP="004649BD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843732"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4A71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DAO TRUNG THONG</w:t>
                                  </w:r>
                                </w:p>
                                <w:p w14:paraId="04B464A6" w14:textId="3C6EEE34" w:rsidR="004649BD" w:rsidRPr="00072A9C" w:rsidRDefault="004649BD" w:rsidP="004649BD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072A9C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Associate</w:t>
                                  </w:r>
                                </w:p>
                                <w:p w14:paraId="1785E71C" w14:textId="3373E4A7" w:rsidR="004649BD" w:rsidRPr="00072A9C" w:rsidRDefault="004649BD" w:rsidP="004649BD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A48E6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(+84) </w:t>
                                  </w:r>
                                  <w:r w:rsidR="00C771E7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777</w:t>
                                  </w:r>
                                  <w:r w:rsidR="004A4B84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164 449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 | 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597F60" w:rsidRPr="00825609">
                                      <w:rPr>
                                        <w:rStyle w:val="Hyperlink"/>
                                        <w:rFonts w:ascii="Arial" w:eastAsiaTheme="minorEastAsia" w:hAnsi="Arial" w:cs="Arial"/>
                                        <w:noProof/>
                                        <w:sz w:val="20"/>
                                        <w:szCs w:val="20"/>
                                        <w:lang w:val="vi-VN"/>
                                      </w:rPr>
                                      <w:t>thong.dao@apolatlegal.com</w:t>
                                    </w:r>
                                  </w:hyperlink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20E6CE4" w14:textId="77777777" w:rsidR="004A712B" w:rsidRDefault="004A712B" w:rsidP="004A712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26D03A" w14:textId="55EEB3C7" w:rsidR="004A712B" w:rsidRPr="0037478C" w:rsidRDefault="004A712B" w:rsidP="004A712B">
                                  <w:pPr>
                                    <w:spacing w:after="0" w:line="240" w:lineRule="auto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4A712B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Ms. LE </w:t>
                                  </w:r>
                                  <w:r w:rsidR="0037478C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</w:rPr>
                                    <w:t>TRINH ANH THU</w:t>
                                  </w:r>
                                </w:p>
                                <w:p w14:paraId="670F0182" w14:textId="2BF7A12B" w:rsidR="004A712B" w:rsidRPr="004A712B" w:rsidRDefault="004A712B" w:rsidP="004A712B">
                                  <w:pPr>
                                    <w:spacing w:after="0" w:line="240" w:lineRule="auto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4A712B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Paralegal</w:t>
                                  </w:r>
                                </w:p>
                                <w:p w14:paraId="45B9BA28" w14:textId="76C56406" w:rsidR="004A712B" w:rsidRPr="004A712B" w:rsidRDefault="004A712B" w:rsidP="004A712B">
                                  <w:pPr>
                                    <w:spacing w:after="0" w:line="240" w:lineRule="auto"/>
                                    <w:rPr>
                                      <w:rFonts w:ascii="Arial" w:eastAsia="MS Mincho" w:hAnsi="Arial" w:cs="Arial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771E7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4A712B">
                                    <w:rPr>
                                      <w:rFonts w:ascii="Arial" w:eastAsia="MS Mincho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Pr="004A712B">
                                    <w:rPr>
                                      <w:rFonts w:ascii="Arial" w:eastAsia="MS Mincho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(+84) </w:t>
                                  </w:r>
                                  <w:r w:rsidR="004A4B84">
                                    <w:rPr>
                                      <w:rFonts w:ascii="Arial" w:eastAsia="MS Mincho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962 941 160</w:t>
                                  </w:r>
                                  <w:r w:rsidR="00597F60" w:rsidRPr="004A712B">
                                    <w:rPr>
                                      <w:rFonts w:ascii="Arial" w:eastAsia="MS Mincho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  <w:r w:rsidRPr="004A712B">
                                    <w:rPr>
                                      <w:rFonts w:ascii="Arial" w:eastAsia="MS Mincho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| </w:t>
                                  </w:r>
                                  <w:r w:rsidRPr="00C771E7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4A712B">
                                    <w:rPr>
                                      <w:rFonts w:ascii="Arial" w:eastAsia="MS Mincho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C771E7" w:rsidRPr="00A1015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thu.letrinh@apolatlegal.com</w:t>
                                    </w:r>
                                  </w:hyperlink>
                                </w:p>
                                <w:p w14:paraId="2C63E8A5" w14:textId="77777777" w:rsidR="004A712B" w:rsidRPr="00072A9C" w:rsidRDefault="004A712B" w:rsidP="004649B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3F6A0C" w14:textId="59706717" w:rsidR="004F5220" w:rsidRPr="00072A9C" w:rsidRDefault="004F5220" w:rsidP="004F5220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D9A168A" w14:textId="0592793B" w:rsidR="006C7BE5" w:rsidRPr="00072A9C" w:rsidRDefault="006C7BE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D7A8" id="_x0000_s1028" type="#_x0000_t202" style="position:absolute;left:0;text-align:left;margin-left:.5pt;margin-top:26.25pt;width:270.75pt;height:159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" filled="f" stroked="f">
                      <v:textbox>
                        <w:txbxContent>
                          <w:p w14:paraId="33F8C406" w14:textId="77777777" w:rsidR="004649BD" w:rsidRPr="00072A9C" w:rsidRDefault="004649BD" w:rsidP="004649BD">
                            <w:pPr>
                              <w:spacing w:after="0"/>
                              <w:rPr>
                                <w:rFonts w:ascii="Arial" w:eastAsiaTheme="minorHAnsi" w:hAnsi="Arial" w:cs="Arial"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</w:pP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GB" w:eastAsia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vi-VN"/>
                              </w:rPr>
                              <w:t>r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  <w:t>. DIN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vi-VN"/>
                              </w:rPr>
                              <w:t>H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  <w:t xml:space="preserve"> QUANG LONG</w:t>
                            </w:r>
                          </w:p>
                          <w:p w14:paraId="6984E93A" w14:textId="62626918" w:rsidR="004649BD" w:rsidRPr="00072A9C" w:rsidRDefault="004649BD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Director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cum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Managing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Partner</w:t>
                            </w:r>
                            <w:proofErr w:type="spellEnd"/>
                          </w:p>
                          <w:p w14:paraId="2AF4481D" w14:textId="77777777" w:rsidR="004649BD" w:rsidRPr="00072A9C" w:rsidRDefault="004649BD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A48E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(+84)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919 963 977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 |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 </w:t>
                            </w:r>
                            <w:hyperlink r:id="rId11" w:tgtFrame="_blank" w:tooltip="mailto:long.dinh@apolatlegal.com" w:history="1">
                              <w:r w:rsidRPr="00072A9C">
                                <w:rPr>
                                  <w:rFonts w:ascii="Arial" w:eastAsia="Times New Roman" w:hAnsi="Arial" w:cs="Arial"/>
                                  <w:color w:val="1155CC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long.dinh@apolatlegal.com</w:t>
                              </w:r>
                            </w:hyperlink>
                          </w:p>
                          <w:p w14:paraId="787F458A" w14:textId="77777777" w:rsidR="004649BD" w:rsidRPr="00072A9C" w:rsidRDefault="004649BD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459BCA80" w14:textId="7BC29324" w:rsidR="004649BD" w:rsidRPr="00072A9C" w:rsidRDefault="004649BD" w:rsidP="004649B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</w:t>
                            </w:r>
                            <w:r w:rsidR="00843732"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r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A712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DAO TRUNG THONG</w:t>
                            </w:r>
                          </w:p>
                          <w:p w14:paraId="04B464A6" w14:textId="3C6EEE34" w:rsidR="004649BD" w:rsidRPr="00072A9C" w:rsidRDefault="004649BD" w:rsidP="004649BD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</w:pPr>
                            <w:r w:rsidRPr="00072A9C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Associate</w:t>
                            </w:r>
                          </w:p>
                          <w:p w14:paraId="1785E71C" w14:textId="3373E4A7" w:rsidR="004649BD" w:rsidRPr="00072A9C" w:rsidRDefault="004649BD" w:rsidP="004649BD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noProof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A48E6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(+84) </w:t>
                            </w:r>
                            <w:r w:rsidR="00C771E7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777</w:t>
                            </w:r>
                            <w:r w:rsidR="004A4B84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 xml:space="preserve"> 164 449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 | 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hyperlink r:id="rId12" w:history="1">
                              <w:r w:rsidR="00597F60" w:rsidRPr="00825609">
                                <w:rPr>
                                  <w:rStyle w:val="Hyperlink"/>
                                  <w:rFonts w:ascii="Arial" w:eastAsiaTheme="minorEastAsia" w:hAnsi="Arial" w:cs="Arial"/>
                                  <w:noProof/>
                                  <w:sz w:val="20"/>
                                  <w:szCs w:val="20"/>
                                  <w:lang w:val="vi-VN"/>
                                </w:rPr>
                                <w:t>thong.dao@apolatlegal.com</w:t>
                              </w:r>
                            </w:hyperlink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0E6CE4" w14:textId="77777777" w:rsidR="004A712B" w:rsidRDefault="004A712B" w:rsidP="004A71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26D03A" w14:textId="55EEB3C7" w:rsidR="004A712B" w:rsidRPr="0037478C" w:rsidRDefault="004A712B" w:rsidP="004A712B">
                            <w:pPr>
                              <w:spacing w:after="0" w:line="240" w:lineRule="auto"/>
                              <w:rPr>
                                <w:rFonts w:ascii="Arial" w:eastAsia="MS Mincho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A712B">
                              <w:rPr>
                                <w:rFonts w:ascii="Arial" w:eastAsia="MS Mincho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</w:rPr>
                              <w:t xml:space="preserve">Ms. LE </w:t>
                            </w:r>
                            <w:r w:rsidR="0037478C">
                              <w:rPr>
                                <w:rFonts w:ascii="Arial" w:eastAsia="MS Mincho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</w:rPr>
                              <w:t>TRINH ANH THU</w:t>
                            </w:r>
                          </w:p>
                          <w:p w14:paraId="670F0182" w14:textId="2BF7A12B" w:rsidR="004A712B" w:rsidRPr="004A712B" w:rsidRDefault="004A712B" w:rsidP="004A712B">
                            <w:pPr>
                              <w:spacing w:after="0" w:line="240" w:lineRule="auto"/>
                              <w:rPr>
                                <w:rFonts w:ascii="Arial" w:eastAsia="MS Mincho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A712B">
                              <w:rPr>
                                <w:rFonts w:ascii="Arial" w:eastAsia="MS Mincho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Paralegal</w:t>
                            </w:r>
                          </w:p>
                          <w:p w14:paraId="45B9BA28" w14:textId="76C56406" w:rsidR="004A712B" w:rsidRPr="004A712B" w:rsidRDefault="004A712B" w:rsidP="004A712B">
                            <w:pPr>
                              <w:spacing w:after="0" w:line="240" w:lineRule="auto"/>
                              <w:rPr>
                                <w:rFonts w:ascii="Arial" w:eastAsia="MS Mincho" w:hAnsi="Arial" w:cs="Arial"/>
                                <w:noProof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771E7">
                              <w:rPr>
                                <w:rFonts w:ascii="Arial" w:eastAsia="MS Mincho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4A712B">
                              <w:rPr>
                                <w:rFonts w:ascii="Arial" w:eastAsia="MS Mincho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4A712B">
                              <w:rPr>
                                <w:rFonts w:ascii="Arial" w:eastAsia="MS Mincho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(+84) </w:t>
                            </w:r>
                            <w:r w:rsidR="004A4B84">
                              <w:rPr>
                                <w:rFonts w:ascii="Arial" w:eastAsia="MS Mincho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962 941 160</w:t>
                            </w:r>
                            <w:r w:rsidR="00597F60" w:rsidRPr="004A712B">
                              <w:rPr>
                                <w:rFonts w:ascii="Arial" w:eastAsia="MS Mincho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  <w:r w:rsidRPr="004A712B">
                              <w:rPr>
                                <w:rFonts w:ascii="Arial" w:eastAsia="MS Mincho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| </w:t>
                            </w:r>
                            <w:r w:rsidRPr="00C771E7">
                              <w:rPr>
                                <w:rFonts w:ascii="Arial" w:eastAsia="MS Mincho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4A712B">
                              <w:rPr>
                                <w:rFonts w:ascii="Arial" w:eastAsia="MS Mincho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hyperlink r:id="rId13" w:history="1">
                              <w:r w:rsidR="00C771E7" w:rsidRPr="00A1015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thu.letrinh@apolatlegal.com</w:t>
                              </w:r>
                            </w:hyperlink>
                          </w:p>
                          <w:p w14:paraId="2C63E8A5" w14:textId="77777777" w:rsidR="004A712B" w:rsidRPr="00072A9C" w:rsidRDefault="004A712B" w:rsidP="004649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3F6A0C" w14:textId="59706717" w:rsidR="004F5220" w:rsidRPr="00072A9C" w:rsidRDefault="004F5220" w:rsidP="004F5220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D9A168A" w14:textId="0592793B" w:rsidR="006C7BE5" w:rsidRPr="00072A9C" w:rsidRDefault="006C7B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2FF5" w:rsidRPr="00072A9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  <w:t>Contributor</w:t>
            </w:r>
            <w:r w:rsidR="00735681" w:rsidRPr="00072A9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  <w:t>(</w:t>
            </w:r>
            <w:r w:rsidR="00C62FF5" w:rsidRPr="00072A9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  <w:t>s</w:t>
            </w:r>
            <w:r w:rsidR="00735681" w:rsidRPr="00072A9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  <w:t>)</w:t>
            </w:r>
            <w:r w:rsidR="00D27567" w:rsidRPr="00072A9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  <w:t>:</w:t>
            </w:r>
          </w:p>
          <w:p w14:paraId="76B116EA" w14:textId="587E3461" w:rsidR="00D1603D" w:rsidRPr="00072A9C" w:rsidRDefault="004A712B" w:rsidP="00BE2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2A9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34430A38" wp14:editId="225DD95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2548890</wp:posOffset>
                      </wp:positionV>
                      <wp:extent cx="3359150" cy="1971675"/>
                      <wp:effectExtent l="0" t="0" r="0" b="9525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0" cy="1971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59E92" w14:textId="77777777" w:rsidR="0044143C" w:rsidRDefault="0044143C" w:rsidP="0044143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40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Disclaimer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All materials have been prepared for general information purposes only.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information is not intended as, and should not be taken as, legal advice. Do not act or refrain from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acting based upon information provided herein without first consulting our lawyers about your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particular factual and legal circumstances.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Apolat Legal </w:t>
                                  </w:r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      </w:r>
                                </w:p>
                                <w:p w14:paraId="1DB7EBE0" w14:textId="126EE5B4" w:rsidR="006C7BE5" w:rsidRPr="007D545C" w:rsidRDefault="006C7BE5" w:rsidP="0044143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30A38" id="_x0000_s1029" type="#_x0000_t202" style="position:absolute;left:0;text-align:left;margin-left:1.3pt;margin-top:200.7pt;width:264.5pt;height:155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" fillcolor="#d8d8d8 [2732]" stroked="f">
                      <v:textbox>
                        <w:txbxContent>
                          <w:p w14:paraId="5EC59E92" w14:textId="77777777" w:rsidR="0044143C" w:rsidRDefault="0044143C" w:rsidP="004414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40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Disclaimer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All materials have been prepared for general information purposes only.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is not intended as, and should not be taken as, legal advice. Do not act or refrain from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based upon information provided herein without first consulting our lawyers about your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factual and legal circumstances.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Apolat Legal </w:t>
                            </w:r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</w:r>
                          </w:p>
                          <w:p w14:paraId="1DB7EBE0" w14:textId="126EE5B4" w:rsidR="006C7BE5" w:rsidRPr="007D545C" w:rsidRDefault="006C7BE5" w:rsidP="004414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1C8302" w14:textId="1FCEB839" w:rsidR="003B0B84" w:rsidRPr="00072A9C" w:rsidRDefault="003B0B84" w:rsidP="00BE2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39" w:type="dxa"/>
          </w:tcPr>
          <w:p w14:paraId="3B1BB4B6" w14:textId="77777777" w:rsidR="0044143C" w:rsidRPr="00072A9C" w:rsidRDefault="0044143C" w:rsidP="00BE27AD">
            <w:pPr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A9C">
              <w:rPr>
                <w:rFonts w:ascii="Arial" w:hAnsi="Arial" w:cs="Arial"/>
                <w:b/>
                <w:sz w:val="24"/>
                <w:szCs w:val="24"/>
              </w:rPr>
              <w:t>ABOUT US,</w:t>
            </w:r>
          </w:p>
          <w:p w14:paraId="153CC89A" w14:textId="77777777" w:rsidR="0044143C" w:rsidRPr="00072A9C" w:rsidRDefault="0044143C" w:rsidP="00BE27AD">
            <w:pPr>
              <w:spacing w:after="0" w:line="240" w:lineRule="auto"/>
              <w:ind w:left="142"/>
              <w:jc w:val="both"/>
              <w:rPr>
                <w:rFonts w:ascii="Arial" w:hAnsi="Arial" w:cs="Arial"/>
                <w:b/>
              </w:rPr>
            </w:pPr>
          </w:p>
          <w:p w14:paraId="57E87EC8" w14:textId="77777777" w:rsidR="0044143C" w:rsidRPr="00072A9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</w:rPr>
            </w:pPr>
            <w:r w:rsidRPr="00072A9C">
              <w:rPr>
                <w:rFonts w:ascii="Arial" w:hAnsi="Arial" w:cs="Arial"/>
                <w:shd w:val="clear" w:color="auto" w:fill="FFFFFF"/>
              </w:rPr>
              <w:t xml:space="preserve">Apolat Legal is a professional law firm with its offices in Ho Chi Minh city and Ha </w:t>
            </w:r>
            <w:proofErr w:type="spellStart"/>
            <w:r w:rsidRPr="00072A9C">
              <w:rPr>
                <w:rFonts w:ascii="Arial" w:hAnsi="Arial" w:cs="Arial"/>
                <w:shd w:val="clear" w:color="auto" w:fill="FFFFFF"/>
              </w:rPr>
              <w:t>Noi</w:t>
            </w:r>
            <w:proofErr w:type="spellEnd"/>
            <w:r w:rsidRPr="00072A9C">
              <w:rPr>
                <w:rFonts w:ascii="Arial" w:hAnsi="Arial" w:cs="Arial"/>
                <w:shd w:val="clear" w:color="auto" w:fill="FFFFFF"/>
              </w:rPr>
              <w:t xml:space="preserve"> city. The firm’s lawyer team specializes in almost all legal practice areas in Vietnam including Enterprise and Investment; Labor and Employment; Intellectual Property; Dispute Resolution; Real Estate and Construction; Information and Communication; Natural Resources and Environment; Transport; Industry and Trade; Education and Training; Finance and Banking; Agriculture; Legal Document Translation; Legal Training.</w:t>
            </w:r>
          </w:p>
          <w:p w14:paraId="018D9043" w14:textId="77777777" w:rsidR="0044143C" w:rsidRPr="00072A9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EE40247" w14:textId="77777777" w:rsidR="0044143C" w:rsidRPr="00072A9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</w:rPr>
            </w:pPr>
            <w:r w:rsidRPr="00072A9C">
              <w:rPr>
                <w:rFonts w:ascii="Arial" w:hAnsi="Arial" w:cs="Arial"/>
                <w:shd w:val="clear" w:color="auto" w:fill="FFFFFF"/>
              </w:rPr>
              <w:t>Our reputation and the quality of its services are reflected by our clients. We are serving nearly 1,000 clients both local and multi-national companies.</w:t>
            </w:r>
          </w:p>
          <w:p w14:paraId="12AA0B50" w14:textId="77777777" w:rsidR="0044143C" w:rsidRPr="00072A9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080C5B8" w14:textId="77777777" w:rsidR="0044143C" w:rsidRPr="00072A9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</w:rPr>
            </w:pPr>
            <w:r w:rsidRPr="00072A9C">
              <w:rPr>
                <w:rFonts w:ascii="Arial" w:hAnsi="Arial" w:cs="Arial"/>
                <w:shd w:val="clear" w:color="auto" w:fill="FFFFFF"/>
              </w:rPr>
              <w:t>We are also honored to receive numerous recognitions and/or articles posted by world-leading and local organizations and publications including: The Law Association for Asia and the Pacific (</w:t>
            </w:r>
            <w:proofErr w:type="spellStart"/>
            <w:r w:rsidRPr="00072A9C">
              <w:rPr>
                <w:rFonts w:ascii="Arial" w:hAnsi="Arial" w:cs="Arial"/>
                <w:shd w:val="clear" w:color="auto" w:fill="FFFFFF"/>
              </w:rPr>
              <w:t>LawAsia</w:t>
            </w:r>
            <w:proofErr w:type="spellEnd"/>
            <w:r w:rsidRPr="00072A9C">
              <w:rPr>
                <w:rFonts w:ascii="Arial" w:hAnsi="Arial" w:cs="Arial"/>
                <w:shd w:val="clear" w:color="auto" w:fill="FFFFFF"/>
              </w:rPr>
              <w:t xml:space="preserve">, 1966), The Legal500, IP Link, IP </w:t>
            </w:r>
            <w:proofErr w:type="spellStart"/>
            <w:r w:rsidRPr="00072A9C">
              <w:rPr>
                <w:rFonts w:ascii="Arial" w:hAnsi="Arial" w:cs="Arial"/>
                <w:shd w:val="clear" w:color="auto" w:fill="FFFFFF"/>
              </w:rPr>
              <w:t>Coster</w:t>
            </w:r>
            <w:proofErr w:type="spellEnd"/>
            <w:r w:rsidRPr="00072A9C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072A9C">
              <w:rPr>
                <w:rFonts w:ascii="Arial" w:hAnsi="Arial" w:cs="Arial"/>
                <w:shd w:val="clear" w:color="auto" w:fill="FFFFFF"/>
              </w:rPr>
              <w:t>Lexology</w:t>
            </w:r>
            <w:proofErr w:type="spellEnd"/>
            <w:r w:rsidRPr="00072A9C">
              <w:rPr>
                <w:rFonts w:ascii="Arial" w:hAnsi="Arial" w:cs="Arial"/>
                <w:shd w:val="clear" w:color="auto" w:fill="FFFFFF"/>
              </w:rPr>
              <w:t>, Global Trade Review (GTR), The Saigon Times, etc.</w:t>
            </w:r>
          </w:p>
          <w:p w14:paraId="7F1C8317" w14:textId="4173CC3C" w:rsidR="003B0B84" w:rsidRPr="00072A9C" w:rsidRDefault="003B0B84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</w:p>
        </w:tc>
      </w:tr>
    </w:tbl>
    <w:p w14:paraId="7F1C831B" w14:textId="226049CF" w:rsidR="00145055" w:rsidRPr="00072A9C" w:rsidRDefault="00145055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80" w:tblpY="99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04"/>
      </w:tblGrid>
      <w:tr w:rsidR="001B2280" w:rsidRPr="00072A9C" w14:paraId="7EEA6161" w14:textId="77777777" w:rsidTr="000C55A8">
        <w:trPr>
          <w:trHeight w:val="7290"/>
        </w:trPr>
        <w:tc>
          <w:tcPr>
            <w:tcW w:w="5580" w:type="dxa"/>
          </w:tcPr>
          <w:p w14:paraId="270CCAD2" w14:textId="77777777" w:rsidR="0044143C" w:rsidRPr="00C771E7" w:rsidRDefault="0044143C" w:rsidP="00BE27AD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1E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Contacts:</w:t>
            </w:r>
          </w:p>
          <w:p w14:paraId="5C3CA1E9" w14:textId="77777777" w:rsidR="0044143C" w:rsidRPr="00072A9C" w:rsidRDefault="0044143C" w:rsidP="00BE27AD">
            <w:pPr>
              <w:spacing w:after="0" w:line="264" w:lineRule="auto"/>
              <w:ind w:left="160"/>
              <w:jc w:val="both"/>
              <w:rPr>
                <w:rFonts w:ascii="Arial" w:hAnsi="Arial" w:cs="Arial"/>
                <w:b/>
                <w:bCs/>
                <w:color w:val="C00000"/>
              </w:rPr>
            </w:pPr>
          </w:p>
          <w:p w14:paraId="1D1C5FFB" w14:textId="77777777" w:rsidR="0044143C" w:rsidRPr="00072A9C" w:rsidRDefault="0044143C" w:rsidP="00BE27AD">
            <w:pPr>
              <w:spacing w:after="0"/>
              <w:jc w:val="both"/>
              <w:rPr>
                <w:rFonts w:ascii="Arial" w:hAnsi="Arial" w:cs="Arial"/>
                <w:b/>
                <w:bCs/>
                <w:color w:val="C00000"/>
              </w:rPr>
            </w:pPr>
            <w:r w:rsidRPr="00072A9C">
              <w:rPr>
                <w:rFonts w:ascii="Arial" w:hAnsi="Arial" w:cs="Arial"/>
                <w:b/>
                <w:bCs/>
                <w:color w:val="C00000"/>
              </w:rPr>
              <w:t>HO CHI MINH CITY (Head office)</w:t>
            </w:r>
          </w:p>
          <w:p w14:paraId="649AEF15" w14:textId="0567EE66" w:rsidR="0044143C" w:rsidRPr="00072A9C" w:rsidRDefault="0044143C" w:rsidP="00BE27AD">
            <w:pPr>
              <w:spacing w:after="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5</w:t>
            </w:r>
            <w:r w:rsidRPr="00072A9C">
              <w:rPr>
                <w:rFonts w:ascii="Arial" w:hAnsi="Arial" w:cs="Arial"/>
                <w:vertAlign w:val="superscript"/>
              </w:rPr>
              <w:t>th</w:t>
            </w:r>
            <w:r w:rsidRPr="00072A9C">
              <w:rPr>
                <w:rFonts w:ascii="Arial" w:hAnsi="Arial" w:cs="Arial"/>
              </w:rPr>
              <w:t xml:space="preserve"> Floor, IMM Building</w:t>
            </w:r>
            <w:r w:rsidRPr="00072A9C">
              <w:rPr>
                <w:rFonts w:ascii="Arial" w:hAnsi="Arial" w:cs="Arial"/>
              </w:rPr>
              <w:cr/>
              <w:t>99-101 Nguyen Dinh Chieu, District 3</w:t>
            </w:r>
            <w:r w:rsidRPr="00072A9C">
              <w:rPr>
                <w:rFonts w:ascii="Arial" w:hAnsi="Arial" w:cs="Arial"/>
              </w:rPr>
              <w:cr/>
              <w:t>Ho Chi Minh City, Vietnam</w:t>
            </w:r>
          </w:p>
          <w:p w14:paraId="297803BA" w14:textId="534B4675" w:rsidR="0044143C" w:rsidRPr="00072A9C" w:rsidRDefault="0044143C" w:rsidP="00BE27AD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</w:p>
          <w:p w14:paraId="09DAE853" w14:textId="1BD73489" w:rsidR="000C55A8" w:rsidRPr="00072A9C" w:rsidRDefault="000C55A8" w:rsidP="00BE27AD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color w:val="C00000"/>
              </w:rPr>
            </w:pPr>
            <w:r w:rsidRPr="00072A9C">
              <w:rPr>
                <w:rFonts w:ascii="Arial" w:hAnsi="Arial" w:cs="Arial"/>
                <w:b/>
                <w:bCs/>
                <w:color w:val="C00000"/>
              </w:rPr>
              <w:t>THE BRANCH IN HA NOI CITY</w:t>
            </w:r>
          </w:p>
          <w:p w14:paraId="6B0E7FDD" w14:textId="547C611F" w:rsidR="000C55A8" w:rsidRPr="00072A9C" w:rsidRDefault="000C55A8" w:rsidP="00BE27AD">
            <w:pPr>
              <w:spacing w:after="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Room A8, 29th Floor, East Tower, Lotte Center</w:t>
            </w:r>
          </w:p>
          <w:p w14:paraId="4CC946DC" w14:textId="67DDC73B" w:rsidR="000C55A8" w:rsidRPr="00072A9C" w:rsidRDefault="000C55A8" w:rsidP="00BE27AD">
            <w:pPr>
              <w:spacing w:after="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 xml:space="preserve">54 Lieu </w:t>
            </w:r>
            <w:proofErr w:type="spellStart"/>
            <w:r w:rsidRPr="00072A9C">
              <w:rPr>
                <w:rFonts w:ascii="Arial" w:hAnsi="Arial" w:cs="Arial"/>
              </w:rPr>
              <w:t>Giai</w:t>
            </w:r>
            <w:proofErr w:type="spellEnd"/>
            <w:r w:rsidRPr="00072A9C">
              <w:rPr>
                <w:rFonts w:ascii="Arial" w:hAnsi="Arial" w:cs="Arial"/>
              </w:rPr>
              <w:t>, Cong Vi Ward, Ba Dinh District</w:t>
            </w:r>
          </w:p>
          <w:p w14:paraId="51629A75" w14:textId="60B055F0" w:rsidR="000C55A8" w:rsidRPr="00072A9C" w:rsidRDefault="000C55A8" w:rsidP="00BE27AD">
            <w:pPr>
              <w:spacing w:after="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Hanoi City, Vietnam</w:t>
            </w:r>
          </w:p>
          <w:p w14:paraId="0ED18149" w14:textId="7F87DEAA" w:rsidR="000C55A8" w:rsidRPr="00072A9C" w:rsidRDefault="000C55A8" w:rsidP="00BE27AD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</w:p>
          <w:p w14:paraId="7C33C338" w14:textId="13348577" w:rsidR="0044143C" w:rsidRPr="00072A9C" w:rsidRDefault="0044143C" w:rsidP="00BE27AD">
            <w:pPr>
              <w:spacing w:after="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Tel: +84-28-3899 8683</w:t>
            </w:r>
            <w:r w:rsidRPr="00072A9C">
              <w:rPr>
                <w:rFonts w:ascii="Arial" w:hAnsi="Arial" w:cs="Arial"/>
              </w:rPr>
              <w:cr/>
              <w:t xml:space="preserve">Email: </w:t>
            </w:r>
            <w:hyperlink r:id="rId14" w:history="1">
              <w:r w:rsidR="0050023D" w:rsidRPr="00072A9C">
                <w:rPr>
                  <w:rStyle w:val="Hyperlink"/>
                  <w:rFonts w:ascii="Arial" w:hAnsi="Arial" w:cs="Arial"/>
                </w:rPr>
                <w:t>info@apolatlegal.com</w:t>
              </w:r>
            </w:hyperlink>
            <w:r w:rsidR="0050023D" w:rsidRPr="0050023D">
              <w:rPr>
                <w:rFonts w:ascii="Arial" w:hAnsi="Arial" w:cs="Arial"/>
              </w:rPr>
              <w:t xml:space="preserve"> </w:t>
            </w:r>
            <w:r w:rsidRPr="00072A9C">
              <w:rPr>
                <w:rFonts w:ascii="Arial" w:hAnsi="Arial" w:cs="Arial"/>
              </w:rPr>
              <w:t xml:space="preserve"> </w:t>
            </w:r>
          </w:p>
          <w:p w14:paraId="1B109FDF" w14:textId="68D53493" w:rsidR="001B2280" w:rsidRPr="00072A9C" w:rsidRDefault="0044143C" w:rsidP="00BE27AD">
            <w:pPr>
              <w:spacing w:after="0" w:line="264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2A9C">
              <w:rPr>
                <w:rFonts w:ascii="Arial" w:hAnsi="Arial" w:cs="Arial"/>
              </w:rPr>
              <w:t xml:space="preserve">Website: </w:t>
            </w:r>
            <w:hyperlink r:id="rId15" w:history="1">
              <w:r w:rsidRPr="00072A9C">
                <w:rPr>
                  <w:rStyle w:val="Hyperlink"/>
                  <w:rFonts w:ascii="Arial" w:hAnsi="Arial" w:cs="Arial"/>
                </w:rPr>
                <w:t>www.apolatlegal.com</w:t>
              </w:r>
            </w:hyperlink>
          </w:p>
        </w:tc>
        <w:tc>
          <w:tcPr>
            <w:tcW w:w="4804" w:type="dxa"/>
          </w:tcPr>
          <w:p w14:paraId="67D1EF7F" w14:textId="77777777" w:rsidR="001B2280" w:rsidRPr="00072A9C" w:rsidRDefault="001B2280" w:rsidP="00BE27AD">
            <w:pPr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F6B0F9" w14:textId="77777777" w:rsidR="0044143C" w:rsidRPr="00072A9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b/>
                <w:bCs/>
                <w:color w:val="C00000"/>
              </w:rPr>
            </w:pPr>
          </w:p>
          <w:p w14:paraId="6E17396E" w14:textId="58F02D1A" w:rsidR="0044143C" w:rsidRPr="00072A9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b/>
                <w:bCs/>
                <w:color w:val="C00000"/>
              </w:rPr>
            </w:pPr>
            <w:r w:rsidRPr="00072A9C">
              <w:rPr>
                <w:rFonts w:ascii="Arial" w:hAnsi="Arial" w:cs="Arial"/>
                <w:b/>
                <w:bCs/>
                <w:color w:val="C00000"/>
              </w:rPr>
              <w:t>SINGAPORE (Affiliated office)</w:t>
            </w:r>
          </w:p>
          <w:p w14:paraId="0C031BAA" w14:textId="60F0EACA" w:rsidR="0044143C" w:rsidRPr="00072A9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 xml:space="preserve">#26-10, SBF Center, </w:t>
            </w:r>
          </w:p>
          <w:p w14:paraId="6E48EF0B" w14:textId="77777777" w:rsidR="0044143C" w:rsidRPr="00072A9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160 Robinson Road</w:t>
            </w:r>
          </w:p>
          <w:p w14:paraId="7F07723A" w14:textId="77777777" w:rsidR="0044143C" w:rsidRPr="00072A9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Singapore 068914</w:t>
            </w:r>
          </w:p>
          <w:p w14:paraId="5BB61760" w14:textId="77777777" w:rsidR="0044143C" w:rsidRPr="00072A9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Tel: +84-93-2014 986</w:t>
            </w:r>
            <w:r w:rsidRPr="00072A9C">
              <w:rPr>
                <w:rFonts w:ascii="Arial" w:hAnsi="Arial" w:cs="Arial"/>
              </w:rPr>
              <w:cr/>
              <w:t xml:space="preserve">Email: </w:t>
            </w:r>
            <w:hyperlink r:id="rId16" w:history="1">
              <w:r w:rsidRPr="00072A9C">
                <w:rPr>
                  <w:rStyle w:val="Hyperlink"/>
                  <w:rFonts w:ascii="Arial" w:hAnsi="Arial" w:cs="Arial"/>
                </w:rPr>
                <w:t>info@apolatlegal.com</w:t>
              </w:r>
            </w:hyperlink>
            <w:r w:rsidRPr="00072A9C">
              <w:rPr>
                <w:rFonts w:ascii="Arial" w:hAnsi="Arial" w:cs="Arial"/>
              </w:rPr>
              <w:t xml:space="preserve"> </w:t>
            </w:r>
          </w:p>
          <w:p w14:paraId="520402C0" w14:textId="73ABA4E6" w:rsidR="001B2280" w:rsidRPr="00072A9C" w:rsidRDefault="0044143C" w:rsidP="00BE27AD">
            <w:pPr>
              <w:spacing w:after="0" w:line="264" w:lineRule="auto"/>
              <w:ind w:left="1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2A9C">
              <w:rPr>
                <w:rFonts w:ascii="Arial" w:hAnsi="Arial" w:cs="Arial"/>
              </w:rPr>
              <w:t xml:space="preserve">Website: </w:t>
            </w:r>
            <w:hyperlink r:id="rId17" w:history="1">
              <w:r w:rsidRPr="00072A9C">
                <w:rPr>
                  <w:rStyle w:val="Hyperlink"/>
                  <w:rFonts w:ascii="Arial" w:hAnsi="Arial" w:cs="Arial"/>
                </w:rPr>
                <w:t>www.apolatlegal.com</w:t>
              </w:r>
            </w:hyperlink>
          </w:p>
        </w:tc>
      </w:tr>
    </w:tbl>
    <w:p w14:paraId="52D6E870" w14:textId="4BABA9A1" w:rsidR="00503956" w:rsidRPr="00072A9C" w:rsidRDefault="00503956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072A9C">
        <w:rPr>
          <w:rFonts w:ascii="Arial" w:hAnsi="Arial" w:cs="Arial"/>
          <w:b/>
          <w:bCs/>
        </w:rPr>
        <w:t>Scan QR code:</w:t>
      </w:r>
    </w:p>
    <w:p w14:paraId="69A10F19" w14:textId="13975717" w:rsidR="00503956" w:rsidRPr="00072A9C" w:rsidRDefault="000C55A8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072A9C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1665D7D8" wp14:editId="6305E19D">
            <wp:simplePos x="0" y="0"/>
            <wp:positionH relativeFrom="margin">
              <wp:align>left</wp:align>
            </wp:positionH>
            <wp:positionV relativeFrom="margin">
              <wp:posOffset>5261610</wp:posOffset>
            </wp:positionV>
            <wp:extent cx="1116330" cy="1116330"/>
            <wp:effectExtent l="0" t="0" r="7620" b="762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tig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956" w:rsidRPr="00072A9C" w:rsidSect="009A3B36">
      <w:headerReference w:type="default" r:id="rId19"/>
      <w:footerReference w:type="default" r:id="rId20"/>
      <w:headerReference w:type="first" r:id="rId21"/>
      <w:footerReference w:type="first" r:id="rId22"/>
      <w:pgSz w:w="11909" w:h="16834" w:code="9"/>
      <w:pgMar w:top="1620" w:right="851" w:bottom="1890" w:left="1350" w:header="35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BC69" w14:textId="77777777" w:rsidR="00585E99" w:rsidRDefault="00585E99">
      <w:pPr>
        <w:spacing w:after="0" w:line="240" w:lineRule="auto"/>
      </w:pPr>
      <w:r>
        <w:separator/>
      </w:r>
    </w:p>
  </w:endnote>
  <w:endnote w:type="continuationSeparator" w:id="0">
    <w:p w14:paraId="0AD7F3E7" w14:textId="77777777" w:rsidR="00585E99" w:rsidRDefault="0058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 Francisco Text Regular">
    <w:altName w:val="Calibri"/>
    <w:panose1 w:val="00000000000000000000"/>
    <w:charset w:val="00"/>
    <w:family w:val="modern"/>
    <w:notTrueType/>
    <w:pitch w:val="variable"/>
    <w:sig w:usb0="00000001" w:usb1="5000204A" w:usb2="00000000" w:usb3="00000000" w:csb0="00000193" w:csb1="00000000"/>
  </w:font>
  <w:font w:name="San Francisco Text Ligh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" w:type="dxa"/>
      <w:jc w:val="right"/>
      <w:tblLayout w:type="fixed"/>
      <w:tblLook w:val="04A0" w:firstRow="1" w:lastRow="0" w:firstColumn="1" w:lastColumn="0" w:noHBand="0" w:noVBand="1"/>
    </w:tblPr>
    <w:tblGrid>
      <w:gridCol w:w="236"/>
    </w:tblGrid>
    <w:tr w:rsidR="006C7BE5" w14:paraId="7F1C8322" w14:textId="77777777">
      <w:trPr>
        <w:jc w:val="right"/>
      </w:trPr>
      <w:tc>
        <w:tcPr>
          <w:tcW w:w="236" w:type="dxa"/>
        </w:tcPr>
        <w:p w14:paraId="7F1C8321" w14:textId="377C488A" w:rsidR="006C7BE5" w:rsidRDefault="006C7BE5">
          <w:pPr>
            <w:pStyle w:val="Footer"/>
            <w:jc w:val="right"/>
            <w:rPr>
              <w:rFonts w:ascii="San Francisco Text Regular" w:hAnsi="San Francisco Text Regular"/>
            </w:rPr>
          </w:pPr>
        </w:p>
      </w:tc>
    </w:tr>
  </w:tbl>
  <w:p w14:paraId="7F1C8323" w14:textId="5F24644E" w:rsidR="006C7BE5" w:rsidRDefault="00072A9C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BB7FB7A" wp14:editId="0DF9B4D4">
              <wp:simplePos x="0" y="0"/>
              <wp:positionH relativeFrom="margin">
                <wp:posOffset>-171450</wp:posOffset>
              </wp:positionH>
              <wp:positionV relativeFrom="margin">
                <wp:posOffset>9257665</wp:posOffset>
              </wp:positionV>
              <wp:extent cx="2360930" cy="1404620"/>
              <wp:effectExtent l="0" t="0" r="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AFF52" w14:textId="77777777" w:rsidR="00072A9C" w:rsidRPr="00526FDB" w:rsidRDefault="00072A9C" w:rsidP="00072A9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B7FB7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3.5pt;margin-top:728.9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6DIgIAACM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" stroked="f">
              <v:textbox style="mso-fit-shape-to-text:t">
                <w:txbxContent>
                  <w:p w14:paraId="1B3AFF52" w14:textId="77777777" w:rsidR="00072A9C" w:rsidRPr="00526FDB" w:rsidRDefault="00072A9C" w:rsidP="00072A9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C7BE5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5E9CF" wp14:editId="6838A06E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DCCA8E" id="Rectangle 13" o:spid="_x0000_s1026" style="position:absolute;margin-left:485pt;margin-top:-6.6pt;width:19.6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" fillcolor="#c00000" stroked="f" strokeweight="1pt"/>
          </w:pict>
        </mc:Fallback>
      </mc:AlternateContent>
    </w:r>
    <w:r w:rsidR="006C7BE5">
      <w:rPr>
        <w:rFonts w:ascii="San Francisco Text Light" w:hAnsi="San Francisco Text Light"/>
        <w:sz w:val="20"/>
      </w:rPr>
      <w:t xml:space="preserve">Page </w:t>
    </w:r>
    <w:r w:rsidR="006C7BE5">
      <w:rPr>
        <w:rFonts w:ascii="San Francisco Text Light" w:hAnsi="San Francisco Text Light"/>
        <w:sz w:val="20"/>
      </w:rPr>
      <w:fldChar w:fldCharType="begin"/>
    </w:r>
    <w:r w:rsidR="006C7BE5">
      <w:rPr>
        <w:rFonts w:ascii="San Francisco Text Light" w:hAnsi="San Francisco Text Light"/>
        <w:sz w:val="20"/>
      </w:rPr>
      <w:instrText xml:space="preserve"> PAGE </w:instrText>
    </w:r>
    <w:r w:rsidR="006C7BE5">
      <w:rPr>
        <w:rFonts w:ascii="San Francisco Text Light" w:hAnsi="San Francisco Text Light"/>
        <w:sz w:val="20"/>
      </w:rPr>
      <w:fldChar w:fldCharType="separate"/>
    </w:r>
    <w:r w:rsidR="003079A5">
      <w:rPr>
        <w:rFonts w:ascii="San Francisco Text Light" w:hAnsi="San Francisco Text Light"/>
        <w:noProof/>
        <w:sz w:val="20"/>
      </w:rPr>
      <w:t>6</w:t>
    </w:r>
    <w:r w:rsidR="006C7BE5">
      <w:rPr>
        <w:rFonts w:ascii="San Francisco Text Light" w:hAnsi="San Francisco Text Light"/>
        <w:sz w:val="20"/>
      </w:rPr>
      <w:fldChar w:fldCharType="end"/>
    </w:r>
    <w:r w:rsidR="006C7BE5">
      <w:rPr>
        <w:rFonts w:ascii="San Francisco Text Light" w:hAnsi="San Francisco Text Light"/>
        <w:sz w:val="20"/>
      </w:rPr>
      <w:t xml:space="preserve"> /</w:t>
    </w:r>
    <w:r w:rsidR="006C7BE5">
      <w:rPr>
        <w:rFonts w:ascii="San Francisco Text Light" w:hAnsi="San Francisco Text Light"/>
        <w:sz w:val="20"/>
      </w:rPr>
      <w:fldChar w:fldCharType="begin"/>
    </w:r>
    <w:r w:rsidR="006C7BE5">
      <w:rPr>
        <w:rFonts w:ascii="San Francisco Text Light" w:hAnsi="San Francisco Text Light"/>
        <w:sz w:val="20"/>
      </w:rPr>
      <w:instrText xml:space="preserve"> NUMPAGES  </w:instrText>
    </w:r>
    <w:r w:rsidR="006C7BE5">
      <w:rPr>
        <w:rFonts w:ascii="San Francisco Text Light" w:hAnsi="San Francisco Text Light"/>
        <w:sz w:val="20"/>
      </w:rPr>
      <w:fldChar w:fldCharType="separate"/>
    </w:r>
    <w:r w:rsidR="003079A5">
      <w:rPr>
        <w:rFonts w:ascii="San Francisco Text Light" w:hAnsi="San Francisco Text Light"/>
        <w:noProof/>
        <w:sz w:val="20"/>
      </w:rPr>
      <w:t>8</w:t>
    </w:r>
    <w:r w:rsidR="006C7BE5">
      <w:rPr>
        <w:rFonts w:ascii="San Francisco Text Light" w:hAnsi="San Francisco Text Light"/>
        <w:sz w:val="20"/>
      </w:rPr>
      <w:fldChar w:fldCharType="end"/>
    </w:r>
    <w:r w:rsidR="006C7BE5">
      <w:rPr>
        <w:rFonts w:ascii="San Francisco Text Light" w:hAnsi="San Francisco Text Light"/>
        <w:sz w:val="20"/>
      </w:rPr>
      <w:t xml:space="preserve"> </w:t>
    </w:r>
  </w:p>
  <w:p w14:paraId="7F1C8324" w14:textId="77777777" w:rsidR="006C7BE5" w:rsidRDefault="006C7BE5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DF2B" w14:textId="0E517850" w:rsidR="006C7BE5" w:rsidRDefault="00072A9C" w:rsidP="00E266AB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70C7AB3" wp14:editId="04CBE6D1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69566" w14:textId="77777777" w:rsidR="00072A9C" w:rsidRPr="00526FDB" w:rsidRDefault="00072A9C" w:rsidP="00072A9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0C7AB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17.25pt;margin-top:722.2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E+IQIAACM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" stroked="f">
              <v:textbox style="mso-fit-shape-to-text:t">
                <w:txbxContent>
                  <w:p w14:paraId="23B69566" w14:textId="77777777" w:rsidR="00072A9C" w:rsidRPr="00526FDB" w:rsidRDefault="00072A9C" w:rsidP="00072A9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526FDB"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D9F5D98" wp14:editId="5B186768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D1955" w14:textId="5D3EE1CD" w:rsidR="00526FDB" w:rsidRPr="00526FDB" w:rsidRDefault="00526FD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9F5D98" id="_x0000_s1034" type="#_x0000_t202" style="position:absolute;left:0;text-align:left;margin-left:-17.25pt;margin-top:722.2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alIw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" stroked="f">
              <v:textbox style="mso-fit-shape-to-text:t">
                <w:txbxContent>
                  <w:p w14:paraId="2E5D1955" w14:textId="5D3EE1CD" w:rsidR="00526FDB" w:rsidRPr="00526FDB" w:rsidRDefault="00526FDB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C7BE5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DD26384" wp14:editId="4B409233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8336A" id="Rectangle 206" o:spid="_x0000_s1026" style="position:absolute;margin-left:485pt;margin-top:-6.6pt;width:19.6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" fillcolor="#c00000" stroked="f" strokeweight="1pt"/>
          </w:pict>
        </mc:Fallback>
      </mc:AlternateContent>
    </w:r>
    <w:r w:rsidR="006C7BE5">
      <w:rPr>
        <w:rFonts w:ascii="San Francisco Text Light" w:hAnsi="San Francisco Text Light"/>
        <w:sz w:val="20"/>
      </w:rPr>
      <w:t xml:space="preserve">Page </w:t>
    </w:r>
    <w:r w:rsidR="006C7BE5">
      <w:rPr>
        <w:rFonts w:ascii="San Francisco Text Light" w:hAnsi="San Francisco Text Light"/>
        <w:sz w:val="20"/>
      </w:rPr>
      <w:fldChar w:fldCharType="begin"/>
    </w:r>
    <w:r w:rsidR="006C7BE5">
      <w:rPr>
        <w:rFonts w:ascii="San Francisco Text Light" w:hAnsi="San Francisco Text Light"/>
        <w:sz w:val="20"/>
      </w:rPr>
      <w:instrText xml:space="preserve"> PAGE </w:instrText>
    </w:r>
    <w:r w:rsidR="006C7BE5">
      <w:rPr>
        <w:rFonts w:ascii="San Francisco Text Light" w:hAnsi="San Francisco Text Light"/>
        <w:sz w:val="20"/>
      </w:rPr>
      <w:fldChar w:fldCharType="separate"/>
    </w:r>
    <w:r w:rsidR="00680C46">
      <w:rPr>
        <w:rFonts w:ascii="San Francisco Text Light" w:hAnsi="San Francisco Text Light"/>
        <w:noProof/>
        <w:sz w:val="20"/>
      </w:rPr>
      <w:t>1</w:t>
    </w:r>
    <w:r w:rsidR="006C7BE5">
      <w:rPr>
        <w:rFonts w:ascii="San Francisco Text Light" w:hAnsi="San Francisco Text Light"/>
        <w:sz w:val="20"/>
      </w:rPr>
      <w:fldChar w:fldCharType="end"/>
    </w:r>
    <w:r w:rsidR="006C7BE5">
      <w:rPr>
        <w:rFonts w:ascii="San Francisco Text Light" w:hAnsi="San Francisco Text Light"/>
        <w:sz w:val="20"/>
      </w:rPr>
      <w:t xml:space="preserve"> /</w:t>
    </w:r>
    <w:r w:rsidR="006C7BE5">
      <w:rPr>
        <w:rFonts w:ascii="San Francisco Text Light" w:hAnsi="San Francisco Text Light"/>
        <w:sz w:val="20"/>
      </w:rPr>
      <w:fldChar w:fldCharType="begin"/>
    </w:r>
    <w:r w:rsidR="006C7BE5">
      <w:rPr>
        <w:rFonts w:ascii="San Francisco Text Light" w:hAnsi="San Francisco Text Light"/>
        <w:sz w:val="20"/>
      </w:rPr>
      <w:instrText xml:space="preserve"> NUMPAGES  </w:instrText>
    </w:r>
    <w:r w:rsidR="006C7BE5">
      <w:rPr>
        <w:rFonts w:ascii="San Francisco Text Light" w:hAnsi="San Francisco Text Light"/>
        <w:sz w:val="20"/>
      </w:rPr>
      <w:fldChar w:fldCharType="separate"/>
    </w:r>
    <w:r w:rsidR="00680C46">
      <w:rPr>
        <w:rFonts w:ascii="San Francisco Text Light" w:hAnsi="San Francisco Text Light"/>
        <w:noProof/>
        <w:sz w:val="20"/>
      </w:rPr>
      <w:t>8</w:t>
    </w:r>
    <w:r w:rsidR="006C7BE5">
      <w:rPr>
        <w:rFonts w:ascii="San Francisco Text Light" w:hAnsi="San Francisco Text Light"/>
        <w:sz w:val="20"/>
      </w:rPr>
      <w:fldChar w:fldCharType="end"/>
    </w:r>
    <w:r w:rsidR="006C7BE5">
      <w:rPr>
        <w:rFonts w:ascii="San Francisco Text Light" w:hAnsi="San Francisco Text Light"/>
        <w:sz w:val="20"/>
      </w:rPr>
      <w:t xml:space="preserve"> </w:t>
    </w:r>
  </w:p>
  <w:p w14:paraId="5D3EF6D1" w14:textId="77777777" w:rsidR="006C7BE5" w:rsidRDefault="006C7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3559" w14:textId="77777777" w:rsidR="00585E99" w:rsidRDefault="00585E99">
      <w:pPr>
        <w:spacing w:after="0" w:line="240" w:lineRule="auto"/>
      </w:pPr>
      <w:r>
        <w:separator/>
      </w:r>
    </w:p>
  </w:footnote>
  <w:footnote w:type="continuationSeparator" w:id="0">
    <w:p w14:paraId="0152AFAD" w14:textId="77777777" w:rsidR="00585E99" w:rsidRDefault="0058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1935" w14:textId="60505D5C" w:rsidR="006C7BE5" w:rsidRDefault="006C7BE5" w:rsidP="00F42956">
    <w:pPr>
      <w:spacing w:after="0" w:line="264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D27567">
      <w:rPr>
        <w:rFonts w:ascii="Times New Roman" w:hAnsi="Times New Roman"/>
        <w:b/>
        <w:i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D13FB98" wp14:editId="034B635A">
              <wp:simplePos x="0" y="0"/>
              <wp:positionH relativeFrom="page">
                <wp:posOffset>4872355</wp:posOffset>
              </wp:positionH>
              <wp:positionV relativeFrom="paragraph">
                <wp:posOffset>50800</wp:posOffset>
              </wp:positionV>
              <wp:extent cx="2516429" cy="32385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29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6BF3" w14:textId="3C226917" w:rsidR="006C7BE5" w:rsidRPr="00837F1D" w:rsidRDefault="005E691A" w:rsidP="00F4295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>Legal Update</w:t>
                          </w:r>
                          <w:r w:rsidR="006C7BE5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r w:rsidR="006C7BE5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I</w:t>
                          </w:r>
                          <w:r w:rsidR="006C7BE5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r w:rsidR="00C771E7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November</w:t>
                          </w:r>
                          <w:r w:rsidR="006C7BE5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, </w:t>
                          </w:r>
                          <w:r w:rsidR="006C7BE5" w:rsidRPr="00F12443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202</w:t>
                          </w:r>
                          <w:r w:rsidR="00800F4D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1</w:t>
                          </w:r>
                        </w:p>
                        <w:p w14:paraId="0BD42345" w14:textId="77777777" w:rsidR="006C7BE5" w:rsidRDefault="006C7BE5" w:rsidP="00F429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3FB9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83.65pt;margin-top:4pt;width:198.15pt;height:2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6gDA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" filled="f" stroked="f">
              <v:textbox>
                <w:txbxContent>
                  <w:p w14:paraId="65626BF3" w14:textId="3C226917" w:rsidR="006C7BE5" w:rsidRPr="00837F1D" w:rsidRDefault="005E691A" w:rsidP="00F42956">
                    <w:pP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>Legal Update</w:t>
                    </w:r>
                    <w:r w:rsidR="006C7BE5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r w:rsidR="006C7BE5"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I</w:t>
                    </w:r>
                    <w:r w:rsidR="006C7BE5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r w:rsidR="00C771E7">
                      <w:rPr>
                        <w:rFonts w:ascii="Arial" w:hAnsi="Arial" w:cs="Arial"/>
                        <w:color w:val="404040" w:themeColor="text1" w:themeTint="BF"/>
                      </w:rPr>
                      <w:t>November</w:t>
                    </w:r>
                    <w:r w:rsidR="006C7BE5"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, </w:t>
                    </w:r>
                    <w:r w:rsidR="006C7BE5" w:rsidRPr="00F12443">
                      <w:rPr>
                        <w:rFonts w:ascii="Arial" w:hAnsi="Arial" w:cs="Arial"/>
                        <w:color w:val="404040" w:themeColor="text1" w:themeTint="BF"/>
                      </w:rPr>
                      <w:t>202</w:t>
                    </w:r>
                    <w:r w:rsidR="00800F4D">
                      <w:rPr>
                        <w:rFonts w:ascii="Arial" w:hAnsi="Arial" w:cs="Arial"/>
                        <w:color w:val="404040" w:themeColor="text1" w:themeTint="BF"/>
                      </w:rPr>
                      <w:t>1</w:t>
                    </w:r>
                  </w:p>
                  <w:p w14:paraId="0BD42345" w14:textId="77777777" w:rsidR="006C7BE5" w:rsidRDefault="006C7BE5" w:rsidP="00F42956"/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4CAAB7" wp14:editId="2FC13667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69850" cy="228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151D21" id="Rectangle 15" o:spid="_x0000_s1026" style="position:absolute;margin-left:-52pt;margin-top:10pt;width:5.5pt;height:1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" fillcolor="#c00000" stroked="f" strokeweight="1pt"/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0EE347" wp14:editId="6A32F35D">
              <wp:simplePos x="0" y="0"/>
              <wp:positionH relativeFrom="column">
                <wp:posOffset>-850900</wp:posOffset>
              </wp:positionH>
              <wp:positionV relativeFrom="paragraph">
                <wp:posOffset>127000</wp:posOffset>
              </wp:positionV>
              <wp:extent cx="177800" cy="228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228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1BE338" id="Rectangle 14" o:spid="_x0000_s1026" style="position:absolute;margin-left:-67pt;margin-top:10pt;width:14pt;height:1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" fillcolor="#747070 [1614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27BB0598" wp14:editId="62831B1D">
          <wp:simplePos x="0" y="0"/>
          <wp:positionH relativeFrom="column">
            <wp:posOffset>-544830</wp:posOffset>
          </wp:positionH>
          <wp:positionV relativeFrom="paragraph">
            <wp:posOffset>0</wp:posOffset>
          </wp:positionV>
          <wp:extent cx="791845" cy="260350"/>
          <wp:effectExtent l="0" t="0" r="8255" b="6350"/>
          <wp:wrapThrough wrapText="bothSides">
            <wp:wrapPolygon edited="0">
              <wp:start x="0" y="0"/>
              <wp:lineTo x="0" y="20546"/>
              <wp:lineTo x="21306" y="20546"/>
              <wp:lineTo x="21306" y="0"/>
              <wp:lineTo x="0" y="0"/>
            </wp:wrapPolygon>
          </wp:wrapThrough>
          <wp:docPr id="6" name="Picture 6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4868D" w14:textId="0FA56045" w:rsidR="006C7BE5" w:rsidRDefault="006C7BE5">
    <w:pPr>
      <w:pStyle w:val="Header"/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F04A59" wp14:editId="760EB0F9">
              <wp:simplePos x="0" y="0"/>
              <wp:positionH relativeFrom="column">
                <wp:posOffset>-563880</wp:posOffset>
              </wp:positionH>
              <wp:positionV relativeFrom="paragraph">
                <wp:posOffset>162560</wp:posOffset>
              </wp:positionV>
              <wp:extent cx="72237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17742" id="Straight Connector 16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2.8pt" to="5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" strokecolor="#c00000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7C55" w14:textId="070895FD" w:rsidR="006C7BE5" w:rsidRDefault="00153D52">
    <w:pPr>
      <w:pStyle w:val="Header"/>
    </w:pPr>
    <w:r w:rsidRPr="000E5190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87F165A" wp14:editId="0B279C2A">
              <wp:simplePos x="0" y="0"/>
              <wp:positionH relativeFrom="column">
                <wp:posOffset>4447540</wp:posOffset>
              </wp:positionH>
              <wp:positionV relativeFrom="paragraph">
                <wp:posOffset>7620</wp:posOffset>
              </wp:positionV>
              <wp:extent cx="1897380" cy="9080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961E7" w14:textId="77777777" w:rsidR="00153D52" w:rsidRDefault="00153D52" w:rsidP="00153D5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HO CHI MINH CITY (HEAD OFFICE)</w:t>
                          </w: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cr/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5th Floor,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Building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99-101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Nguye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 Dinh Chieu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District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Ho Chi Minh City, Vietnam</w:t>
                          </w:r>
                        </w:p>
                        <w:p w14:paraId="6DAD7FEE" w14:textId="77777777" w:rsidR="00153D52" w:rsidRPr="000E5190" w:rsidRDefault="00153D52" w:rsidP="00153D5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Tel: +84-28-3899 8683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info@apolatlegal.com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F165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0.2pt;margin-top:.6pt;width:149.4pt;height:7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" stroked="f">
              <v:textbox>
                <w:txbxContent>
                  <w:p w14:paraId="0A7961E7" w14:textId="77777777" w:rsidR="00153D52" w:rsidRDefault="00153D52" w:rsidP="00153D52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t>HO CHI MINH CITY (HEAD OFFICE)</w:t>
                    </w: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cr/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5th Floor,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IMM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Building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99-101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Nguye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 Dinh Chieu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, District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Ho Chi Minh City, Vietnam</w:t>
                    </w:r>
                  </w:p>
                  <w:p w14:paraId="6DAD7FEE" w14:textId="77777777" w:rsidR="00153D52" w:rsidRPr="000E5190" w:rsidRDefault="00153D52" w:rsidP="00153D52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Tel: +84-28-3899 8683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info@apolatlegal.com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7BE5">
      <w:rPr>
        <w:noProof/>
      </w:rPr>
      <w:drawing>
        <wp:anchor distT="0" distB="0" distL="114300" distR="114300" simplePos="0" relativeHeight="251668480" behindDoc="0" locked="0" layoutInCell="1" allowOverlap="1" wp14:anchorId="3D6EAE53" wp14:editId="3CBF1AF1">
          <wp:simplePos x="0" y="0"/>
          <wp:positionH relativeFrom="column">
            <wp:posOffset>-533400</wp:posOffset>
          </wp:positionH>
          <wp:positionV relativeFrom="paragraph">
            <wp:posOffset>146050</wp:posOffset>
          </wp:positionV>
          <wp:extent cx="1962150" cy="647065"/>
          <wp:effectExtent l="0" t="0" r="0" b="635"/>
          <wp:wrapThrough wrapText="bothSides">
            <wp:wrapPolygon edited="0">
              <wp:start x="0" y="0"/>
              <wp:lineTo x="0" y="20985"/>
              <wp:lineTo x="21390" y="20985"/>
              <wp:lineTo x="21390" y="0"/>
              <wp:lineTo x="0" y="0"/>
            </wp:wrapPolygon>
          </wp:wrapThrough>
          <wp:docPr id="7" name="Picture 7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417"/>
    <w:multiLevelType w:val="hybridMultilevel"/>
    <w:tmpl w:val="ED1A7CFA"/>
    <w:lvl w:ilvl="0" w:tplc="6186B722">
      <w:start w:val="1"/>
      <w:numFmt w:val="bullet"/>
      <w:lvlText w:val="+"/>
      <w:lvlJc w:val="left"/>
      <w:pPr>
        <w:ind w:left="17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" w15:restartNumberingAfterBreak="0">
    <w:nsid w:val="01A00E3F"/>
    <w:multiLevelType w:val="hybridMultilevel"/>
    <w:tmpl w:val="5EC8B50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2C31D7E"/>
    <w:multiLevelType w:val="hybridMultilevel"/>
    <w:tmpl w:val="474E0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97765"/>
    <w:multiLevelType w:val="hybridMultilevel"/>
    <w:tmpl w:val="DD0806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910DBB"/>
    <w:multiLevelType w:val="hybridMultilevel"/>
    <w:tmpl w:val="03C8897E"/>
    <w:lvl w:ilvl="0" w:tplc="75BAE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4602B"/>
    <w:multiLevelType w:val="hybridMultilevel"/>
    <w:tmpl w:val="0986B45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B16D21"/>
    <w:multiLevelType w:val="hybridMultilevel"/>
    <w:tmpl w:val="1B2E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B4482E"/>
    <w:multiLevelType w:val="hybridMultilevel"/>
    <w:tmpl w:val="0EE4C22A"/>
    <w:lvl w:ilvl="0" w:tplc="73CCBB24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088F016E"/>
    <w:multiLevelType w:val="hybridMultilevel"/>
    <w:tmpl w:val="315AC6E8"/>
    <w:lvl w:ilvl="0" w:tplc="8BFE0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8425D"/>
    <w:multiLevelType w:val="hybridMultilevel"/>
    <w:tmpl w:val="5EBA923A"/>
    <w:lvl w:ilvl="0" w:tplc="0FD25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76348"/>
    <w:multiLevelType w:val="hybridMultilevel"/>
    <w:tmpl w:val="22DCD366"/>
    <w:lvl w:ilvl="0" w:tplc="E0BAEFE8"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191B4D2D"/>
    <w:multiLevelType w:val="hybridMultilevel"/>
    <w:tmpl w:val="FF96C560"/>
    <w:lvl w:ilvl="0" w:tplc="93C68AA0">
      <w:numFmt w:val="bullet"/>
      <w:lvlText w:val="-"/>
      <w:lvlJc w:val="left"/>
      <w:pPr>
        <w:ind w:left="131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2" w15:restartNumberingAfterBreak="0">
    <w:nsid w:val="1C232D5B"/>
    <w:multiLevelType w:val="hybridMultilevel"/>
    <w:tmpl w:val="46524B66"/>
    <w:lvl w:ilvl="0" w:tplc="F4DAFDB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9D6091"/>
    <w:multiLevelType w:val="hybridMultilevel"/>
    <w:tmpl w:val="04381068"/>
    <w:lvl w:ilvl="0" w:tplc="E0BAEFE8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81F5B1F"/>
    <w:multiLevelType w:val="hybridMultilevel"/>
    <w:tmpl w:val="21F2C30E"/>
    <w:lvl w:ilvl="0" w:tplc="29F86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870080"/>
    <w:multiLevelType w:val="hybridMultilevel"/>
    <w:tmpl w:val="A9FC9786"/>
    <w:lvl w:ilvl="0" w:tplc="7B3297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E3782"/>
    <w:multiLevelType w:val="hybridMultilevel"/>
    <w:tmpl w:val="5E0E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853CB"/>
    <w:multiLevelType w:val="hybridMultilevel"/>
    <w:tmpl w:val="CE20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66555"/>
    <w:multiLevelType w:val="hybridMultilevel"/>
    <w:tmpl w:val="8B1655D2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9" w15:restartNumberingAfterBreak="0">
    <w:nsid w:val="49812F93"/>
    <w:multiLevelType w:val="hybridMultilevel"/>
    <w:tmpl w:val="E4F29446"/>
    <w:lvl w:ilvl="0" w:tplc="6186B72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272EF"/>
    <w:multiLevelType w:val="hybridMultilevel"/>
    <w:tmpl w:val="68D65AD6"/>
    <w:lvl w:ilvl="0" w:tplc="7232507E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F8D22F6"/>
    <w:multiLevelType w:val="hybridMultilevel"/>
    <w:tmpl w:val="C73A9948"/>
    <w:lvl w:ilvl="0" w:tplc="29F86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8E7A9A"/>
    <w:multiLevelType w:val="hybridMultilevel"/>
    <w:tmpl w:val="55FC1CA0"/>
    <w:lvl w:ilvl="0" w:tplc="86805638">
      <w:start w:val="1"/>
      <w:numFmt w:val="decimal"/>
      <w:lvlText w:val="%1."/>
      <w:lvlJc w:val="left"/>
      <w:pPr>
        <w:ind w:left="962" w:hanging="360"/>
      </w:pPr>
      <w:rPr>
        <w:rFonts w:hint="default"/>
        <w:b/>
        <w:i w:val="0"/>
        <w:color w:val="C00000"/>
      </w:rPr>
    </w:lvl>
    <w:lvl w:ilvl="1" w:tplc="8BFE04B2">
      <w:start w:val="1"/>
      <w:numFmt w:val="bullet"/>
      <w:lvlText w:val=""/>
      <w:lvlJc w:val="left"/>
      <w:pPr>
        <w:ind w:left="16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3" w15:restartNumberingAfterBreak="0">
    <w:nsid w:val="529A37B4"/>
    <w:multiLevelType w:val="hybridMultilevel"/>
    <w:tmpl w:val="F14EE8F6"/>
    <w:lvl w:ilvl="0" w:tplc="472AAE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66E4C"/>
    <w:multiLevelType w:val="hybridMultilevel"/>
    <w:tmpl w:val="36943D4E"/>
    <w:lvl w:ilvl="0" w:tplc="3644342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58732C"/>
    <w:multiLevelType w:val="hybridMultilevel"/>
    <w:tmpl w:val="4F04DAD6"/>
    <w:lvl w:ilvl="0" w:tplc="29481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637FD9"/>
    <w:multiLevelType w:val="hybridMultilevel"/>
    <w:tmpl w:val="8BCA2A68"/>
    <w:lvl w:ilvl="0" w:tplc="F13E9008">
      <w:numFmt w:val="bullet"/>
      <w:lvlText w:val="–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8F741F2"/>
    <w:multiLevelType w:val="hybridMultilevel"/>
    <w:tmpl w:val="69A43626"/>
    <w:lvl w:ilvl="0" w:tplc="44169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930EC"/>
    <w:multiLevelType w:val="hybridMultilevel"/>
    <w:tmpl w:val="015EB1B2"/>
    <w:lvl w:ilvl="0" w:tplc="2EEEB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858DC"/>
    <w:multiLevelType w:val="hybridMultilevel"/>
    <w:tmpl w:val="66DEE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8458C8"/>
    <w:multiLevelType w:val="hybridMultilevel"/>
    <w:tmpl w:val="D1DA4516"/>
    <w:lvl w:ilvl="0" w:tplc="F13E9008">
      <w:numFmt w:val="bullet"/>
      <w:lvlText w:val="–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84C09"/>
    <w:multiLevelType w:val="hybridMultilevel"/>
    <w:tmpl w:val="86F62AE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7B24E7"/>
    <w:multiLevelType w:val="hybridMultilevel"/>
    <w:tmpl w:val="DF8EED4C"/>
    <w:lvl w:ilvl="0" w:tplc="8BFE04B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6FFB4D7E"/>
    <w:multiLevelType w:val="hybridMultilevel"/>
    <w:tmpl w:val="36FCEFC0"/>
    <w:lvl w:ilvl="0" w:tplc="E0BAEFE8"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74790793"/>
    <w:multiLevelType w:val="hybridMultilevel"/>
    <w:tmpl w:val="C3C85978"/>
    <w:lvl w:ilvl="0" w:tplc="E0BAEFE8"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7816431B"/>
    <w:multiLevelType w:val="hybridMultilevel"/>
    <w:tmpl w:val="F51A66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9686DEC"/>
    <w:multiLevelType w:val="hybridMultilevel"/>
    <w:tmpl w:val="489AAF3C"/>
    <w:lvl w:ilvl="0" w:tplc="4EC2E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24E42"/>
    <w:multiLevelType w:val="hybridMultilevel"/>
    <w:tmpl w:val="58F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6681D"/>
    <w:multiLevelType w:val="hybridMultilevel"/>
    <w:tmpl w:val="C0A63330"/>
    <w:lvl w:ilvl="0" w:tplc="8BFE0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38"/>
  </w:num>
  <w:num w:numId="5">
    <w:abstractNumId w:val="0"/>
  </w:num>
  <w:num w:numId="6">
    <w:abstractNumId w:val="36"/>
  </w:num>
  <w:num w:numId="7">
    <w:abstractNumId w:val="3"/>
  </w:num>
  <w:num w:numId="8">
    <w:abstractNumId w:val="8"/>
  </w:num>
  <w:num w:numId="9">
    <w:abstractNumId w:val="32"/>
  </w:num>
  <w:num w:numId="10">
    <w:abstractNumId w:val="26"/>
  </w:num>
  <w:num w:numId="11">
    <w:abstractNumId w:val="30"/>
  </w:num>
  <w:num w:numId="12">
    <w:abstractNumId w:val="29"/>
  </w:num>
  <w:num w:numId="13">
    <w:abstractNumId w:val="2"/>
  </w:num>
  <w:num w:numId="14">
    <w:abstractNumId w:val="24"/>
  </w:num>
  <w:num w:numId="15">
    <w:abstractNumId w:val="4"/>
  </w:num>
  <w:num w:numId="16">
    <w:abstractNumId w:val="9"/>
  </w:num>
  <w:num w:numId="17">
    <w:abstractNumId w:val="5"/>
  </w:num>
  <w:num w:numId="18">
    <w:abstractNumId w:val="27"/>
  </w:num>
  <w:num w:numId="19">
    <w:abstractNumId w:val="16"/>
  </w:num>
  <w:num w:numId="20">
    <w:abstractNumId w:val="12"/>
  </w:num>
  <w:num w:numId="21">
    <w:abstractNumId w:val="25"/>
  </w:num>
  <w:num w:numId="22">
    <w:abstractNumId w:val="15"/>
  </w:num>
  <w:num w:numId="23">
    <w:abstractNumId w:val="28"/>
  </w:num>
  <w:num w:numId="24">
    <w:abstractNumId w:val="35"/>
  </w:num>
  <w:num w:numId="25">
    <w:abstractNumId w:val="23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  <w:num w:numId="31">
    <w:abstractNumId w:val="33"/>
  </w:num>
  <w:num w:numId="32">
    <w:abstractNumId w:val="7"/>
  </w:num>
  <w:num w:numId="33">
    <w:abstractNumId w:val="34"/>
  </w:num>
  <w:num w:numId="34">
    <w:abstractNumId w:val="10"/>
  </w:num>
  <w:num w:numId="35">
    <w:abstractNumId w:val="23"/>
  </w:num>
  <w:num w:numId="36">
    <w:abstractNumId w:val="1"/>
  </w:num>
  <w:num w:numId="37">
    <w:abstractNumId w:val="20"/>
  </w:num>
  <w:num w:numId="38">
    <w:abstractNumId w:val="37"/>
  </w:num>
  <w:num w:numId="39">
    <w:abstractNumId w:val="17"/>
  </w:num>
  <w:num w:numId="4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0MTYyNjewMDU0M7VQ0lEKTi0uzszPAykwrQUA9w/b2SwAAAA="/>
  </w:docVars>
  <w:rsids>
    <w:rsidRoot w:val="003B0B84"/>
    <w:rsid w:val="00000A9C"/>
    <w:rsid w:val="00001235"/>
    <w:rsid w:val="0000163F"/>
    <w:rsid w:val="00002035"/>
    <w:rsid w:val="000040E1"/>
    <w:rsid w:val="00006234"/>
    <w:rsid w:val="000066B3"/>
    <w:rsid w:val="00006D85"/>
    <w:rsid w:val="00006E19"/>
    <w:rsid w:val="0001039A"/>
    <w:rsid w:val="00010581"/>
    <w:rsid w:val="00010747"/>
    <w:rsid w:val="0001074A"/>
    <w:rsid w:val="00010E9D"/>
    <w:rsid w:val="00011C56"/>
    <w:rsid w:val="00011D20"/>
    <w:rsid w:val="00011D2F"/>
    <w:rsid w:val="00015797"/>
    <w:rsid w:val="00015886"/>
    <w:rsid w:val="00021E96"/>
    <w:rsid w:val="00022E62"/>
    <w:rsid w:val="0002427A"/>
    <w:rsid w:val="000248AB"/>
    <w:rsid w:val="000308C6"/>
    <w:rsid w:val="00031591"/>
    <w:rsid w:val="00032A90"/>
    <w:rsid w:val="000343A4"/>
    <w:rsid w:val="0003490F"/>
    <w:rsid w:val="00034D77"/>
    <w:rsid w:val="000353F5"/>
    <w:rsid w:val="00036E07"/>
    <w:rsid w:val="00041CB7"/>
    <w:rsid w:val="00042976"/>
    <w:rsid w:val="00043624"/>
    <w:rsid w:val="00045BA3"/>
    <w:rsid w:val="00045C3E"/>
    <w:rsid w:val="00046400"/>
    <w:rsid w:val="00051155"/>
    <w:rsid w:val="000529CB"/>
    <w:rsid w:val="0005716C"/>
    <w:rsid w:val="0005738D"/>
    <w:rsid w:val="00057B27"/>
    <w:rsid w:val="000627D4"/>
    <w:rsid w:val="000649D1"/>
    <w:rsid w:val="0006594E"/>
    <w:rsid w:val="00065F99"/>
    <w:rsid w:val="00072488"/>
    <w:rsid w:val="00072A9C"/>
    <w:rsid w:val="000739CA"/>
    <w:rsid w:val="000743D8"/>
    <w:rsid w:val="00076A32"/>
    <w:rsid w:val="00076DE9"/>
    <w:rsid w:val="00080318"/>
    <w:rsid w:val="00082D59"/>
    <w:rsid w:val="0008330E"/>
    <w:rsid w:val="0008347B"/>
    <w:rsid w:val="00090E8C"/>
    <w:rsid w:val="00092345"/>
    <w:rsid w:val="00094B95"/>
    <w:rsid w:val="00096370"/>
    <w:rsid w:val="000964E3"/>
    <w:rsid w:val="00096934"/>
    <w:rsid w:val="00097B3F"/>
    <w:rsid w:val="00097DFA"/>
    <w:rsid w:val="000A0F32"/>
    <w:rsid w:val="000A105D"/>
    <w:rsid w:val="000A1AA4"/>
    <w:rsid w:val="000A219D"/>
    <w:rsid w:val="000A2B0B"/>
    <w:rsid w:val="000A66CE"/>
    <w:rsid w:val="000B15F5"/>
    <w:rsid w:val="000B1AC6"/>
    <w:rsid w:val="000B311C"/>
    <w:rsid w:val="000B55A8"/>
    <w:rsid w:val="000B7547"/>
    <w:rsid w:val="000B7590"/>
    <w:rsid w:val="000C0FBA"/>
    <w:rsid w:val="000C1C97"/>
    <w:rsid w:val="000C2218"/>
    <w:rsid w:val="000C4630"/>
    <w:rsid w:val="000C55A8"/>
    <w:rsid w:val="000C5F2D"/>
    <w:rsid w:val="000C6D54"/>
    <w:rsid w:val="000D06F4"/>
    <w:rsid w:val="000D0F9E"/>
    <w:rsid w:val="000D1B18"/>
    <w:rsid w:val="000D1C4A"/>
    <w:rsid w:val="000D4337"/>
    <w:rsid w:val="000D5036"/>
    <w:rsid w:val="000D67F0"/>
    <w:rsid w:val="000D738C"/>
    <w:rsid w:val="000E0186"/>
    <w:rsid w:val="000E170A"/>
    <w:rsid w:val="000E39D7"/>
    <w:rsid w:val="000E3F81"/>
    <w:rsid w:val="000E41EE"/>
    <w:rsid w:val="000E5005"/>
    <w:rsid w:val="000E5190"/>
    <w:rsid w:val="000F1A8E"/>
    <w:rsid w:val="000F1F33"/>
    <w:rsid w:val="000F51ED"/>
    <w:rsid w:val="000F57F0"/>
    <w:rsid w:val="000F65D9"/>
    <w:rsid w:val="000F6ED4"/>
    <w:rsid w:val="0010009D"/>
    <w:rsid w:val="0010072A"/>
    <w:rsid w:val="00102005"/>
    <w:rsid w:val="00102B5A"/>
    <w:rsid w:val="00102EC7"/>
    <w:rsid w:val="001066F8"/>
    <w:rsid w:val="00106A26"/>
    <w:rsid w:val="00106B0B"/>
    <w:rsid w:val="00107445"/>
    <w:rsid w:val="00107621"/>
    <w:rsid w:val="00111D67"/>
    <w:rsid w:val="001124AE"/>
    <w:rsid w:val="001125B6"/>
    <w:rsid w:val="00114695"/>
    <w:rsid w:val="00117260"/>
    <w:rsid w:val="001209DF"/>
    <w:rsid w:val="0012332D"/>
    <w:rsid w:val="00124BC0"/>
    <w:rsid w:val="00125A06"/>
    <w:rsid w:val="00125B97"/>
    <w:rsid w:val="0012603D"/>
    <w:rsid w:val="001266EB"/>
    <w:rsid w:val="001273C3"/>
    <w:rsid w:val="00130BCF"/>
    <w:rsid w:val="00131412"/>
    <w:rsid w:val="0013196A"/>
    <w:rsid w:val="00134867"/>
    <w:rsid w:val="001351F5"/>
    <w:rsid w:val="00135283"/>
    <w:rsid w:val="00135793"/>
    <w:rsid w:val="001360F1"/>
    <w:rsid w:val="0013795E"/>
    <w:rsid w:val="00140CCD"/>
    <w:rsid w:val="00140F01"/>
    <w:rsid w:val="001413CA"/>
    <w:rsid w:val="00143493"/>
    <w:rsid w:val="00145055"/>
    <w:rsid w:val="0014553B"/>
    <w:rsid w:val="001458E2"/>
    <w:rsid w:val="00146474"/>
    <w:rsid w:val="001522C7"/>
    <w:rsid w:val="00153D52"/>
    <w:rsid w:val="00156383"/>
    <w:rsid w:val="001579D3"/>
    <w:rsid w:val="00161918"/>
    <w:rsid w:val="00162537"/>
    <w:rsid w:val="00162D51"/>
    <w:rsid w:val="0016352A"/>
    <w:rsid w:val="00163CE5"/>
    <w:rsid w:val="0016592C"/>
    <w:rsid w:val="00171C15"/>
    <w:rsid w:val="00172344"/>
    <w:rsid w:val="0017458D"/>
    <w:rsid w:val="00175C40"/>
    <w:rsid w:val="00176B03"/>
    <w:rsid w:val="00193D4C"/>
    <w:rsid w:val="00195795"/>
    <w:rsid w:val="00195B78"/>
    <w:rsid w:val="00197378"/>
    <w:rsid w:val="001A122F"/>
    <w:rsid w:val="001A1779"/>
    <w:rsid w:val="001A1C75"/>
    <w:rsid w:val="001A4AF0"/>
    <w:rsid w:val="001A52A7"/>
    <w:rsid w:val="001B0A1A"/>
    <w:rsid w:val="001B146A"/>
    <w:rsid w:val="001B1F01"/>
    <w:rsid w:val="001B2280"/>
    <w:rsid w:val="001B494E"/>
    <w:rsid w:val="001B5DD0"/>
    <w:rsid w:val="001B701F"/>
    <w:rsid w:val="001B7205"/>
    <w:rsid w:val="001C0339"/>
    <w:rsid w:val="001C041A"/>
    <w:rsid w:val="001C177C"/>
    <w:rsid w:val="001C24D4"/>
    <w:rsid w:val="001C2FC1"/>
    <w:rsid w:val="001C3D67"/>
    <w:rsid w:val="001C630D"/>
    <w:rsid w:val="001C6570"/>
    <w:rsid w:val="001D14D5"/>
    <w:rsid w:val="001D3F43"/>
    <w:rsid w:val="001D46C6"/>
    <w:rsid w:val="001D4812"/>
    <w:rsid w:val="001D59A2"/>
    <w:rsid w:val="001D59D4"/>
    <w:rsid w:val="001D62F0"/>
    <w:rsid w:val="001D6C7B"/>
    <w:rsid w:val="001D737F"/>
    <w:rsid w:val="001D7E78"/>
    <w:rsid w:val="001E43FB"/>
    <w:rsid w:val="001E4C15"/>
    <w:rsid w:val="001E6CED"/>
    <w:rsid w:val="001E764E"/>
    <w:rsid w:val="001E7798"/>
    <w:rsid w:val="001F0BF1"/>
    <w:rsid w:val="001F16C7"/>
    <w:rsid w:val="001F1F69"/>
    <w:rsid w:val="001F5A8C"/>
    <w:rsid w:val="001F6518"/>
    <w:rsid w:val="001F6F13"/>
    <w:rsid w:val="00200506"/>
    <w:rsid w:val="002015CC"/>
    <w:rsid w:val="00201660"/>
    <w:rsid w:val="00201BB2"/>
    <w:rsid w:val="00204B01"/>
    <w:rsid w:val="0020547C"/>
    <w:rsid w:val="0020628F"/>
    <w:rsid w:val="002074BC"/>
    <w:rsid w:val="00210EF5"/>
    <w:rsid w:val="00212F53"/>
    <w:rsid w:val="002149E4"/>
    <w:rsid w:val="00215A9D"/>
    <w:rsid w:val="002162D5"/>
    <w:rsid w:val="0021691E"/>
    <w:rsid w:val="002211AF"/>
    <w:rsid w:val="00222486"/>
    <w:rsid w:val="002224CB"/>
    <w:rsid w:val="002238D3"/>
    <w:rsid w:val="00224AD5"/>
    <w:rsid w:val="00224C42"/>
    <w:rsid w:val="00225D9F"/>
    <w:rsid w:val="00226819"/>
    <w:rsid w:val="002270A4"/>
    <w:rsid w:val="00227213"/>
    <w:rsid w:val="00232400"/>
    <w:rsid w:val="00233752"/>
    <w:rsid w:val="00234147"/>
    <w:rsid w:val="00234A4A"/>
    <w:rsid w:val="002351F7"/>
    <w:rsid w:val="00240124"/>
    <w:rsid w:val="0024197A"/>
    <w:rsid w:val="0024260A"/>
    <w:rsid w:val="00243171"/>
    <w:rsid w:val="0024790B"/>
    <w:rsid w:val="002479B1"/>
    <w:rsid w:val="00247A58"/>
    <w:rsid w:val="00247E14"/>
    <w:rsid w:val="00250454"/>
    <w:rsid w:val="00251C63"/>
    <w:rsid w:val="002525C1"/>
    <w:rsid w:val="002530E2"/>
    <w:rsid w:val="00255A84"/>
    <w:rsid w:val="002624AF"/>
    <w:rsid w:val="002635C4"/>
    <w:rsid w:val="002635EF"/>
    <w:rsid w:val="002639AA"/>
    <w:rsid w:val="00266938"/>
    <w:rsid w:val="002718A4"/>
    <w:rsid w:val="00272622"/>
    <w:rsid w:val="00273270"/>
    <w:rsid w:val="00274854"/>
    <w:rsid w:val="00274D58"/>
    <w:rsid w:val="00276601"/>
    <w:rsid w:val="00276DD6"/>
    <w:rsid w:val="0028058C"/>
    <w:rsid w:val="00282A3D"/>
    <w:rsid w:val="00282CDC"/>
    <w:rsid w:val="002831B6"/>
    <w:rsid w:val="00284842"/>
    <w:rsid w:val="00286273"/>
    <w:rsid w:val="00286BD5"/>
    <w:rsid w:val="00292C6B"/>
    <w:rsid w:val="002937AF"/>
    <w:rsid w:val="002974AD"/>
    <w:rsid w:val="00297ECB"/>
    <w:rsid w:val="002A1002"/>
    <w:rsid w:val="002A2A08"/>
    <w:rsid w:val="002A714F"/>
    <w:rsid w:val="002A7FCD"/>
    <w:rsid w:val="002B1324"/>
    <w:rsid w:val="002B30F9"/>
    <w:rsid w:val="002B46E3"/>
    <w:rsid w:val="002B5402"/>
    <w:rsid w:val="002C0740"/>
    <w:rsid w:val="002C10D8"/>
    <w:rsid w:val="002C364D"/>
    <w:rsid w:val="002C3CDA"/>
    <w:rsid w:val="002C3CEC"/>
    <w:rsid w:val="002C3D63"/>
    <w:rsid w:val="002C453E"/>
    <w:rsid w:val="002C4BB7"/>
    <w:rsid w:val="002C63AC"/>
    <w:rsid w:val="002C7E2B"/>
    <w:rsid w:val="002D2225"/>
    <w:rsid w:val="002D2E87"/>
    <w:rsid w:val="002D389F"/>
    <w:rsid w:val="002D6282"/>
    <w:rsid w:val="002D6DA4"/>
    <w:rsid w:val="002D7CF2"/>
    <w:rsid w:val="002E0622"/>
    <w:rsid w:val="002E15FD"/>
    <w:rsid w:val="002E27E0"/>
    <w:rsid w:val="002E2E6C"/>
    <w:rsid w:val="002E3B4F"/>
    <w:rsid w:val="002E42D0"/>
    <w:rsid w:val="002E5128"/>
    <w:rsid w:val="002E5216"/>
    <w:rsid w:val="002E58BF"/>
    <w:rsid w:val="002E58FC"/>
    <w:rsid w:val="002E5A16"/>
    <w:rsid w:val="002F0234"/>
    <w:rsid w:val="002F5CFF"/>
    <w:rsid w:val="002F62ED"/>
    <w:rsid w:val="002F6ED1"/>
    <w:rsid w:val="00300994"/>
    <w:rsid w:val="00300DF6"/>
    <w:rsid w:val="003019D1"/>
    <w:rsid w:val="00307262"/>
    <w:rsid w:val="003079A5"/>
    <w:rsid w:val="00315B97"/>
    <w:rsid w:val="00316DEB"/>
    <w:rsid w:val="0031750A"/>
    <w:rsid w:val="00320CF5"/>
    <w:rsid w:val="003220C4"/>
    <w:rsid w:val="003236B5"/>
    <w:rsid w:val="00326EB7"/>
    <w:rsid w:val="003274D4"/>
    <w:rsid w:val="00327673"/>
    <w:rsid w:val="00330565"/>
    <w:rsid w:val="0033057F"/>
    <w:rsid w:val="003316ED"/>
    <w:rsid w:val="00332119"/>
    <w:rsid w:val="00332DF4"/>
    <w:rsid w:val="003335A3"/>
    <w:rsid w:val="00333932"/>
    <w:rsid w:val="00334F55"/>
    <w:rsid w:val="00336BB7"/>
    <w:rsid w:val="0034040E"/>
    <w:rsid w:val="00341349"/>
    <w:rsid w:val="0034249D"/>
    <w:rsid w:val="00342781"/>
    <w:rsid w:val="00342E89"/>
    <w:rsid w:val="00346066"/>
    <w:rsid w:val="00346F79"/>
    <w:rsid w:val="003476A3"/>
    <w:rsid w:val="003478C5"/>
    <w:rsid w:val="003538A4"/>
    <w:rsid w:val="00353C8A"/>
    <w:rsid w:val="00354AA4"/>
    <w:rsid w:val="00355A54"/>
    <w:rsid w:val="0035632C"/>
    <w:rsid w:val="00357139"/>
    <w:rsid w:val="00360020"/>
    <w:rsid w:val="00361479"/>
    <w:rsid w:val="003623B5"/>
    <w:rsid w:val="00362AA0"/>
    <w:rsid w:val="00365044"/>
    <w:rsid w:val="00365F4B"/>
    <w:rsid w:val="00366729"/>
    <w:rsid w:val="00366AA5"/>
    <w:rsid w:val="003671C1"/>
    <w:rsid w:val="00367E1C"/>
    <w:rsid w:val="00367F59"/>
    <w:rsid w:val="00372D1A"/>
    <w:rsid w:val="00372EBE"/>
    <w:rsid w:val="0037376D"/>
    <w:rsid w:val="00373CD4"/>
    <w:rsid w:val="0037478C"/>
    <w:rsid w:val="0037501C"/>
    <w:rsid w:val="003753D9"/>
    <w:rsid w:val="00375AB8"/>
    <w:rsid w:val="00376BD0"/>
    <w:rsid w:val="0037719C"/>
    <w:rsid w:val="0037733D"/>
    <w:rsid w:val="00377CB8"/>
    <w:rsid w:val="00382F21"/>
    <w:rsid w:val="00383287"/>
    <w:rsid w:val="003841FB"/>
    <w:rsid w:val="003843A9"/>
    <w:rsid w:val="00384654"/>
    <w:rsid w:val="00386778"/>
    <w:rsid w:val="00386F8D"/>
    <w:rsid w:val="00391F93"/>
    <w:rsid w:val="00393013"/>
    <w:rsid w:val="0039328A"/>
    <w:rsid w:val="00394396"/>
    <w:rsid w:val="00395097"/>
    <w:rsid w:val="00397557"/>
    <w:rsid w:val="003A06B3"/>
    <w:rsid w:val="003A0796"/>
    <w:rsid w:val="003A0D3B"/>
    <w:rsid w:val="003A23AD"/>
    <w:rsid w:val="003A7006"/>
    <w:rsid w:val="003A73E5"/>
    <w:rsid w:val="003A76A1"/>
    <w:rsid w:val="003A7DA0"/>
    <w:rsid w:val="003B058A"/>
    <w:rsid w:val="003B0B84"/>
    <w:rsid w:val="003B1084"/>
    <w:rsid w:val="003B421B"/>
    <w:rsid w:val="003B6130"/>
    <w:rsid w:val="003B73E0"/>
    <w:rsid w:val="003B746D"/>
    <w:rsid w:val="003B780A"/>
    <w:rsid w:val="003C6F72"/>
    <w:rsid w:val="003C7862"/>
    <w:rsid w:val="003D1973"/>
    <w:rsid w:val="003D376D"/>
    <w:rsid w:val="003D4470"/>
    <w:rsid w:val="003D450C"/>
    <w:rsid w:val="003D543B"/>
    <w:rsid w:val="003D5DFE"/>
    <w:rsid w:val="003D78DA"/>
    <w:rsid w:val="003E30CC"/>
    <w:rsid w:val="003E6887"/>
    <w:rsid w:val="003E6BE9"/>
    <w:rsid w:val="003E6E04"/>
    <w:rsid w:val="003E7E5F"/>
    <w:rsid w:val="003F6AB5"/>
    <w:rsid w:val="003F6CC6"/>
    <w:rsid w:val="00400023"/>
    <w:rsid w:val="00405330"/>
    <w:rsid w:val="00405FC9"/>
    <w:rsid w:val="00407684"/>
    <w:rsid w:val="00407CCE"/>
    <w:rsid w:val="004116A0"/>
    <w:rsid w:val="00412FDA"/>
    <w:rsid w:val="00413338"/>
    <w:rsid w:val="00415F95"/>
    <w:rsid w:val="004161FB"/>
    <w:rsid w:val="0041677E"/>
    <w:rsid w:val="004200ED"/>
    <w:rsid w:val="0042530C"/>
    <w:rsid w:val="004352C1"/>
    <w:rsid w:val="0043554A"/>
    <w:rsid w:val="00436141"/>
    <w:rsid w:val="00436153"/>
    <w:rsid w:val="00436534"/>
    <w:rsid w:val="004366BA"/>
    <w:rsid w:val="004367B2"/>
    <w:rsid w:val="00440B86"/>
    <w:rsid w:val="0044143C"/>
    <w:rsid w:val="00443254"/>
    <w:rsid w:val="00445827"/>
    <w:rsid w:val="00446233"/>
    <w:rsid w:val="00447BB4"/>
    <w:rsid w:val="00453574"/>
    <w:rsid w:val="004548F7"/>
    <w:rsid w:val="00456039"/>
    <w:rsid w:val="004567F7"/>
    <w:rsid w:val="00457071"/>
    <w:rsid w:val="00460201"/>
    <w:rsid w:val="00460A3C"/>
    <w:rsid w:val="004649BD"/>
    <w:rsid w:val="004660B6"/>
    <w:rsid w:val="00467ACD"/>
    <w:rsid w:val="00467BF7"/>
    <w:rsid w:val="00470972"/>
    <w:rsid w:val="00472164"/>
    <w:rsid w:val="0047374F"/>
    <w:rsid w:val="00475936"/>
    <w:rsid w:val="0047642C"/>
    <w:rsid w:val="00477BB2"/>
    <w:rsid w:val="00483CB8"/>
    <w:rsid w:val="0048466F"/>
    <w:rsid w:val="00486F9C"/>
    <w:rsid w:val="0049323C"/>
    <w:rsid w:val="00495ADA"/>
    <w:rsid w:val="00497DB8"/>
    <w:rsid w:val="004A019B"/>
    <w:rsid w:val="004A1F60"/>
    <w:rsid w:val="004A2B40"/>
    <w:rsid w:val="004A349E"/>
    <w:rsid w:val="004A4B84"/>
    <w:rsid w:val="004A562F"/>
    <w:rsid w:val="004A6DE4"/>
    <w:rsid w:val="004A712B"/>
    <w:rsid w:val="004B1553"/>
    <w:rsid w:val="004B2304"/>
    <w:rsid w:val="004B3D23"/>
    <w:rsid w:val="004B50C0"/>
    <w:rsid w:val="004B6520"/>
    <w:rsid w:val="004B78AE"/>
    <w:rsid w:val="004B7D9A"/>
    <w:rsid w:val="004C05FA"/>
    <w:rsid w:val="004C1334"/>
    <w:rsid w:val="004C1E07"/>
    <w:rsid w:val="004C57A7"/>
    <w:rsid w:val="004C5952"/>
    <w:rsid w:val="004C5C76"/>
    <w:rsid w:val="004C61CB"/>
    <w:rsid w:val="004C7695"/>
    <w:rsid w:val="004D0E2D"/>
    <w:rsid w:val="004D1E90"/>
    <w:rsid w:val="004D329C"/>
    <w:rsid w:val="004D454C"/>
    <w:rsid w:val="004D5CF1"/>
    <w:rsid w:val="004D6BA6"/>
    <w:rsid w:val="004D78F5"/>
    <w:rsid w:val="004E13FB"/>
    <w:rsid w:val="004E1ED7"/>
    <w:rsid w:val="004E7633"/>
    <w:rsid w:val="004F170C"/>
    <w:rsid w:val="004F33F6"/>
    <w:rsid w:val="004F5220"/>
    <w:rsid w:val="004F55EC"/>
    <w:rsid w:val="0050023D"/>
    <w:rsid w:val="00501C76"/>
    <w:rsid w:val="00503058"/>
    <w:rsid w:val="0050313A"/>
    <w:rsid w:val="00503956"/>
    <w:rsid w:val="00503D8C"/>
    <w:rsid w:val="00505279"/>
    <w:rsid w:val="0050629C"/>
    <w:rsid w:val="005064CE"/>
    <w:rsid w:val="00506585"/>
    <w:rsid w:val="005065AB"/>
    <w:rsid w:val="0051014E"/>
    <w:rsid w:val="0051427E"/>
    <w:rsid w:val="00515B38"/>
    <w:rsid w:val="00516ADC"/>
    <w:rsid w:val="005213B1"/>
    <w:rsid w:val="00522B97"/>
    <w:rsid w:val="0052364E"/>
    <w:rsid w:val="00523A53"/>
    <w:rsid w:val="00524BE8"/>
    <w:rsid w:val="00526FDB"/>
    <w:rsid w:val="00527580"/>
    <w:rsid w:val="005300E8"/>
    <w:rsid w:val="00531EF1"/>
    <w:rsid w:val="00533C5F"/>
    <w:rsid w:val="00540C67"/>
    <w:rsid w:val="00540D47"/>
    <w:rsid w:val="00543B34"/>
    <w:rsid w:val="00544057"/>
    <w:rsid w:val="00544A11"/>
    <w:rsid w:val="00544E0E"/>
    <w:rsid w:val="00547928"/>
    <w:rsid w:val="00550791"/>
    <w:rsid w:val="00550D39"/>
    <w:rsid w:val="00553983"/>
    <w:rsid w:val="00553C63"/>
    <w:rsid w:val="00554472"/>
    <w:rsid w:val="005609B9"/>
    <w:rsid w:val="005634A8"/>
    <w:rsid w:val="005647FF"/>
    <w:rsid w:val="00566DCB"/>
    <w:rsid w:val="005725F9"/>
    <w:rsid w:val="0057396D"/>
    <w:rsid w:val="0057587E"/>
    <w:rsid w:val="00577A2C"/>
    <w:rsid w:val="005827DC"/>
    <w:rsid w:val="00583311"/>
    <w:rsid w:val="0058495A"/>
    <w:rsid w:val="00584973"/>
    <w:rsid w:val="005852E8"/>
    <w:rsid w:val="00585E99"/>
    <w:rsid w:val="00586122"/>
    <w:rsid w:val="0058656A"/>
    <w:rsid w:val="00593E2D"/>
    <w:rsid w:val="00593FBC"/>
    <w:rsid w:val="00595A05"/>
    <w:rsid w:val="00596CD9"/>
    <w:rsid w:val="00597F60"/>
    <w:rsid w:val="005A04E1"/>
    <w:rsid w:val="005A05EF"/>
    <w:rsid w:val="005A2D88"/>
    <w:rsid w:val="005A2DDC"/>
    <w:rsid w:val="005A4250"/>
    <w:rsid w:val="005A45A0"/>
    <w:rsid w:val="005A47FD"/>
    <w:rsid w:val="005A497D"/>
    <w:rsid w:val="005A6374"/>
    <w:rsid w:val="005A69C6"/>
    <w:rsid w:val="005A6FA2"/>
    <w:rsid w:val="005A7253"/>
    <w:rsid w:val="005A7B3D"/>
    <w:rsid w:val="005B0944"/>
    <w:rsid w:val="005B14F0"/>
    <w:rsid w:val="005B2194"/>
    <w:rsid w:val="005B2EB8"/>
    <w:rsid w:val="005B37E4"/>
    <w:rsid w:val="005B3CBF"/>
    <w:rsid w:val="005B3DEE"/>
    <w:rsid w:val="005B4E0E"/>
    <w:rsid w:val="005B5DA4"/>
    <w:rsid w:val="005B7CE3"/>
    <w:rsid w:val="005B7F4A"/>
    <w:rsid w:val="005C0B91"/>
    <w:rsid w:val="005C1616"/>
    <w:rsid w:val="005C3323"/>
    <w:rsid w:val="005C458D"/>
    <w:rsid w:val="005C544A"/>
    <w:rsid w:val="005C72BC"/>
    <w:rsid w:val="005C798E"/>
    <w:rsid w:val="005D1CC0"/>
    <w:rsid w:val="005D5438"/>
    <w:rsid w:val="005D5F3A"/>
    <w:rsid w:val="005D7965"/>
    <w:rsid w:val="005E004E"/>
    <w:rsid w:val="005E0C75"/>
    <w:rsid w:val="005E13CB"/>
    <w:rsid w:val="005E18E3"/>
    <w:rsid w:val="005E5DAE"/>
    <w:rsid w:val="005E628E"/>
    <w:rsid w:val="005E691A"/>
    <w:rsid w:val="005E694E"/>
    <w:rsid w:val="005E6CFC"/>
    <w:rsid w:val="005E7CA2"/>
    <w:rsid w:val="005F1457"/>
    <w:rsid w:val="005F1523"/>
    <w:rsid w:val="005F234F"/>
    <w:rsid w:val="005F255B"/>
    <w:rsid w:val="005F2C77"/>
    <w:rsid w:val="005F5281"/>
    <w:rsid w:val="005F5C73"/>
    <w:rsid w:val="005F7FF0"/>
    <w:rsid w:val="0060634C"/>
    <w:rsid w:val="0060652F"/>
    <w:rsid w:val="00611007"/>
    <w:rsid w:val="00611B43"/>
    <w:rsid w:val="00612BE4"/>
    <w:rsid w:val="006137D4"/>
    <w:rsid w:val="00614810"/>
    <w:rsid w:val="00615E30"/>
    <w:rsid w:val="006176AE"/>
    <w:rsid w:val="00621588"/>
    <w:rsid w:val="006224CB"/>
    <w:rsid w:val="006229C9"/>
    <w:rsid w:val="006249CB"/>
    <w:rsid w:val="00625487"/>
    <w:rsid w:val="006255EF"/>
    <w:rsid w:val="00627061"/>
    <w:rsid w:val="00627510"/>
    <w:rsid w:val="006276F2"/>
    <w:rsid w:val="00630A17"/>
    <w:rsid w:val="0063147F"/>
    <w:rsid w:val="00631C30"/>
    <w:rsid w:val="0063782A"/>
    <w:rsid w:val="0064194E"/>
    <w:rsid w:val="006421EB"/>
    <w:rsid w:val="0064507F"/>
    <w:rsid w:val="00646213"/>
    <w:rsid w:val="00646265"/>
    <w:rsid w:val="00647485"/>
    <w:rsid w:val="00647E86"/>
    <w:rsid w:val="00651AB9"/>
    <w:rsid w:val="00652EC7"/>
    <w:rsid w:val="006540E5"/>
    <w:rsid w:val="00654AF3"/>
    <w:rsid w:val="006567CF"/>
    <w:rsid w:val="00657FCD"/>
    <w:rsid w:val="006621AF"/>
    <w:rsid w:val="00662A42"/>
    <w:rsid w:val="006642C6"/>
    <w:rsid w:val="006649AE"/>
    <w:rsid w:val="006652FB"/>
    <w:rsid w:val="00665678"/>
    <w:rsid w:val="00665845"/>
    <w:rsid w:val="00666BE6"/>
    <w:rsid w:val="00667AA1"/>
    <w:rsid w:val="00667DD8"/>
    <w:rsid w:val="0067020E"/>
    <w:rsid w:val="00670F54"/>
    <w:rsid w:val="00671213"/>
    <w:rsid w:val="00671CA7"/>
    <w:rsid w:val="00673388"/>
    <w:rsid w:val="00674950"/>
    <w:rsid w:val="00675EA5"/>
    <w:rsid w:val="0067694A"/>
    <w:rsid w:val="00676A05"/>
    <w:rsid w:val="00680C46"/>
    <w:rsid w:val="00682611"/>
    <w:rsid w:val="00683CB2"/>
    <w:rsid w:val="006850A0"/>
    <w:rsid w:val="006864B4"/>
    <w:rsid w:val="00687652"/>
    <w:rsid w:val="00690522"/>
    <w:rsid w:val="006927CA"/>
    <w:rsid w:val="00693AC2"/>
    <w:rsid w:val="00697556"/>
    <w:rsid w:val="00697C92"/>
    <w:rsid w:val="006A2226"/>
    <w:rsid w:val="006A259C"/>
    <w:rsid w:val="006A2F72"/>
    <w:rsid w:val="006A375B"/>
    <w:rsid w:val="006A5FD7"/>
    <w:rsid w:val="006B0491"/>
    <w:rsid w:val="006B0734"/>
    <w:rsid w:val="006B1C5E"/>
    <w:rsid w:val="006B1E64"/>
    <w:rsid w:val="006B3818"/>
    <w:rsid w:val="006B5A53"/>
    <w:rsid w:val="006B678D"/>
    <w:rsid w:val="006C0A4F"/>
    <w:rsid w:val="006C172D"/>
    <w:rsid w:val="006C4CAF"/>
    <w:rsid w:val="006C70A9"/>
    <w:rsid w:val="006C71BA"/>
    <w:rsid w:val="006C7BE5"/>
    <w:rsid w:val="006C7E51"/>
    <w:rsid w:val="006D28DA"/>
    <w:rsid w:val="006D433F"/>
    <w:rsid w:val="006D5025"/>
    <w:rsid w:val="006D525F"/>
    <w:rsid w:val="006D68C9"/>
    <w:rsid w:val="006D6E21"/>
    <w:rsid w:val="006D7B0F"/>
    <w:rsid w:val="006E1CA3"/>
    <w:rsid w:val="006E3384"/>
    <w:rsid w:val="006E3559"/>
    <w:rsid w:val="006E45F8"/>
    <w:rsid w:val="006E6FAE"/>
    <w:rsid w:val="006E7099"/>
    <w:rsid w:val="006E7512"/>
    <w:rsid w:val="006E78C3"/>
    <w:rsid w:val="006E7D10"/>
    <w:rsid w:val="006F01BA"/>
    <w:rsid w:val="006F430A"/>
    <w:rsid w:val="006F4734"/>
    <w:rsid w:val="006F47A4"/>
    <w:rsid w:val="006F6D02"/>
    <w:rsid w:val="006F7A22"/>
    <w:rsid w:val="0070148F"/>
    <w:rsid w:val="00706F78"/>
    <w:rsid w:val="00707920"/>
    <w:rsid w:val="007125A9"/>
    <w:rsid w:val="00713912"/>
    <w:rsid w:val="00714751"/>
    <w:rsid w:val="00716685"/>
    <w:rsid w:val="007167E0"/>
    <w:rsid w:val="00716EC8"/>
    <w:rsid w:val="007205E9"/>
    <w:rsid w:val="0072105F"/>
    <w:rsid w:val="0072132F"/>
    <w:rsid w:val="00721895"/>
    <w:rsid w:val="007228EC"/>
    <w:rsid w:val="00723BAC"/>
    <w:rsid w:val="00723C76"/>
    <w:rsid w:val="0072415E"/>
    <w:rsid w:val="007259EF"/>
    <w:rsid w:val="0073117C"/>
    <w:rsid w:val="00734935"/>
    <w:rsid w:val="00734B48"/>
    <w:rsid w:val="00735681"/>
    <w:rsid w:val="00736C20"/>
    <w:rsid w:val="00736CE9"/>
    <w:rsid w:val="00737953"/>
    <w:rsid w:val="0074428D"/>
    <w:rsid w:val="007442F4"/>
    <w:rsid w:val="0074482B"/>
    <w:rsid w:val="00744C2D"/>
    <w:rsid w:val="007507BE"/>
    <w:rsid w:val="00754085"/>
    <w:rsid w:val="00754BBF"/>
    <w:rsid w:val="007554D3"/>
    <w:rsid w:val="0075554D"/>
    <w:rsid w:val="0075647F"/>
    <w:rsid w:val="007606B1"/>
    <w:rsid w:val="00762264"/>
    <w:rsid w:val="0076328B"/>
    <w:rsid w:val="00764A2C"/>
    <w:rsid w:val="00764ECC"/>
    <w:rsid w:val="00764F41"/>
    <w:rsid w:val="00765DD8"/>
    <w:rsid w:val="007669A0"/>
    <w:rsid w:val="00776C9E"/>
    <w:rsid w:val="00777FA9"/>
    <w:rsid w:val="007800EB"/>
    <w:rsid w:val="00780794"/>
    <w:rsid w:val="00782FBA"/>
    <w:rsid w:val="007830DD"/>
    <w:rsid w:val="0078387A"/>
    <w:rsid w:val="007855EF"/>
    <w:rsid w:val="0078591D"/>
    <w:rsid w:val="00791892"/>
    <w:rsid w:val="007930EE"/>
    <w:rsid w:val="007938BD"/>
    <w:rsid w:val="00795A7E"/>
    <w:rsid w:val="00796E5D"/>
    <w:rsid w:val="00796EC7"/>
    <w:rsid w:val="00797964"/>
    <w:rsid w:val="007A091E"/>
    <w:rsid w:val="007A2DCB"/>
    <w:rsid w:val="007A3788"/>
    <w:rsid w:val="007A5910"/>
    <w:rsid w:val="007A675D"/>
    <w:rsid w:val="007A74EA"/>
    <w:rsid w:val="007A78D0"/>
    <w:rsid w:val="007B0B59"/>
    <w:rsid w:val="007B4267"/>
    <w:rsid w:val="007B42B3"/>
    <w:rsid w:val="007B4904"/>
    <w:rsid w:val="007B4EB9"/>
    <w:rsid w:val="007B53D7"/>
    <w:rsid w:val="007C1EC5"/>
    <w:rsid w:val="007C6A48"/>
    <w:rsid w:val="007D0A5B"/>
    <w:rsid w:val="007D20BA"/>
    <w:rsid w:val="007D20F8"/>
    <w:rsid w:val="007D545C"/>
    <w:rsid w:val="007E469A"/>
    <w:rsid w:val="007E4C83"/>
    <w:rsid w:val="007E52A9"/>
    <w:rsid w:val="007E60A6"/>
    <w:rsid w:val="007E76BA"/>
    <w:rsid w:val="007F0597"/>
    <w:rsid w:val="007F0E87"/>
    <w:rsid w:val="007F1315"/>
    <w:rsid w:val="007F2453"/>
    <w:rsid w:val="007F3959"/>
    <w:rsid w:val="007F3B5D"/>
    <w:rsid w:val="007F60E9"/>
    <w:rsid w:val="007F7A7F"/>
    <w:rsid w:val="007F7D2F"/>
    <w:rsid w:val="00800F4D"/>
    <w:rsid w:val="00803E93"/>
    <w:rsid w:val="008042BE"/>
    <w:rsid w:val="00804C80"/>
    <w:rsid w:val="008070B9"/>
    <w:rsid w:val="00810F31"/>
    <w:rsid w:val="00813D55"/>
    <w:rsid w:val="0081488E"/>
    <w:rsid w:val="00816B5F"/>
    <w:rsid w:val="00817215"/>
    <w:rsid w:val="00821649"/>
    <w:rsid w:val="00822119"/>
    <w:rsid w:val="00823C2D"/>
    <w:rsid w:val="00825167"/>
    <w:rsid w:val="008256DB"/>
    <w:rsid w:val="00826E1D"/>
    <w:rsid w:val="00827FC3"/>
    <w:rsid w:val="00830040"/>
    <w:rsid w:val="008304EC"/>
    <w:rsid w:val="008313D4"/>
    <w:rsid w:val="00834155"/>
    <w:rsid w:val="0083684E"/>
    <w:rsid w:val="00837612"/>
    <w:rsid w:val="00837F1D"/>
    <w:rsid w:val="00840124"/>
    <w:rsid w:val="00840D03"/>
    <w:rsid w:val="008418C9"/>
    <w:rsid w:val="00843732"/>
    <w:rsid w:val="00844219"/>
    <w:rsid w:val="00846618"/>
    <w:rsid w:val="00847343"/>
    <w:rsid w:val="00850128"/>
    <w:rsid w:val="00851770"/>
    <w:rsid w:val="00851D5F"/>
    <w:rsid w:val="0085415F"/>
    <w:rsid w:val="00855D08"/>
    <w:rsid w:val="00856F02"/>
    <w:rsid w:val="00861E00"/>
    <w:rsid w:val="0086310A"/>
    <w:rsid w:val="008634AF"/>
    <w:rsid w:val="008669F8"/>
    <w:rsid w:val="00866F1A"/>
    <w:rsid w:val="00873E72"/>
    <w:rsid w:val="00875531"/>
    <w:rsid w:val="00877471"/>
    <w:rsid w:val="00880851"/>
    <w:rsid w:val="0088199A"/>
    <w:rsid w:val="00882B62"/>
    <w:rsid w:val="00882F6A"/>
    <w:rsid w:val="00884A39"/>
    <w:rsid w:val="00885F1A"/>
    <w:rsid w:val="00887566"/>
    <w:rsid w:val="00890B60"/>
    <w:rsid w:val="008919BA"/>
    <w:rsid w:val="00892129"/>
    <w:rsid w:val="0089569F"/>
    <w:rsid w:val="008956F8"/>
    <w:rsid w:val="008967A3"/>
    <w:rsid w:val="008969B3"/>
    <w:rsid w:val="008A3143"/>
    <w:rsid w:val="008A3CFE"/>
    <w:rsid w:val="008A3F53"/>
    <w:rsid w:val="008B0462"/>
    <w:rsid w:val="008B13BC"/>
    <w:rsid w:val="008B22DA"/>
    <w:rsid w:val="008B32D6"/>
    <w:rsid w:val="008B65CE"/>
    <w:rsid w:val="008C59EC"/>
    <w:rsid w:val="008C6FA0"/>
    <w:rsid w:val="008D3500"/>
    <w:rsid w:val="008D5472"/>
    <w:rsid w:val="008D5891"/>
    <w:rsid w:val="008D593C"/>
    <w:rsid w:val="008D6041"/>
    <w:rsid w:val="008D74FB"/>
    <w:rsid w:val="008D751A"/>
    <w:rsid w:val="008E091D"/>
    <w:rsid w:val="008E10B3"/>
    <w:rsid w:val="008E30F2"/>
    <w:rsid w:val="008E325D"/>
    <w:rsid w:val="008E419F"/>
    <w:rsid w:val="008E5AEB"/>
    <w:rsid w:val="008E79D1"/>
    <w:rsid w:val="008F03E9"/>
    <w:rsid w:val="008F1169"/>
    <w:rsid w:val="008F27D6"/>
    <w:rsid w:val="008F3731"/>
    <w:rsid w:val="008F5146"/>
    <w:rsid w:val="008F5905"/>
    <w:rsid w:val="008F5FA1"/>
    <w:rsid w:val="008F7A1C"/>
    <w:rsid w:val="00900D00"/>
    <w:rsid w:val="00901E07"/>
    <w:rsid w:val="0090345C"/>
    <w:rsid w:val="00904942"/>
    <w:rsid w:val="00904B9E"/>
    <w:rsid w:val="0090687B"/>
    <w:rsid w:val="00907CE1"/>
    <w:rsid w:val="0091025E"/>
    <w:rsid w:val="009105EE"/>
    <w:rsid w:val="00910E03"/>
    <w:rsid w:val="009112A3"/>
    <w:rsid w:val="00912C73"/>
    <w:rsid w:val="00915DCC"/>
    <w:rsid w:val="00915FA5"/>
    <w:rsid w:val="009171BA"/>
    <w:rsid w:val="00917F2B"/>
    <w:rsid w:val="00917F4B"/>
    <w:rsid w:val="00917FC3"/>
    <w:rsid w:val="0092004D"/>
    <w:rsid w:val="009205F3"/>
    <w:rsid w:val="0092218D"/>
    <w:rsid w:val="009264F4"/>
    <w:rsid w:val="00927760"/>
    <w:rsid w:val="00927E0D"/>
    <w:rsid w:val="009300B5"/>
    <w:rsid w:val="009313D3"/>
    <w:rsid w:val="00933450"/>
    <w:rsid w:val="0093487F"/>
    <w:rsid w:val="0093497F"/>
    <w:rsid w:val="00934E86"/>
    <w:rsid w:val="00936256"/>
    <w:rsid w:val="009401EF"/>
    <w:rsid w:val="00941037"/>
    <w:rsid w:val="00941A70"/>
    <w:rsid w:val="009428C2"/>
    <w:rsid w:val="00943A90"/>
    <w:rsid w:val="00946C8E"/>
    <w:rsid w:val="009501CB"/>
    <w:rsid w:val="0095050D"/>
    <w:rsid w:val="00952AB4"/>
    <w:rsid w:val="00952D72"/>
    <w:rsid w:val="00953227"/>
    <w:rsid w:val="00953771"/>
    <w:rsid w:val="0095678E"/>
    <w:rsid w:val="00957462"/>
    <w:rsid w:val="00961D5F"/>
    <w:rsid w:val="009649C5"/>
    <w:rsid w:val="00964D37"/>
    <w:rsid w:val="00965256"/>
    <w:rsid w:val="009658C9"/>
    <w:rsid w:val="00970EF2"/>
    <w:rsid w:val="00971FDC"/>
    <w:rsid w:val="009728D5"/>
    <w:rsid w:val="00980268"/>
    <w:rsid w:val="00981481"/>
    <w:rsid w:val="00982768"/>
    <w:rsid w:val="00984340"/>
    <w:rsid w:val="00984ADB"/>
    <w:rsid w:val="0098534D"/>
    <w:rsid w:val="00985524"/>
    <w:rsid w:val="00986E03"/>
    <w:rsid w:val="00993D82"/>
    <w:rsid w:val="00994522"/>
    <w:rsid w:val="009956B9"/>
    <w:rsid w:val="00995D9E"/>
    <w:rsid w:val="00995FD1"/>
    <w:rsid w:val="00996F9B"/>
    <w:rsid w:val="009A02A1"/>
    <w:rsid w:val="009A08AB"/>
    <w:rsid w:val="009A1E9B"/>
    <w:rsid w:val="009A3B36"/>
    <w:rsid w:val="009A47B5"/>
    <w:rsid w:val="009A6DE3"/>
    <w:rsid w:val="009B0DF4"/>
    <w:rsid w:val="009B1CB8"/>
    <w:rsid w:val="009B229A"/>
    <w:rsid w:val="009B287B"/>
    <w:rsid w:val="009B3A4A"/>
    <w:rsid w:val="009B53E7"/>
    <w:rsid w:val="009B7B20"/>
    <w:rsid w:val="009C1140"/>
    <w:rsid w:val="009C136B"/>
    <w:rsid w:val="009C3133"/>
    <w:rsid w:val="009C3FE7"/>
    <w:rsid w:val="009C4C04"/>
    <w:rsid w:val="009D03D2"/>
    <w:rsid w:val="009D0577"/>
    <w:rsid w:val="009D12C5"/>
    <w:rsid w:val="009D27FA"/>
    <w:rsid w:val="009D5159"/>
    <w:rsid w:val="009D631B"/>
    <w:rsid w:val="009E05BC"/>
    <w:rsid w:val="009E1432"/>
    <w:rsid w:val="009E1660"/>
    <w:rsid w:val="009E1E73"/>
    <w:rsid w:val="009E4480"/>
    <w:rsid w:val="009E6E7B"/>
    <w:rsid w:val="009E7F31"/>
    <w:rsid w:val="009F07B8"/>
    <w:rsid w:val="009F0A69"/>
    <w:rsid w:val="009F4757"/>
    <w:rsid w:val="009F5C58"/>
    <w:rsid w:val="009F6A48"/>
    <w:rsid w:val="00A02D00"/>
    <w:rsid w:val="00A03B3B"/>
    <w:rsid w:val="00A04938"/>
    <w:rsid w:val="00A050BB"/>
    <w:rsid w:val="00A05C9F"/>
    <w:rsid w:val="00A12674"/>
    <w:rsid w:val="00A1374C"/>
    <w:rsid w:val="00A13CB5"/>
    <w:rsid w:val="00A144E8"/>
    <w:rsid w:val="00A14890"/>
    <w:rsid w:val="00A1491E"/>
    <w:rsid w:val="00A15B45"/>
    <w:rsid w:val="00A16524"/>
    <w:rsid w:val="00A16BB4"/>
    <w:rsid w:val="00A205F4"/>
    <w:rsid w:val="00A21697"/>
    <w:rsid w:val="00A218DA"/>
    <w:rsid w:val="00A21B06"/>
    <w:rsid w:val="00A25B44"/>
    <w:rsid w:val="00A25DDC"/>
    <w:rsid w:val="00A325AC"/>
    <w:rsid w:val="00A32CBD"/>
    <w:rsid w:val="00A344B1"/>
    <w:rsid w:val="00A40161"/>
    <w:rsid w:val="00A405E9"/>
    <w:rsid w:val="00A40F9B"/>
    <w:rsid w:val="00A42F4B"/>
    <w:rsid w:val="00A5003E"/>
    <w:rsid w:val="00A509DB"/>
    <w:rsid w:val="00A511DC"/>
    <w:rsid w:val="00A52CDA"/>
    <w:rsid w:val="00A552A6"/>
    <w:rsid w:val="00A63AFB"/>
    <w:rsid w:val="00A63D5D"/>
    <w:rsid w:val="00A66569"/>
    <w:rsid w:val="00A706C9"/>
    <w:rsid w:val="00A71EDB"/>
    <w:rsid w:val="00A72BF1"/>
    <w:rsid w:val="00A73D71"/>
    <w:rsid w:val="00A74896"/>
    <w:rsid w:val="00A748C2"/>
    <w:rsid w:val="00A806CC"/>
    <w:rsid w:val="00A82A93"/>
    <w:rsid w:val="00A848FC"/>
    <w:rsid w:val="00A8567D"/>
    <w:rsid w:val="00A85BCC"/>
    <w:rsid w:val="00A86171"/>
    <w:rsid w:val="00A86768"/>
    <w:rsid w:val="00A87914"/>
    <w:rsid w:val="00A90AD0"/>
    <w:rsid w:val="00A93640"/>
    <w:rsid w:val="00A93F2E"/>
    <w:rsid w:val="00A9434D"/>
    <w:rsid w:val="00A95DFE"/>
    <w:rsid w:val="00A96992"/>
    <w:rsid w:val="00A97AF3"/>
    <w:rsid w:val="00AA02F1"/>
    <w:rsid w:val="00AA098A"/>
    <w:rsid w:val="00AA3DC2"/>
    <w:rsid w:val="00AA532C"/>
    <w:rsid w:val="00AA63A3"/>
    <w:rsid w:val="00AA76EB"/>
    <w:rsid w:val="00AB0B27"/>
    <w:rsid w:val="00AB1D2B"/>
    <w:rsid w:val="00AB2381"/>
    <w:rsid w:val="00AB26BD"/>
    <w:rsid w:val="00AB2CB2"/>
    <w:rsid w:val="00AB542F"/>
    <w:rsid w:val="00AC2CFF"/>
    <w:rsid w:val="00AC2F0D"/>
    <w:rsid w:val="00AC3BF0"/>
    <w:rsid w:val="00AC6AA7"/>
    <w:rsid w:val="00AC6C16"/>
    <w:rsid w:val="00AC737A"/>
    <w:rsid w:val="00AC78E0"/>
    <w:rsid w:val="00AD0EE8"/>
    <w:rsid w:val="00AD1148"/>
    <w:rsid w:val="00AD3B5A"/>
    <w:rsid w:val="00AD5E26"/>
    <w:rsid w:val="00AD664A"/>
    <w:rsid w:val="00AD70EC"/>
    <w:rsid w:val="00AE007B"/>
    <w:rsid w:val="00AE2896"/>
    <w:rsid w:val="00AE42B1"/>
    <w:rsid w:val="00AE5BBF"/>
    <w:rsid w:val="00AE7A93"/>
    <w:rsid w:val="00AF17C1"/>
    <w:rsid w:val="00AF1EA1"/>
    <w:rsid w:val="00AF3617"/>
    <w:rsid w:val="00AF4017"/>
    <w:rsid w:val="00B018E5"/>
    <w:rsid w:val="00B0325C"/>
    <w:rsid w:val="00B05E0A"/>
    <w:rsid w:val="00B067D5"/>
    <w:rsid w:val="00B07A73"/>
    <w:rsid w:val="00B11C49"/>
    <w:rsid w:val="00B136FF"/>
    <w:rsid w:val="00B13CEC"/>
    <w:rsid w:val="00B13D07"/>
    <w:rsid w:val="00B141AC"/>
    <w:rsid w:val="00B1466D"/>
    <w:rsid w:val="00B14FD2"/>
    <w:rsid w:val="00B15164"/>
    <w:rsid w:val="00B156F5"/>
    <w:rsid w:val="00B1646A"/>
    <w:rsid w:val="00B164A4"/>
    <w:rsid w:val="00B16565"/>
    <w:rsid w:val="00B16A00"/>
    <w:rsid w:val="00B21EF0"/>
    <w:rsid w:val="00B2207E"/>
    <w:rsid w:val="00B24014"/>
    <w:rsid w:val="00B2405A"/>
    <w:rsid w:val="00B24FF7"/>
    <w:rsid w:val="00B256FD"/>
    <w:rsid w:val="00B25C69"/>
    <w:rsid w:val="00B2676E"/>
    <w:rsid w:val="00B273CA"/>
    <w:rsid w:val="00B30018"/>
    <w:rsid w:val="00B30C3E"/>
    <w:rsid w:val="00B343D7"/>
    <w:rsid w:val="00B34A19"/>
    <w:rsid w:val="00B40E79"/>
    <w:rsid w:val="00B416D1"/>
    <w:rsid w:val="00B43A1F"/>
    <w:rsid w:val="00B44C40"/>
    <w:rsid w:val="00B45D68"/>
    <w:rsid w:val="00B4794B"/>
    <w:rsid w:val="00B47F1D"/>
    <w:rsid w:val="00B50928"/>
    <w:rsid w:val="00B515D8"/>
    <w:rsid w:val="00B51FD0"/>
    <w:rsid w:val="00B534F1"/>
    <w:rsid w:val="00B54141"/>
    <w:rsid w:val="00B5457D"/>
    <w:rsid w:val="00B54CF5"/>
    <w:rsid w:val="00B572F8"/>
    <w:rsid w:val="00B60AB6"/>
    <w:rsid w:val="00B61B2A"/>
    <w:rsid w:val="00B6265A"/>
    <w:rsid w:val="00B6464D"/>
    <w:rsid w:val="00B65BDB"/>
    <w:rsid w:val="00B66C58"/>
    <w:rsid w:val="00B72678"/>
    <w:rsid w:val="00B726C1"/>
    <w:rsid w:val="00B730F4"/>
    <w:rsid w:val="00B809A9"/>
    <w:rsid w:val="00B80C9D"/>
    <w:rsid w:val="00B821B8"/>
    <w:rsid w:val="00B8473C"/>
    <w:rsid w:val="00B84FC1"/>
    <w:rsid w:val="00B90326"/>
    <w:rsid w:val="00B904AA"/>
    <w:rsid w:val="00B91A74"/>
    <w:rsid w:val="00B921FD"/>
    <w:rsid w:val="00B932A9"/>
    <w:rsid w:val="00B93701"/>
    <w:rsid w:val="00B96652"/>
    <w:rsid w:val="00B9796D"/>
    <w:rsid w:val="00B97D4A"/>
    <w:rsid w:val="00B97D5D"/>
    <w:rsid w:val="00BA3F80"/>
    <w:rsid w:val="00BA4C1E"/>
    <w:rsid w:val="00BA6F8C"/>
    <w:rsid w:val="00BA76F8"/>
    <w:rsid w:val="00BB2333"/>
    <w:rsid w:val="00BB724E"/>
    <w:rsid w:val="00BC00AB"/>
    <w:rsid w:val="00BC2F35"/>
    <w:rsid w:val="00BC332A"/>
    <w:rsid w:val="00BC6B4F"/>
    <w:rsid w:val="00BC7DAC"/>
    <w:rsid w:val="00BD00A5"/>
    <w:rsid w:val="00BD42F1"/>
    <w:rsid w:val="00BD7C85"/>
    <w:rsid w:val="00BE06F1"/>
    <w:rsid w:val="00BE1ACF"/>
    <w:rsid w:val="00BE27AD"/>
    <w:rsid w:val="00BE2B31"/>
    <w:rsid w:val="00BE47A2"/>
    <w:rsid w:val="00BE6F4D"/>
    <w:rsid w:val="00BF0463"/>
    <w:rsid w:val="00BF14D8"/>
    <w:rsid w:val="00BF1AB2"/>
    <w:rsid w:val="00BF3F9C"/>
    <w:rsid w:val="00C03535"/>
    <w:rsid w:val="00C04980"/>
    <w:rsid w:val="00C04DE2"/>
    <w:rsid w:val="00C04DE7"/>
    <w:rsid w:val="00C0538C"/>
    <w:rsid w:val="00C05694"/>
    <w:rsid w:val="00C057A4"/>
    <w:rsid w:val="00C073D5"/>
    <w:rsid w:val="00C10C1E"/>
    <w:rsid w:val="00C12683"/>
    <w:rsid w:val="00C12835"/>
    <w:rsid w:val="00C13E9C"/>
    <w:rsid w:val="00C15776"/>
    <w:rsid w:val="00C164A2"/>
    <w:rsid w:val="00C17824"/>
    <w:rsid w:val="00C205D5"/>
    <w:rsid w:val="00C21159"/>
    <w:rsid w:val="00C217BA"/>
    <w:rsid w:val="00C24FB6"/>
    <w:rsid w:val="00C254A4"/>
    <w:rsid w:val="00C2552B"/>
    <w:rsid w:val="00C2652D"/>
    <w:rsid w:val="00C26D83"/>
    <w:rsid w:val="00C26DA8"/>
    <w:rsid w:val="00C270D3"/>
    <w:rsid w:val="00C3251A"/>
    <w:rsid w:val="00C35F0C"/>
    <w:rsid w:val="00C37821"/>
    <w:rsid w:val="00C4160A"/>
    <w:rsid w:val="00C42B4D"/>
    <w:rsid w:val="00C44C8A"/>
    <w:rsid w:val="00C44D1A"/>
    <w:rsid w:val="00C44D1C"/>
    <w:rsid w:val="00C45BD4"/>
    <w:rsid w:val="00C46E98"/>
    <w:rsid w:val="00C53E33"/>
    <w:rsid w:val="00C54CDB"/>
    <w:rsid w:val="00C62FF5"/>
    <w:rsid w:val="00C63F49"/>
    <w:rsid w:val="00C66972"/>
    <w:rsid w:val="00C720D5"/>
    <w:rsid w:val="00C73736"/>
    <w:rsid w:val="00C74024"/>
    <w:rsid w:val="00C74075"/>
    <w:rsid w:val="00C7539A"/>
    <w:rsid w:val="00C75FE9"/>
    <w:rsid w:val="00C771E7"/>
    <w:rsid w:val="00C77C48"/>
    <w:rsid w:val="00C807B9"/>
    <w:rsid w:val="00C80EB4"/>
    <w:rsid w:val="00C80F17"/>
    <w:rsid w:val="00C81244"/>
    <w:rsid w:val="00C82312"/>
    <w:rsid w:val="00C84659"/>
    <w:rsid w:val="00C854BD"/>
    <w:rsid w:val="00C86A5E"/>
    <w:rsid w:val="00C87D53"/>
    <w:rsid w:val="00C91A31"/>
    <w:rsid w:val="00C9238A"/>
    <w:rsid w:val="00C94DDF"/>
    <w:rsid w:val="00C94E8D"/>
    <w:rsid w:val="00C95A1D"/>
    <w:rsid w:val="00CA3DBA"/>
    <w:rsid w:val="00CA4044"/>
    <w:rsid w:val="00CA7132"/>
    <w:rsid w:val="00CA7C9F"/>
    <w:rsid w:val="00CB024B"/>
    <w:rsid w:val="00CB54E8"/>
    <w:rsid w:val="00CB6102"/>
    <w:rsid w:val="00CC100C"/>
    <w:rsid w:val="00CC19A0"/>
    <w:rsid w:val="00CC375A"/>
    <w:rsid w:val="00CC4E6A"/>
    <w:rsid w:val="00CC71AD"/>
    <w:rsid w:val="00CC7C33"/>
    <w:rsid w:val="00CD0DA8"/>
    <w:rsid w:val="00CD35A7"/>
    <w:rsid w:val="00CD41E7"/>
    <w:rsid w:val="00CD4D8D"/>
    <w:rsid w:val="00CD5630"/>
    <w:rsid w:val="00CD5C51"/>
    <w:rsid w:val="00CE10B2"/>
    <w:rsid w:val="00CE1F24"/>
    <w:rsid w:val="00CE3F7B"/>
    <w:rsid w:val="00CE6DFA"/>
    <w:rsid w:val="00CF0729"/>
    <w:rsid w:val="00CF13F3"/>
    <w:rsid w:val="00CF2DE9"/>
    <w:rsid w:val="00CF53F3"/>
    <w:rsid w:val="00CF653D"/>
    <w:rsid w:val="00D004C2"/>
    <w:rsid w:val="00D01A97"/>
    <w:rsid w:val="00D03C4B"/>
    <w:rsid w:val="00D065EA"/>
    <w:rsid w:val="00D06B52"/>
    <w:rsid w:val="00D07987"/>
    <w:rsid w:val="00D10EC9"/>
    <w:rsid w:val="00D11C2A"/>
    <w:rsid w:val="00D13C32"/>
    <w:rsid w:val="00D13C35"/>
    <w:rsid w:val="00D1603D"/>
    <w:rsid w:val="00D172F9"/>
    <w:rsid w:val="00D2078B"/>
    <w:rsid w:val="00D22758"/>
    <w:rsid w:val="00D24590"/>
    <w:rsid w:val="00D25F18"/>
    <w:rsid w:val="00D26DC3"/>
    <w:rsid w:val="00D27567"/>
    <w:rsid w:val="00D319AF"/>
    <w:rsid w:val="00D32A70"/>
    <w:rsid w:val="00D33D79"/>
    <w:rsid w:val="00D344B5"/>
    <w:rsid w:val="00D352AD"/>
    <w:rsid w:val="00D377FA"/>
    <w:rsid w:val="00D3788A"/>
    <w:rsid w:val="00D44F1B"/>
    <w:rsid w:val="00D4583A"/>
    <w:rsid w:val="00D45DE4"/>
    <w:rsid w:val="00D57325"/>
    <w:rsid w:val="00D603E2"/>
    <w:rsid w:val="00D607CE"/>
    <w:rsid w:val="00D61854"/>
    <w:rsid w:val="00D63D5E"/>
    <w:rsid w:val="00D643F8"/>
    <w:rsid w:val="00D65300"/>
    <w:rsid w:val="00D66BD5"/>
    <w:rsid w:val="00D6781D"/>
    <w:rsid w:val="00D67F11"/>
    <w:rsid w:val="00D704FC"/>
    <w:rsid w:val="00D709AE"/>
    <w:rsid w:val="00D72193"/>
    <w:rsid w:val="00D72369"/>
    <w:rsid w:val="00D72B1B"/>
    <w:rsid w:val="00D74029"/>
    <w:rsid w:val="00D75704"/>
    <w:rsid w:val="00D7603C"/>
    <w:rsid w:val="00D777DF"/>
    <w:rsid w:val="00D80CFD"/>
    <w:rsid w:val="00D80EA8"/>
    <w:rsid w:val="00D80FEE"/>
    <w:rsid w:val="00D8157E"/>
    <w:rsid w:val="00D82266"/>
    <w:rsid w:val="00D82610"/>
    <w:rsid w:val="00D829E5"/>
    <w:rsid w:val="00D83005"/>
    <w:rsid w:val="00D83963"/>
    <w:rsid w:val="00D83B35"/>
    <w:rsid w:val="00D85026"/>
    <w:rsid w:val="00D85875"/>
    <w:rsid w:val="00D8791C"/>
    <w:rsid w:val="00D90694"/>
    <w:rsid w:val="00D9172E"/>
    <w:rsid w:val="00D95C37"/>
    <w:rsid w:val="00D977D7"/>
    <w:rsid w:val="00DA14E3"/>
    <w:rsid w:val="00DA1AA1"/>
    <w:rsid w:val="00DA3865"/>
    <w:rsid w:val="00DA5E23"/>
    <w:rsid w:val="00DB1323"/>
    <w:rsid w:val="00DB4081"/>
    <w:rsid w:val="00DB448B"/>
    <w:rsid w:val="00DB54AD"/>
    <w:rsid w:val="00DB6BA5"/>
    <w:rsid w:val="00DC2913"/>
    <w:rsid w:val="00DC2A12"/>
    <w:rsid w:val="00DC36E9"/>
    <w:rsid w:val="00DC406B"/>
    <w:rsid w:val="00DC4737"/>
    <w:rsid w:val="00DC5872"/>
    <w:rsid w:val="00DC69A4"/>
    <w:rsid w:val="00DD00C9"/>
    <w:rsid w:val="00DD215B"/>
    <w:rsid w:val="00DD285F"/>
    <w:rsid w:val="00DD2C67"/>
    <w:rsid w:val="00DD349C"/>
    <w:rsid w:val="00DD6852"/>
    <w:rsid w:val="00DD78D8"/>
    <w:rsid w:val="00DE0F1A"/>
    <w:rsid w:val="00DE1234"/>
    <w:rsid w:val="00DE18C9"/>
    <w:rsid w:val="00DE3F0C"/>
    <w:rsid w:val="00DE47B9"/>
    <w:rsid w:val="00DE481B"/>
    <w:rsid w:val="00DE4F3B"/>
    <w:rsid w:val="00DE51E0"/>
    <w:rsid w:val="00DE7C31"/>
    <w:rsid w:val="00DF11BC"/>
    <w:rsid w:val="00DF7033"/>
    <w:rsid w:val="00E023EB"/>
    <w:rsid w:val="00E0261E"/>
    <w:rsid w:val="00E05181"/>
    <w:rsid w:val="00E056AE"/>
    <w:rsid w:val="00E076FF"/>
    <w:rsid w:val="00E101B5"/>
    <w:rsid w:val="00E121DD"/>
    <w:rsid w:val="00E15ECD"/>
    <w:rsid w:val="00E166C0"/>
    <w:rsid w:val="00E2070E"/>
    <w:rsid w:val="00E22F6A"/>
    <w:rsid w:val="00E23A30"/>
    <w:rsid w:val="00E24561"/>
    <w:rsid w:val="00E24FA1"/>
    <w:rsid w:val="00E266AB"/>
    <w:rsid w:val="00E26C78"/>
    <w:rsid w:val="00E35E3B"/>
    <w:rsid w:val="00E360D2"/>
    <w:rsid w:val="00E372DE"/>
    <w:rsid w:val="00E410B6"/>
    <w:rsid w:val="00E4298E"/>
    <w:rsid w:val="00E433A7"/>
    <w:rsid w:val="00E438FA"/>
    <w:rsid w:val="00E44384"/>
    <w:rsid w:val="00E44713"/>
    <w:rsid w:val="00E45705"/>
    <w:rsid w:val="00E46154"/>
    <w:rsid w:val="00E4748C"/>
    <w:rsid w:val="00E50B01"/>
    <w:rsid w:val="00E50B47"/>
    <w:rsid w:val="00E51814"/>
    <w:rsid w:val="00E5210C"/>
    <w:rsid w:val="00E52EDD"/>
    <w:rsid w:val="00E5323A"/>
    <w:rsid w:val="00E54ACA"/>
    <w:rsid w:val="00E60964"/>
    <w:rsid w:val="00E63AA5"/>
    <w:rsid w:val="00E6477D"/>
    <w:rsid w:val="00E667F2"/>
    <w:rsid w:val="00E669A9"/>
    <w:rsid w:val="00E77085"/>
    <w:rsid w:val="00E77240"/>
    <w:rsid w:val="00E81A50"/>
    <w:rsid w:val="00E83D48"/>
    <w:rsid w:val="00E83F2A"/>
    <w:rsid w:val="00E8480C"/>
    <w:rsid w:val="00E869B1"/>
    <w:rsid w:val="00E87DC5"/>
    <w:rsid w:val="00E9175F"/>
    <w:rsid w:val="00E93121"/>
    <w:rsid w:val="00E939AE"/>
    <w:rsid w:val="00E94F27"/>
    <w:rsid w:val="00E9735E"/>
    <w:rsid w:val="00EA04A1"/>
    <w:rsid w:val="00EA0588"/>
    <w:rsid w:val="00EA0FA6"/>
    <w:rsid w:val="00EA1C73"/>
    <w:rsid w:val="00EA241B"/>
    <w:rsid w:val="00EA46B2"/>
    <w:rsid w:val="00EA4EBF"/>
    <w:rsid w:val="00EA65E9"/>
    <w:rsid w:val="00EA65F5"/>
    <w:rsid w:val="00EA66BD"/>
    <w:rsid w:val="00EB178F"/>
    <w:rsid w:val="00EB4E62"/>
    <w:rsid w:val="00EB61DE"/>
    <w:rsid w:val="00EB673F"/>
    <w:rsid w:val="00EC0842"/>
    <w:rsid w:val="00EC151E"/>
    <w:rsid w:val="00EC1907"/>
    <w:rsid w:val="00EC2A9E"/>
    <w:rsid w:val="00EC2DAE"/>
    <w:rsid w:val="00EC48D5"/>
    <w:rsid w:val="00EC7799"/>
    <w:rsid w:val="00EC77F1"/>
    <w:rsid w:val="00ED07B2"/>
    <w:rsid w:val="00ED0BA4"/>
    <w:rsid w:val="00ED45C5"/>
    <w:rsid w:val="00ED61B1"/>
    <w:rsid w:val="00EE126F"/>
    <w:rsid w:val="00EE2A9D"/>
    <w:rsid w:val="00EE336C"/>
    <w:rsid w:val="00EE41D0"/>
    <w:rsid w:val="00EE5802"/>
    <w:rsid w:val="00EE7264"/>
    <w:rsid w:val="00EF0D44"/>
    <w:rsid w:val="00EF4406"/>
    <w:rsid w:val="00EF57CF"/>
    <w:rsid w:val="00EF6864"/>
    <w:rsid w:val="00EF76F4"/>
    <w:rsid w:val="00F007DD"/>
    <w:rsid w:val="00F011A9"/>
    <w:rsid w:val="00F0253D"/>
    <w:rsid w:val="00F02F62"/>
    <w:rsid w:val="00F0450E"/>
    <w:rsid w:val="00F04E50"/>
    <w:rsid w:val="00F0557A"/>
    <w:rsid w:val="00F058F9"/>
    <w:rsid w:val="00F0648D"/>
    <w:rsid w:val="00F064A8"/>
    <w:rsid w:val="00F06DA4"/>
    <w:rsid w:val="00F1192A"/>
    <w:rsid w:val="00F12443"/>
    <w:rsid w:val="00F137C7"/>
    <w:rsid w:val="00F13F9A"/>
    <w:rsid w:val="00F142F6"/>
    <w:rsid w:val="00F14E70"/>
    <w:rsid w:val="00F14F16"/>
    <w:rsid w:val="00F15544"/>
    <w:rsid w:val="00F1559F"/>
    <w:rsid w:val="00F220C9"/>
    <w:rsid w:val="00F26977"/>
    <w:rsid w:val="00F26C12"/>
    <w:rsid w:val="00F26C31"/>
    <w:rsid w:val="00F3161E"/>
    <w:rsid w:val="00F3208D"/>
    <w:rsid w:val="00F3457B"/>
    <w:rsid w:val="00F35DB0"/>
    <w:rsid w:val="00F36638"/>
    <w:rsid w:val="00F36987"/>
    <w:rsid w:val="00F3728E"/>
    <w:rsid w:val="00F379D7"/>
    <w:rsid w:val="00F409F7"/>
    <w:rsid w:val="00F41FDB"/>
    <w:rsid w:val="00F42956"/>
    <w:rsid w:val="00F42D60"/>
    <w:rsid w:val="00F4688A"/>
    <w:rsid w:val="00F46D36"/>
    <w:rsid w:val="00F524E6"/>
    <w:rsid w:val="00F53843"/>
    <w:rsid w:val="00F55816"/>
    <w:rsid w:val="00F56237"/>
    <w:rsid w:val="00F56485"/>
    <w:rsid w:val="00F57B4B"/>
    <w:rsid w:val="00F60A11"/>
    <w:rsid w:val="00F61AAD"/>
    <w:rsid w:val="00F62B83"/>
    <w:rsid w:val="00F63522"/>
    <w:rsid w:val="00F64931"/>
    <w:rsid w:val="00F65E62"/>
    <w:rsid w:val="00F664F7"/>
    <w:rsid w:val="00F74B85"/>
    <w:rsid w:val="00F74DA9"/>
    <w:rsid w:val="00F75CE6"/>
    <w:rsid w:val="00F76D2F"/>
    <w:rsid w:val="00F81333"/>
    <w:rsid w:val="00F81776"/>
    <w:rsid w:val="00F839C7"/>
    <w:rsid w:val="00F87462"/>
    <w:rsid w:val="00F87B5D"/>
    <w:rsid w:val="00F9108D"/>
    <w:rsid w:val="00F91BDC"/>
    <w:rsid w:val="00FA1D93"/>
    <w:rsid w:val="00FA393A"/>
    <w:rsid w:val="00FA4606"/>
    <w:rsid w:val="00FA48E6"/>
    <w:rsid w:val="00FB1056"/>
    <w:rsid w:val="00FB2632"/>
    <w:rsid w:val="00FB30D5"/>
    <w:rsid w:val="00FB778A"/>
    <w:rsid w:val="00FC1D51"/>
    <w:rsid w:val="00FC3307"/>
    <w:rsid w:val="00FC3DD1"/>
    <w:rsid w:val="00FC528A"/>
    <w:rsid w:val="00FD0896"/>
    <w:rsid w:val="00FD092F"/>
    <w:rsid w:val="00FD0E3A"/>
    <w:rsid w:val="00FD1547"/>
    <w:rsid w:val="00FD1E45"/>
    <w:rsid w:val="00FD432F"/>
    <w:rsid w:val="00FD488C"/>
    <w:rsid w:val="00FD4FAC"/>
    <w:rsid w:val="00FD51DA"/>
    <w:rsid w:val="00FE079A"/>
    <w:rsid w:val="00FE1617"/>
    <w:rsid w:val="00FE1B5C"/>
    <w:rsid w:val="00FE3636"/>
    <w:rsid w:val="00FE3A81"/>
    <w:rsid w:val="00FE7494"/>
    <w:rsid w:val="00FF1053"/>
    <w:rsid w:val="00FF36BC"/>
    <w:rsid w:val="00FF6EE0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C8215"/>
  <w15:docId w15:val="{32B5BEC9-C908-4682-AE4E-F1CB0CB9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B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3B0B8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3B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B0B8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3B0B84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3B0B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0B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0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1A3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15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A9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A9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A9D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40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F124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D1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4D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4C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4CDB"/>
    <w:rPr>
      <w:rFonts w:ascii="Consolas" w:eastAsia="Calibri" w:hAnsi="Consolas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A712B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7F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93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.dinh@apolatlegal.com" TargetMode="External"/><Relationship Id="rId13" Type="http://schemas.openxmlformats.org/officeDocument/2006/relationships/hyperlink" Target="mailto:thu.letrinh@apolatlegal.com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thong.dao@apolatlegal.com" TargetMode="External"/><Relationship Id="rId17" Type="http://schemas.openxmlformats.org/officeDocument/2006/relationships/hyperlink" Target="http://www.apolatlega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apolatlega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ng.dinh@apolatlega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polatlega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hu.letrinh@apolatlega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ong.dao@apolatlegal.com" TargetMode="External"/><Relationship Id="rId14" Type="http://schemas.openxmlformats.org/officeDocument/2006/relationships/hyperlink" Target="mailto:info@apolatlega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ADAB-551D-4DC4-AE02-8400EBA4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 - Phuong Bui</dc:creator>
  <cp:lastModifiedBy>APL - Ngoc An</cp:lastModifiedBy>
  <cp:revision>72</cp:revision>
  <cp:lastPrinted>2021-11-29T08:04:00Z</cp:lastPrinted>
  <dcterms:created xsi:type="dcterms:W3CDTF">2021-11-24T09:30:00Z</dcterms:created>
  <dcterms:modified xsi:type="dcterms:W3CDTF">2021-11-29T08:05:00Z</dcterms:modified>
</cp:coreProperties>
</file>