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296A6" w14:textId="77777777" w:rsidR="00943F6D" w:rsidRPr="00345221" w:rsidRDefault="00943F6D" w:rsidP="00943F6D">
      <w:pPr>
        <w:pStyle w:val="NormalWeb"/>
        <w:shd w:val="clear" w:color="auto" w:fill="FFFFFF"/>
        <w:spacing w:before="0" w:beforeAutospacing="0" w:after="0" w:afterAutospacing="0" w:line="259" w:lineRule="auto"/>
        <w:contextualSpacing/>
        <w:jc w:val="right"/>
        <w:rPr>
          <w:rFonts w:ascii="Cambria" w:hAnsi="Cambria"/>
          <w:color w:val="000000"/>
          <w:sz w:val="22"/>
          <w:szCs w:val="22"/>
        </w:rPr>
      </w:pPr>
      <w:r w:rsidRPr="00345221">
        <w:rPr>
          <w:rStyle w:val="Strong"/>
          <w:rFonts w:ascii="Cambria" w:hAnsi="Cambria"/>
          <w:color w:val="000000"/>
          <w:sz w:val="22"/>
          <w:szCs w:val="22"/>
        </w:rPr>
        <w:t>LEGAL UPDATES</w:t>
      </w:r>
      <w:r w:rsidRPr="00345221">
        <w:rPr>
          <w:rFonts w:ascii="Cambria" w:hAnsi="Cambria"/>
          <w:b/>
          <w:bCs/>
          <w:color w:val="000000"/>
          <w:sz w:val="22"/>
          <w:szCs w:val="22"/>
        </w:rPr>
        <w:br/>
      </w:r>
      <w:r w:rsidRPr="00345221">
        <w:rPr>
          <w:rStyle w:val="Strong"/>
          <w:rFonts w:ascii="Cambria" w:hAnsi="Cambria"/>
          <w:color w:val="000000"/>
          <w:sz w:val="22"/>
          <w:szCs w:val="22"/>
        </w:rPr>
        <w:t>VOL 15, AUGUST 2021</w:t>
      </w:r>
    </w:p>
    <w:p w14:paraId="055A36F3" w14:textId="77777777" w:rsidR="00943F6D" w:rsidRPr="00345221" w:rsidRDefault="00943F6D" w:rsidP="00943F6D">
      <w:pPr>
        <w:pStyle w:val="NormalWeb"/>
        <w:shd w:val="clear" w:color="auto" w:fill="FFFFFF"/>
        <w:spacing w:before="0" w:beforeAutospacing="0" w:after="0" w:afterAutospacing="0" w:line="259" w:lineRule="auto"/>
        <w:contextualSpacing/>
        <w:jc w:val="both"/>
        <w:rPr>
          <w:rFonts w:ascii="Cambria" w:hAnsi="Cambria"/>
          <w:b/>
          <w:bCs/>
          <w:color w:val="C00000"/>
          <w:sz w:val="22"/>
          <w:szCs w:val="22"/>
        </w:rPr>
      </w:pPr>
      <w:r w:rsidRPr="00345221">
        <w:rPr>
          <w:rFonts w:ascii="Cambria" w:hAnsi="Cambria"/>
          <w:color w:val="C00000"/>
          <w:sz w:val="22"/>
          <w:szCs w:val="22"/>
        </w:rPr>
        <w:br/>
      </w:r>
      <w:r w:rsidRPr="00345221">
        <w:rPr>
          <w:rFonts w:ascii="Cambria" w:hAnsi="Cambria"/>
          <w:b/>
          <w:bCs/>
          <w:sz w:val="22"/>
          <w:szCs w:val="22"/>
        </w:rPr>
        <w:t>Dear Valued Clients and Partners,</w:t>
      </w:r>
    </w:p>
    <w:p w14:paraId="70FAB72E" w14:textId="77777777" w:rsidR="00943F6D" w:rsidRPr="00345221" w:rsidRDefault="00943F6D" w:rsidP="00943F6D">
      <w:pPr>
        <w:pStyle w:val="NormalWeb"/>
        <w:shd w:val="clear" w:color="auto" w:fill="FFFFFF"/>
        <w:spacing w:before="0" w:beforeAutospacing="0" w:after="0" w:afterAutospacing="0" w:line="259" w:lineRule="auto"/>
        <w:contextualSpacing/>
        <w:jc w:val="both"/>
        <w:rPr>
          <w:rFonts w:ascii="Cambria" w:hAnsi="Cambria"/>
          <w:color w:val="000000"/>
          <w:sz w:val="22"/>
          <w:szCs w:val="22"/>
        </w:rPr>
      </w:pPr>
      <w:r w:rsidRPr="00345221">
        <w:rPr>
          <w:rFonts w:ascii="Cambria" w:hAnsi="Cambria"/>
          <w:color w:val="000000"/>
          <w:sz w:val="22"/>
          <w:szCs w:val="22"/>
        </w:rPr>
        <w:t> </w:t>
      </w:r>
    </w:p>
    <w:p w14:paraId="5D5254AC" w14:textId="77777777" w:rsidR="00943F6D" w:rsidRPr="00345221" w:rsidRDefault="00943F6D" w:rsidP="00943F6D">
      <w:pPr>
        <w:pStyle w:val="NormalWeb"/>
        <w:shd w:val="clear" w:color="auto" w:fill="FFFFFF"/>
        <w:spacing w:before="0" w:beforeAutospacing="0" w:after="0" w:afterAutospacing="0" w:line="259" w:lineRule="auto"/>
        <w:contextualSpacing/>
        <w:jc w:val="both"/>
        <w:rPr>
          <w:rFonts w:ascii="Cambria" w:hAnsi="Cambria"/>
          <w:color w:val="000000"/>
          <w:sz w:val="22"/>
          <w:szCs w:val="22"/>
        </w:rPr>
      </w:pPr>
      <w:r w:rsidRPr="00345221">
        <w:rPr>
          <w:rFonts w:ascii="Cambria" w:hAnsi="Cambria"/>
          <w:color w:val="000000"/>
          <w:sz w:val="22"/>
          <w:szCs w:val="22"/>
        </w:rPr>
        <w:t>ADK &amp; Co Vietnam Lawyers would like to introduce to you the Legal Updates, Vol 15 of August 2021 with new legal provisions with notable contents as follows:</w:t>
      </w:r>
    </w:p>
    <w:p w14:paraId="3A873927" w14:textId="77777777" w:rsidR="00943F6D" w:rsidRPr="00345221" w:rsidRDefault="00943F6D" w:rsidP="00943F6D">
      <w:pPr>
        <w:pStyle w:val="NormalWeb"/>
        <w:shd w:val="clear" w:color="auto" w:fill="FFFFFF"/>
        <w:spacing w:before="0" w:beforeAutospacing="0" w:after="0" w:afterAutospacing="0" w:line="259" w:lineRule="auto"/>
        <w:contextualSpacing/>
        <w:jc w:val="both"/>
        <w:rPr>
          <w:rFonts w:ascii="Cambria" w:hAnsi="Cambria"/>
          <w:color w:val="000000"/>
          <w:sz w:val="22"/>
          <w:szCs w:val="22"/>
        </w:rPr>
      </w:pPr>
    </w:p>
    <w:p w14:paraId="63011E57" w14:textId="3927FFD2" w:rsidR="00F36F31" w:rsidRPr="00F36F31" w:rsidRDefault="00933F8D" w:rsidP="00F36F31">
      <w:pPr>
        <w:pStyle w:val="NormalWeb"/>
        <w:numPr>
          <w:ilvl w:val="0"/>
          <w:numId w:val="2"/>
        </w:numPr>
        <w:shd w:val="clear" w:color="auto" w:fill="FFFFFF"/>
        <w:spacing w:after="0"/>
        <w:ind w:left="900" w:hanging="900"/>
        <w:contextualSpacing/>
        <w:jc w:val="both"/>
        <w:rPr>
          <w:rFonts w:ascii="Cambria" w:hAnsi="Cambria"/>
          <w:b/>
          <w:bCs/>
          <w:color w:val="000000"/>
          <w:sz w:val="22"/>
          <w:szCs w:val="22"/>
        </w:rPr>
      </w:pPr>
      <w:r>
        <w:rPr>
          <w:rFonts w:ascii="Cambria" w:hAnsi="Cambria"/>
          <w:b/>
          <w:bCs/>
          <w:color w:val="000000"/>
          <w:sz w:val="22"/>
          <w:szCs w:val="22"/>
        </w:rPr>
        <w:t>R</w:t>
      </w:r>
      <w:r w:rsidRPr="00933F8D">
        <w:rPr>
          <w:rFonts w:ascii="Cambria" w:hAnsi="Cambria"/>
          <w:b/>
          <w:bCs/>
          <w:color w:val="000000"/>
          <w:sz w:val="22"/>
          <w:szCs w:val="22"/>
        </w:rPr>
        <w:t>emov</w:t>
      </w:r>
      <w:r>
        <w:rPr>
          <w:rFonts w:ascii="Cambria" w:hAnsi="Cambria"/>
          <w:b/>
          <w:bCs/>
          <w:color w:val="000000"/>
          <w:sz w:val="22"/>
          <w:szCs w:val="22"/>
        </w:rPr>
        <w:t>ing</w:t>
      </w:r>
      <w:r w:rsidRPr="00933F8D">
        <w:rPr>
          <w:rFonts w:ascii="Cambria" w:hAnsi="Cambria"/>
          <w:b/>
          <w:bCs/>
          <w:color w:val="000000"/>
          <w:sz w:val="22"/>
          <w:szCs w:val="22"/>
        </w:rPr>
        <w:t xml:space="preserve"> the FIT pricing mechanism for rooftop solar power</w:t>
      </w:r>
      <w:r w:rsidR="00193279">
        <w:rPr>
          <w:rStyle w:val="FootnoteReference"/>
          <w:rFonts w:ascii="Cambria" w:hAnsi="Cambria"/>
          <w:b/>
          <w:bCs/>
          <w:color w:val="000000"/>
          <w:sz w:val="22"/>
          <w:szCs w:val="22"/>
        </w:rPr>
        <w:footnoteReference w:id="1"/>
      </w:r>
    </w:p>
    <w:p w14:paraId="3C382C58" w14:textId="7D64EED8" w:rsidR="00F36F31" w:rsidRDefault="00F36F31" w:rsidP="00F36F31">
      <w:pPr>
        <w:spacing w:after="0" w:line="252" w:lineRule="auto"/>
        <w:ind w:left="907"/>
        <w:contextualSpacing/>
        <w:jc w:val="both"/>
        <w:rPr>
          <w:rFonts w:ascii="Cambria" w:hAnsi="Cambria"/>
        </w:rPr>
      </w:pPr>
      <w:r w:rsidRPr="00F36F31">
        <w:rPr>
          <w:rFonts w:ascii="Cambria" w:hAnsi="Cambria"/>
        </w:rPr>
        <w:t>On August 30, 2021, the Vietnam Chamber of Commerce and Industry (VCCI) in collaboration with the Center for Green Innovation and Development (GreenID) organized the seminar "</w:t>
      </w:r>
      <w:r w:rsidRPr="00F36F31">
        <w:rPr>
          <w:rFonts w:ascii="Cambria" w:hAnsi="Cambria"/>
          <w:i/>
          <w:iCs/>
        </w:rPr>
        <w:t>Roof solar power in industrial zones: Removing inadequacies in deployment and installation</w:t>
      </w:r>
      <w:r w:rsidRPr="00F36F31">
        <w:rPr>
          <w:rFonts w:ascii="Cambria" w:hAnsi="Cambria"/>
        </w:rPr>
        <w:t>” in the online form.</w:t>
      </w:r>
    </w:p>
    <w:p w14:paraId="242BDD71" w14:textId="77777777" w:rsidR="00F36F31" w:rsidRDefault="00F36F31" w:rsidP="00F36F31">
      <w:pPr>
        <w:spacing w:after="0" w:line="252" w:lineRule="auto"/>
        <w:ind w:left="907"/>
        <w:contextualSpacing/>
        <w:jc w:val="both"/>
        <w:rPr>
          <w:rFonts w:ascii="Cambria" w:hAnsi="Cambria"/>
        </w:rPr>
      </w:pPr>
    </w:p>
    <w:p w14:paraId="18E5A22A" w14:textId="348B8BA9" w:rsidR="00F36F31" w:rsidRDefault="00F36F31" w:rsidP="00F36F31">
      <w:pPr>
        <w:spacing w:after="0" w:line="252" w:lineRule="auto"/>
        <w:ind w:left="907"/>
        <w:contextualSpacing/>
        <w:jc w:val="both"/>
        <w:rPr>
          <w:rFonts w:ascii="Cambria" w:hAnsi="Cambria"/>
        </w:rPr>
      </w:pPr>
      <w:r w:rsidRPr="00F36F31">
        <w:rPr>
          <w:rFonts w:ascii="Cambria" w:hAnsi="Cambria"/>
        </w:rPr>
        <w:t>Accordingly, Mr. Pham Nguyen Hung - Deputy Director of the Electricity and Renewable Energy Authority (Ministry of Industry and Trade) - said that the Ministry of Industry and Trade (</w:t>
      </w:r>
      <w:r w:rsidR="009F2DD9">
        <w:rPr>
          <w:rFonts w:ascii="Cambria" w:hAnsi="Cambria"/>
        </w:rPr>
        <w:t>MOIT</w:t>
      </w:r>
      <w:r w:rsidRPr="00F36F31">
        <w:rPr>
          <w:rFonts w:ascii="Cambria" w:hAnsi="Cambria"/>
        </w:rPr>
        <w:t xml:space="preserve">) is preparing a </w:t>
      </w:r>
      <w:r w:rsidR="006A14B3">
        <w:rPr>
          <w:rFonts w:ascii="Cambria" w:hAnsi="Cambria"/>
        </w:rPr>
        <w:t>D</w:t>
      </w:r>
      <w:r w:rsidRPr="00F36F31">
        <w:rPr>
          <w:rFonts w:ascii="Cambria" w:hAnsi="Cambria"/>
        </w:rPr>
        <w:t>raft decision on the mechanism for renewable energy development, including rooftop solar power.</w:t>
      </w:r>
      <w:r w:rsidR="009F2DD9">
        <w:rPr>
          <w:rFonts w:ascii="Cambria" w:hAnsi="Cambria"/>
        </w:rPr>
        <w:t xml:space="preserve"> </w:t>
      </w:r>
      <w:r w:rsidR="009F2DD9" w:rsidRPr="009F2DD9">
        <w:rPr>
          <w:rFonts w:ascii="Cambria" w:hAnsi="Cambria"/>
        </w:rPr>
        <w:t>According to the draft decision, there will be no FIT (Feed-in Tariff) mechanism for 20 years as before, but instead, the electricity price will be based on the annual electricity generation price bracket issued by the MOIT.</w:t>
      </w:r>
      <w:r w:rsidR="00BB7794">
        <w:rPr>
          <w:rFonts w:ascii="Cambria" w:hAnsi="Cambria"/>
        </w:rPr>
        <w:t xml:space="preserve"> </w:t>
      </w:r>
      <w:r w:rsidR="00BB7794" w:rsidRPr="00BB7794">
        <w:rPr>
          <w:rFonts w:ascii="Cambria" w:hAnsi="Cambria"/>
        </w:rPr>
        <w:t>At the same time, the Draft also sets out the on-site self-use rate of projects at 70-90% to reduce investment pressure on the power grid, transmission, and distribution. Besides the self-consumption rate, the remaining electricity (10-30%), solar power enterprises will sell to Electricity of Vietnam (EVN). The electricity selling price will be according to the annual solar power generation price bracket issued by the MOIT mentioned above to keep abreast of the market.</w:t>
      </w:r>
    </w:p>
    <w:p w14:paraId="71C8D931" w14:textId="414113C1" w:rsidR="00B0357B" w:rsidRDefault="00B0357B" w:rsidP="00F36F31">
      <w:pPr>
        <w:spacing w:after="0" w:line="252" w:lineRule="auto"/>
        <w:ind w:left="907"/>
        <w:contextualSpacing/>
        <w:jc w:val="both"/>
        <w:rPr>
          <w:rFonts w:ascii="Cambria" w:hAnsi="Cambria"/>
        </w:rPr>
      </w:pPr>
    </w:p>
    <w:p w14:paraId="0C452A9E" w14:textId="3E5A6F83" w:rsidR="00933F8D" w:rsidRPr="006A14B3" w:rsidRDefault="00B0357B" w:rsidP="00B0357B">
      <w:pPr>
        <w:spacing w:after="0" w:line="252" w:lineRule="auto"/>
        <w:ind w:left="907"/>
        <w:contextualSpacing/>
        <w:jc w:val="both"/>
        <w:rPr>
          <w:rFonts w:ascii="Cambria" w:hAnsi="Cambria"/>
          <w:spacing w:val="-4"/>
        </w:rPr>
      </w:pPr>
      <w:r w:rsidRPr="006A14B3">
        <w:rPr>
          <w:rFonts w:ascii="Cambria" w:hAnsi="Cambria"/>
          <w:spacing w:val="-4"/>
        </w:rPr>
        <w:t>In addition, the electricity purchase and sale mechanism of rooftop solar PV installation households with EVN are also not in the same direction as before. Instead, the electricity purchase and sale mechanism are determined based on regulations of the Ministry of Finance. Therefore, on the buying/selling side, two different invoices will be set up to separate this activity.</w:t>
      </w:r>
    </w:p>
    <w:p w14:paraId="2E74B973" w14:textId="77777777" w:rsidR="00B0357B" w:rsidRPr="00B0357B" w:rsidRDefault="00B0357B" w:rsidP="00B0357B">
      <w:pPr>
        <w:spacing w:after="0" w:line="252" w:lineRule="auto"/>
        <w:ind w:left="907"/>
        <w:contextualSpacing/>
        <w:jc w:val="both"/>
        <w:rPr>
          <w:rFonts w:ascii="Cambria" w:hAnsi="Cambria"/>
        </w:rPr>
      </w:pPr>
    </w:p>
    <w:p w14:paraId="70A871DE" w14:textId="0F56B407" w:rsidR="00943F6D" w:rsidRPr="00345221" w:rsidRDefault="00943F6D" w:rsidP="00943F6D">
      <w:pPr>
        <w:pStyle w:val="NormalWeb"/>
        <w:numPr>
          <w:ilvl w:val="0"/>
          <w:numId w:val="2"/>
        </w:numPr>
        <w:shd w:val="clear" w:color="auto" w:fill="FFFFFF"/>
        <w:spacing w:before="0" w:beforeAutospacing="0" w:after="0" w:afterAutospacing="0" w:line="259" w:lineRule="auto"/>
        <w:ind w:left="900" w:hanging="900"/>
        <w:contextualSpacing/>
        <w:jc w:val="both"/>
        <w:rPr>
          <w:rFonts w:ascii="Cambria" w:hAnsi="Cambria"/>
          <w:b/>
          <w:bCs/>
          <w:color w:val="000000"/>
          <w:sz w:val="22"/>
          <w:szCs w:val="22"/>
        </w:rPr>
      </w:pPr>
      <w:r w:rsidRPr="00345221">
        <w:rPr>
          <w:rFonts w:ascii="Cambria" w:hAnsi="Cambria"/>
          <w:b/>
          <w:bCs/>
          <w:color w:val="000000"/>
          <w:sz w:val="22"/>
          <w:szCs w:val="22"/>
        </w:rPr>
        <w:t>Financial Regulations of a Debt Trading One Member Limited Liability Company</w:t>
      </w:r>
    </w:p>
    <w:p w14:paraId="092556A6" w14:textId="77777777" w:rsidR="00943F6D" w:rsidRPr="00345221" w:rsidRDefault="00943F6D" w:rsidP="00943F6D">
      <w:pPr>
        <w:pStyle w:val="NormalWeb"/>
        <w:shd w:val="clear" w:color="auto" w:fill="FFFFFF"/>
        <w:spacing w:before="0" w:beforeAutospacing="0" w:after="0" w:afterAutospacing="0" w:line="259" w:lineRule="auto"/>
        <w:contextualSpacing/>
        <w:jc w:val="both"/>
        <w:rPr>
          <w:rFonts w:ascii="Cambria" w:hAnsi="Cambria"/>
          <w:color w:val="000000"/>
          <w:sz w:val="22"/>
          <w:szCs w:val="22"/>
        </w:rPr>
      </w:pPr>
    </w:p>
    <w:p w14:paraId="7879E1A9" w14:textId="77777777" w:rsidR="00943F6D" w:rsidRPr="00345221" w:rsidRDefault="00943F6D" w:rsidP="00943F6D">
      <w:pPr>
        <w:pStyle w:val="NormalWeb"/>
        <w:shd w:val="clear" w:color="auto" w:fill="FFFFFF"/>
        <w:spacing w:before="0" w:beforeAutospacing="0" w:after="0" w:afterAutospacing="0" w:line="259" w:lineRule="auto"/>
        <w:ind w:left="900"/>
        <w:contextualSpacing/>
        <w:jc w:val="both"/>
        <w:rPr>
          <w:rFonts w:ascii="Cambria" w:hAnsi="Cambria"/>
          <w:color w:val="000000"/>
          <w:sz w:val="22"/>
          <w:szCs w:val="22"/>
        </w:rPr>
      </w:pPr>
      <w:r w:rsidRPr="00345221">
        <w:rPr>
          <w:rFonts w:ascii="Cambria" w:hAnsi="Cambria"/>
          <w:color w:val="000000"/>
          <w:sz w:val="22"/>
          <w:szCs w:val="22"/>
        </w:rPr>
        <w:t xml:space="preserve">On July 29, 2021, </w:t>
      </w:r>
      <w:r>
        <w:rPr>
          <w:rFonts w:ascii="Cambria" w:hAnsi="Cambria"/>
          <w:color w:val="000000"/>
          <w:sz w:val="22"/>
          <w:szCs w:val="22"/>
        </w:rPr>
        <w:t xml:space="preserve">the </w:t>
      </w:r>
      <w:r w:rsidRPr="00345221">
        <w:rPr>
          <w:rFonts w:ascii="Cambria" w:hAnsi="Cambria"/>
          <w:color w:val="000000"/>
          <w:sz w:val="22"/>
          <w:szCs w:val="22"/>
        </w:rPr>
        <w:t xml:space="preserve">Minister of Finance issued Circular 62/2021/TT-BTC on Promulgating the Financial regulations of Vietnam's </w:t>
      </w:r>
      <w:r>
        <w:rPr>
          <w:rFonts w:ascii="Cambria" w:hAnsi="Cambria"/>
          <w:color w:val="000000"/>
          <w:sz w:val="22"/>
          <w:szCs w:val="22"/>
        </w:rPr>
        <w:t>single</w:t>
      </w:r>
      <w:r w:rsidRPr="00345221">
        <w:rPr>
          <w:rFonts w:ascii="Cambria" w:hAnsi="Cambria"/>
          <w:color w:val="000000"/>
          <w:sz w:val="22"/>
          <w:szCs w:val="22"/>
        </w:rPr>
        <w:t xml:space="preserve">-member limited </w:t>
      </w:r>
      <w:r>
        <w:rPr>
          <w:rFonts w:ascii="Cambria" w:hAnsi="Cambria"/>
          <w:color w:val="000000"/>
          <w:sz w:val="22"/>
          <w:szCs w:val="22"/>
        </w:rPr>
        <w:t xml:space="preserve">liability </w:t>
      </w:r>
      <w:r w:rsidRPr="00345221">
        <w:rPr>
          <w:rFonts w:ascii="Cambria" w:hAnsi="Cambria"/>
          <w:color w:val="000000"/>
          <w:sz w:val="22"/>
          <w:szCs w:val="22"/>
        </w:rPr>
        <w:t>company</w:t>
      </w:r>
      <w:r>
        <w:rPr>
          <w:rFonts w:ascii="Cambria" w:hAnsi="Cambria"/>
          <w:color w:val="000000"/>
          <w:sz w:val="22"/>
          <w:szCs w:val="22"/>
        </w:rPr>
        <w:t xml:space="preserve"> of debt trading</w:t>
      </w:r>
      <w:r w:rsidRPr="00345221">
        <w:rPr>
          <w:rFonts w:ascii="Cambria" w:hAnsi="Cambria"/>
          <w:color w:val="000000"/>
          <w:sz w:val="22"/>
          <w:szCs w:val="22"/>
        </w:rPr>
        <w:t xml:space="preserve">, </w:t>
      </w:r>
      <w:r>
        <w:rPr>
          <w:rFonts w:ascii="Cambria" w:hAnsi="Cambria"/>
          <w:color w:val="000000"/>
          <w:sz w:val="22"/>
          <w:szCs w:val="22"/>
        </w:rPr>
        <w:t xml:space="preserve">taking </w:t>
      </w:r>
      <w:r w:rsidRPr="00345221">
        <w:rPr>
          <w:rFonts w:ascii="Cambria" w:hAnsi="Cambria"/>
          <w:color w:val="000000"/>
          <w:sz w:val="22"/>
          <w:szCs w:val="22"/>
        </w:rPr>
        <w:t xml:space="preserve">effect </w:t>
      </w:r>
      <w:r w:rsidRPr="007C5DD7">
        <w:rPr>
          <w:rFonts w:ascii="Cambria" w:hAnsi="Cambria"/>
          <w:b/>
          <w:color w:val="000000"/>
          <w:sz w:val="22"/>
          <w:szCs w:val="22"/>
          <w:u w:val="single"/>
        </w:rPr>
        <w:t>from September 15, 2021</w:t>
      </w:r>
      <w:r w:rsidRPr="00345221">
        <w:rPr>
          <w:rFonts w:ascii="Cambria" w:hAnsi="Cambria"/>
          <w:color w:val="000000"/>
          <w:sz w:val="22"/>
          <w:szCs w:val="22"/>
        </w:rPr>
        <w:t>.</w:t>
      </w:r>
    </w:p>
    <w:p w14:paraId="76D31BE8" w14:textId="77777777" w:rsidR="00943F6D" w:rsidRPr="00345221" w:rsidRDefault="00943F6D" w:rsidP="00943F6D">
      <w:pPr>
        <w:pStyle w:val="NormalWeb"/>
        <w:shd w:val="clear" w:color="auto" w:fill="FFFFFF"/>
        <w:spacing w:before="0" w:beforeAutospacing="0" w:after="0" w:afterAutospacing="0" w:line="259" w:lineRule="auto"/>
        <w:ind w:left="900"/>
        <w:contextualSpacing/>
        <w:jc w:val="both"/>
        <w:rPr>
          <w:rFonts w:ascii="Cambria" w:hAnsi="Cambria"/>
          <w:color w:val="000000"/>
          <w:sz w:val="22"/>
          <w:szCs w:val="22"/>
        </w:rPr>
      </w:pPr>
    </w:p>
    <w:p w14:paraId="1BE29BE1" w14:textId="77777777" w:rsidR="00943F6D" w:rsidRPr="00345221" w:rsidRDefault="00943F6D" w:rsidP="00943F6D">
      <w:pPr>
        <w:pStyle w:val="NormalWeb"/>
        <w:shd w:val="clear" w:color="auto" w:fill="FFFFFF"/>
        <w:spacing w:before="0" w:beforeAutospacing="0" w:after="0" w:afterAutospacing="0" w:line="259" w:lineRule="auto"/>
        <w:ind w:left="900"/>
        <w:contextualSpacing/>
        <w:jc w:val="both"/>
        <w:rPr>
          <w:rFonts w:ascii="Cambria" w:hAnsi="Cambria"/>
          <w:color w:val="000000"/>
          <w:sz w:val="22"/>
          <w:szCs w:val="22"/>
        </w:rPr>
      </w:pPr>
      <w:r w:rsidRPr="00345221">
        <w:rPr>
          <w:rFonts w:ascii="Cambria" w:hAnsi="Cambria"/>
          <w:color w:val="000000"/>
          <w:sz w:val="22"/>
          <w:szCs w:val="22"/>
        </w:rPr>
        <w:t>Accordingly, the Financial Regulations promulgated together with Circular 62/2021/TT-BTC include the following main contents:</w:t>
      </w:r>
    </w:p>
    <w:p w14:paraId="5F82BF4F" w14:textId="77777777" w:rsidR="00943F6D" w:rsidRPr="00345221" w:rsidRDefault="00943F6D" w:rsidP="00943F6D">
      <w:pPr>
        <w:pStyle w:val="NormalWeb"/>
        <w:shd w:val="clear" w:color="auto" w:fill="FFFFFF"/>
        <w:spacing w:before="0" w:beforeAutospacing="0" w:after="0" w:afterAutospacing="0" w:line="259" w:lineRule="auto"/>
        <w:ind w:left="900"/>
        <w:contextualSpacing/>
        <w:jc w:val="both"/>
        <w:rPr>
          <w:rFonts w:ascii="Cambria" w:hAnsi="Cambria"/>
          <w:color w:val="000000"/>
          <w:sz w:val="22"/>
          <w:szCs w:val="22"/>
        </w:rPr>
      </w:pPr>
    </w:p>
    <w:p w14:paraId="35F218DC" w14:textId="77777777" w:rsidR="00943F6D" w:rsidRPr="00345221" w:rsidRDefault="00943F6D" w:rsidP="00943F6D">
      <w:pPr>
        <w:pStyle w:val="NormalWeb"/>
        <w:numPr>
          <w:ilvl w:val="0"/>
          <w:numId w:val="7"/>
        </w:numPr>
        <w:shd w:val="clear" w:color="auto" w:fill="FFFFFF"/>
        <w:spacing w:after="0" w:afterAutospacing="0" w:line="259" w:lineRule="auto"/>
        <w:ind w:left="1843" w:hanging="943"/>
        <w:contextualSpacing/>
        <w:jc w:val="both"/>
        <w:rPr>
          <w:rFonts w:ascii="Cambria" w:hAnsi="Cambria"/>
          <w:color w:val="000000"/>
          <w:sz w:val="22"/>
          <w:szCs w:val="22"/>
        </w:rPr>
      </w:pPr>
      <w:r w:rsidRPr="00345221">
        <w:rPr>
          <w:rFonts w:ascii="Cambria" w:hAnsi="Cambria"/>
          <w:color w:val="000000"/>
          <w:sz w:val="22"/>
          <w:szCs w:val="22"/>
        </w:rPr>
        <w:t>Subjects of application:</w:t>
      </w:r>
    </w:p>
    <w:p w14:paraId="23B07DA0" w14:textId="77777777" w:rsidR="00943F6D" w:rsidRPr="00345221" w:rsidRDefault="00943F6D" w:rsidP="00943F6D">
      <w:pPr>
        <w:pStyle w:val="NormalWeb"/>
        <w:shd w:val="clear" w:color="auto" w:fill="FFFFFF"/>
        <w:spacing w:after="0" w:afterAutospacing="0" w:line="259" w:lineRule="auto"/>
        <w:ind w:left="2694"/>
        <w:contextualSpacing/>
        <w:jc w:val="both"/>
        <w:rPr>
          <w:rFonts w:ascii="Cambria" w:hAnsi="Cambria"/>
          <w:color w:val="000000"/>
          <w:sz w:val="22"/>
          <w:szCs w:val="22"/>
        </w:rPr>
      </w:pPr>
    </w:p>
    <w:p w14:paraId="44D02476" w14:textId="77777777" w:rsidR="00943F6D" w:rsidRPr="00345221" w:rsidRDefault="00943F6D" w:rsidP="00943F6D">
      <w:pPr>
        <w:pStyle w:val="NormalWeb"/>
        <w:numPr>
          <w:ilvl w:val="0"/>
          <w:numId w:val="4"/>
        </w:numPr>
        <w:shd w:val="clear" w:color="auto" w:fill="FFFFFF"/>
        <w:spacing w:after="0" w:afterAutospacing="0" w:line="259" w:lineRule="auto"/>
        <w:ind w:left="2694" w:hanging="851"/>
        <w:contextualSpacing/>
        <w:jc w:val="both"/>
        <w:rPr>
          <w:rFonts w:ascii="Cambria" w:hAnsi="Cambria"/>
          <w:color w:val="000000"/>
          <w:sz w:val="22"/>
          <w:szCs w:val="22"/>
        </w:rPr>
      </w:pPr>
      <w:r>
        <w:rPr>
          <w:rFonts w:ascii="Cambria" w:hAnsi="Cambria"/>
          <w:color w:val="000000"/>
          <w:sz w:val="22"/>
          <w:szCs w:val="22"/>
        </w:rPr>
        <w:t xml:space="preserve">Single-member </w:t>
      </w:r>
      <w:r w:rsidRPr="00345221">
        <w:rPr>
          <w:rFonts w:ascii="Cambria" w:hAnsi="Cambria"/>
          <w:color w:val="000000"/>
          <w:sz w:val="22"/>
          <w:szCs w:val="22"/>
        </w:rPr>
        <w:t>Limited Liability Company</w:t>
      </w:r>
      <w:r>
        <w:rPr>
          <w:rFonts w:ascii="Cambria" w:hAnsi="Cambria"/>
          <w:color w:val="000000"/>
          <w:sz w:val="22"/>
          <w:szCs w:val="22"/>
        </w:rPr>
        <w:t xml:space="preserve"> of Debt trading of Vietnam</w:t>
      </w:r>
      <w:r w:rsidRPr="00345221">
        <w:rPr>
          <w:rFonts w:ascii="Cambria" w:hAnsi="Cambria"/>
          <w:color w:val="000000"/>
          <w:sz w:val="22"/>
          <w:szCs w:val="22"/>
        </w:rPr>
        <w:t xml:space="preserve"> (hereinafter referred to as DATC or the Company</w:t>
      </w:r>
      <w:proofErr w:type="gramStart"/>
      <w:r w:rsidRPr="00345221">
        <w:rPr>
          <w:rFonts w:ascii="Cambria" w:hAnsi="Cambria"/>
          <w:color w:val="000000"/>
          <w:sz w:val="22"/>
          <w:szCs w:val="22"/>
        </w:rPr>
        <w:t>);</w:t>
      </w:r>
      <w:proofErr w:type="gramEnd"/>
    </w:p>
    <w:p w14:paraId="0013ABB2" w14:textId="77777777" w:rsidR="00943F6D" w:rsidRPr="00345221" w:rsidRDefault="00943F6D" w:rsidP="00943F6D">
      <w:pPr>
        <w:pStyle w:val="NormalWeb"/>
        <w:shd w:val="clear" w:color="auto" w:fill="FFFFFF"/>
        <w:spacing w:after="0" w:afterAutospacing="0" w:line="259" w:lineRule="auto"/>
        <w:ind w:left="2694"/>
        <w:contextualSpacing/>
        <w:jc w:val="both"/>
        <w:rPr>
          <w:rFonts w:ascii="Cambria" w:hAnsi="Cambria"/>
          <w:color w:val="000000"/>
          <w:sz w:val="22"/>
          <w:szCs w:val="22"/>
        </w:rPr>
      </w:pPr>
    </w:p>
    <w:p w14:paraId="0DAE8390" w14:textId="77777777" w:rsidR="00943F6D" w:rsidRPr="00345221" w:rsidRDefault="00943F6D" w:rsidP="00943F6D">
      <w:pPr>
        <w:pStyle w:val="NormalWeb"/>
        <w:numPr>
          <w:ilvl w:val="0"/>
          <w:numId w:val="4"/>
        </w:numPr>
        <w:shd w:val="clear" w:color="auto" w:fill="FFFFFF"/>
        <w:spacing w:after="0" w:afterAutospacing="0" w:line="259" w:lineRule="auto"/>
        <w:ind w:left="2694" w:hanging="851"/>
        <w:contextualSpacing/>
        <w:jc w:val="both"/>
        <w:rPr>
          <w:rFonts w:ascii="Cambria" w:hAnsi="Cambria"/>
          <w:color w:val="000000"/>
          <w:sz w:val="22"/>
          <w:szCs w:val="22"/>
        </w:rPr>
      </w:pPr>
      <w:r w:rsidRPr="00345221">
        <w:rPr>
          <w:rFonts w:ascii="Cambria" w:hAnsi="Cambria"/>
          <w:color w:val="000000"/>
          <w:sz w:val="22"/>
          <w:szCs w:val="22"/>
        </w:rPr>
        <w:t>Organizations and individuals related to DATC's financial management mechanism.</w:t>
      </w:r>
    </w:p>
    <w:p w14:paraId="7AF9F21E" w14:textId="77777777" w:rsidR="00943F6D" w:rsidRPr="00345221" w:rsidRDefault="00943F6D" w:rsidP="00943F6D">
      <w:pPr>
        <w:pStyle w:val="NormalWeb"/>
        <w:shd w:val="clear" w:color="auto" w:fill="FFFFFF"/>
        <w:spacing w:after="0" w:afterAutospacing="0" w:line="259" w:lineRule="auto"/>
        <w:ind w:left="900"/>
        <w:contextualSpacing/>
        <w:jc w:val="both"/>
        <w:rPr>
          <w:rFonts w:ascii="Cambria" w:hAnsi="Cambria"/>
          <w:color w:val="000000"/>
          <w:sz w:val="22"/>
          <w:szCs w:val="22"/>
        </w:rPr>
      </w:pPr>
    </w:p>
    <w:p w14:paraId="61CA6958" w14:textId="77777777" w:rsidR="00943F6D" w:rsidRPr="00345221" w:rsidRDefault="00943F6D" w:rsidP="00943F6D">
      <w:pPr>
        <w:pStyle w:val="NormalWeb"/>
        <w:numPr>
          <w:ilvl w:val="0"/>
          <w:numId w:val="7"/>
        </w:numPr>
        <w:shd w:val="clear" w:color="auto" w:fill="FFFFFF"/>
        <w:spacing w:after="0" w:afterAutospacing="0" w:line="259" w:lineRule="auto"/>
        <w:ind w:left="1843" w:hanging="992"/>
        <w:contextualSpacing/>
        <w:jc w:val="both"/>
        <w:rPr>
          <w:rFonts w:ascii="Cambria" w:hAnsi="Cambria"/>
          <w:color w:val="000000"/>
          <w:sz w:val="22"/>
          <w:szCs w:val="22"/>
        </w:rPr>
      </w:pPr>
      <w:r w:rsidRPr="00345221">
        <w:rPr>
          <w:rFonts w:ascii="Cambria" w:hAnsi="Cambria"/>
          <w:color w:val="000000"/>
          <w:sz w:val="22"/>
          <w:szCs w:val="22"/>
        </w:rPr>
        <w:t>Principles of capital use:</w:t>
      </w:r>
    </w:p>
    <w:p w14:paraId="2D3833C1" w14:textId="77777777" w:rsidR="00943F6D" w:rsidRPr="00345221" w:rsidRDefault="00943F6D" w:rsidP="00943F6D">
      <w:pPr>
        <w:pStyle w:val="NormalWeb"/>
        <w:shd w:val="clear" w:color="auto" w:fill="FFFFFF"/>
        <w:spacing w:after="0" w:afterAutospacing="0" w:line="259" w:lineRule="auto"/>
        <w:ind w:left="900"/>
        <w:contextualSpacing/>
        <w:jc w:val="both"/>
        <w:rPr>
          <w:rFonts w:ascii="Cambria" w:hAnsi="Cambria"/>
          <w:color w:val="000000"/>
          <w:sz w:val="22"/>
          <w:szCs w:val="22"/>
        </w:rPr>
      </w:pPr>
    </w:p>
    <w:p w14:paraId="60264455" w14:textId="77777777" w:rsidR="00943F6D" w:rsidRPr="00345221" w:rsidRDefault="00943F6D" w:rsidP="00943F6D">
      <w:pPr>
        <w:pStyle w:val="NormalWeb"/>
        <w:numPr>
          <w:ilvl w:val="0"/>
          <w:numId w:val="4"/>
        </w:numPr>
        <w:shd w:val="clear" w:color="auto" w:fill="FFFFFF"/>
        <w:spacing w:after="0" w:afterAutospacing="0" w:line="259" w:lineRule="auto"/>
        <w:ind w:left="2694" w:hanging="851"/>
        <w:contextualSpacing/>
        <w:jc w:val="both"/>
        <w:rPr>
          <w:rFonts w:ascii="Cambria" w:hAnsi="Cambria"/>
          <w:color w:val="000000"/>
          <w:sz w:val="22"/>
          <w:szCs w:val="22"/>
        </w:rPr>
      </w:pPr>
      <w:r w:rsidRPr="00345221">
        <w:rPr>
          <w:rFonts w:ascii="Cambria" w:hAnsi="Cambria"/>
          <w:color w:val="000000"/>
          <w:sz w:val="22"/>
          <w:szCs w:val="22"/>
        </w:rPr>
        <w:t xml:space="preserve">The Company has the right to actively use the Company's capital to serve business activities on the principle of efficiency, preservation, and development of capital and under the provisions of </w:t>
      </w:r>
      <w:proofErr w:type="gramStart"/>
      <w:r w:rsidRPr="00345221">
        <w:rPr>
          <w:rFonts w:ascii="Cambria" w:hAnsi="Cambria"/>
          <w:color w:val="000000"/>
          <w:sz w:val="22"/>
          <w:szCs w:val="22"/>
        </w:rPr>
        <w:t>law;</w:t>
      </w:r>
      <w:proofErr w:type="gramEnd"/>
    </w:p>
    <w:p w14:paraId="37186D30" w14:textId="77777777" w:rsidR="00943F6D" w:rsidRPr="00345221" w:rsidRDefault="00943F6D" w:rsidP="00943F6D">
      <w:pPr>
        <w:pStyle w:val="NormalWeb"/>
        <w:shd w:val="clear" w:color="auto" w:fill="FFFFFF"/>
        <w:spacing w:after="0" w:afterAutospacing="0" w:line="259" w:lineRule="auto"/>
        <w:ind w:left="2694"/>
        <w:contextualSpacing/>
        <w:jc w:val="both"/>
        <w:rPr>
          <w:rFonts w:ascii="Cambria" w:hAnsi="Cambria"/>
          <w:color w:val="000000"/>
          <w:sz w:val="22"/>
          <w:szCs w:val="22"/>
        </w:rPr>
      </w:pPr>
    </w:p>
    <w:p w14:paraId="3F218B07" w14:textId="77777777" w:rsidR="00943F6D" w:rsidRPr="00345221" w:rsidRDefault="00943F6D" w:rsidP="00943F6D">
      <w:pPr>
        <w:pStyle w:val="NormalWeb"/>
        <w:numPr>
          <w:ilvl w:val="0"/>
          <w:numId w:val="4"/>
        </w:numPr>
        <w:shd w:val="clear" w:color="auto" w:fill="FFFFFF"/>
        <w:spacing w:after="0" w:afterAutospacing="0" w:line="259" w:lineRule="auto"/>
        <w:ind w:left="2694" w:hanging="851"/>
        <w:contextualSpacing/>
        <w:jc w:val="both"/>
        <w:rPr>
          <w:rFonts w:ascii="Cambria" w:hAnsi="Cambria"/>
          <w:color w:val="000000"/>
          <w:sz w:val="22"/>
          <w:szCs w:val="22"/>
        </w:rPr>
      </w:pPr>
      <w:r w:rsidRPr="00345221">
        <w:rPr>
          <w:rFonts w:ascii="Cambria" w:hAnsi="Cambria"/>
          <w:color w:val="000000"/>
          <w:sz w:val="22"/>
          <w:szCs w:val="22"/>
        </w:rPr>
        <w:t xml:space="preserve">The capital </w:t>
      </w:r>
      <w:r>
        <w:rPr>
          <w:rFonts w:ascii="Cambria" w:hAnsi="Cambria"/>
          <w:color w:val="000000"/>
          <w:sz w:val="22"/>
          <w:szCs w:val="22"/>
        </w:rPr>
        <w:t xml:space="preserve">use of </w:t>
      </w:r>
      <w:r w:rsidRPr="00345221">
        <w:rPr>
          <w:rFonts w:ascii="Cambria" w:hAnsi="Cambria"/>
          <w:color w:val="000000"/>
          <w:sz w:val="22"/>
          <w:szCs w:val="22"/>
        </w:rPr>
        <w:t xml:space="preserve">investment and purchase of fixed assets to serve the Company's operations must </w:t>
      </w:r>
      <w:proofErr w:type="gramStart"/>
      <w:r w:rsidRPr="00345221">
        <w:rPr>
          <w:rFonts w:ascii="Cambria" w:hAnsi="Cambria"/>
          <w:color w:val="000000"/>
          <w:sz w:val="22"/>
          <w:szCs w:val="22"/>
        </w:rPr>
        <w:t>ensure:</w:t>
      </w:r>
      <w:proofErr w:type="gramEnd"/>
      <w:r w:rsidRPr="00345221">
        <w:rPr>
          <w:rFonts w:ascii="Cambria" w:hAnsi="Cambria"/>
          <w:color w:val="000000"/>
          <w:sz w:val="22"/>
          <w:szCs w:val="22"/>
        </w:rPr>
        <w:t xml:space="preserve"> a) Equipment </w:t>
      </w:r>
      <w:r>
        <w:rPr>
          <w:rFonts w:ascii="Cambria" w:hAnsi="Cambria"/>
          <w:color w:val="000000"/>
          <w:sz w:val="22"/>
          <w:szCs w:val="22"/>
        </w:rPr>
        <w:t xml:space="preserve">must be </w:t>
      </w:r>
      <w:r w:rsidRPr="00345221">
        <w:rPr>
          <w:rFonts w:ascii="Cambria" w:hAnsi="Cambria"/>
          <w:color w:val="000000"/>
          <w:sz w:val="22"/>
          <w:szCs w:val="22"/>
        </w:rPr>
        <w:t xml:space="preserve">suitable to the Company's operational needs and compliance with the State's regulations; b) Comply with current </w:t>
      </w:r>
      <w:r>
        <w:rPr>
          <w:rFonts w:ascii="Cambria" w:hAnsi="Cambria"/>
          <w:color w:val="000000"/>
          <w:sz w:val="22"/>
          <w:szCs w:val="22"/>
        </w:rPr>
        <w:t xml:space="preserve">legal </w:t>
      </w:r>
      <w:r w:rsidRPr="00345221">
        <w:rPr>
          <w:rFonts w:ascii="Cambria" w:hAnsi="Cambria"/>
          <w:color w:val="000000"/>
          <w:sz w:val="22"/>
          <w:szCs w:val="22"/>
        </w:rPr>
        <w:t xml:space="preserve">regulations on capital construction investment and purchase of fixed assets and c) Accounting and monitoring of investment and procurement assets under </w:t>
      </w:r>
      <w:r>
        <w:rPr>
          <w:rFonts w:ascii="Cambria" w:hAnsi="Cambria"/>
          <w:color w:val="000000"/>
          <w:sz w:val="22"/>
          <w:szCs w:val="22"/>
        </w:rPr>
        <w:t xml:space="preserve">the </w:t>
      </w:r>
      <w:r w:rsidRPr="00345221">
        <w:rPr>
          <w:rFonts w:ascii="Cambria" w:hAnsi="Cambria"/>
          <w:color w:val="000000"/>
          <w:sz w:val="22"/>
          <w:szCs w:val="22"/>
        </w:rPr>
        <w:t xml:space="preserve">current </w:t>
      </w:r>
      <w:r>
        <w:rPr>
          <w:rFonts w:ascii="Cambria" w:hAnsi="Cambria"/>
          <w:color w:val="000000"/>
          <w:sz w:val="22"/>
          <w:szCs w:val="22"/>
        </w:rPr>
        <w:t xml:space="preserve">legal </w:t>
      </w:r>
      <w:r w:rsidRPr="00345221">
        <w:rPr>
          <w:rFonts w:ascii="Cambria" w:hAnsi="Cambria"/>
          <w:color w:val="000000"/>
          <w:sz w:val="22"/>
          <w:szCs w:val="22"/>
        </w:rPr>
        <w:t>regulations.</w:t>
      </w:r>
    </w:p>
    <w:p w14:paraId="04DF550D" w14:textId="77777777" w:rsidR="00943F6D" w:rsidRPr="00345221" w:rsidRDefault="00943F6D" w:rsidP="00943F6D">
      <w:pPr>
        <w:pStyle w:val="NormalWeb"/>
        <w:shd w:val="clear" w:color="auto" w:fill="FFFFFF"/>
        <w:spacing w:after="0" w:afterAutospacing="0" w:line="259" w:lineRule="auto"/>
        <w:ind w:left="900"/>
        <w:contextualSpacing/>
        <w:jc w:val="both"/>
        <w:rPr>
          <w:rFonts w:ascii="Cambria" w:hAnsi="Cambria"/>
          <w:color w:val="000000"/>
          <w:sz w:val="22"/>
          <w:szCs w:val="22"/>
        </w:rPr>
      </w:pPr>
    </w:p>
    <w:p w14:paraId="06CE8E78" w14:textId="77777777" w:rsidR="00943F6D" w:rsidRPr="00345221" w:rsidRDefault="00943F6D" w:rsidP="00943F6D">
      <w:pPr>
        <w:pStyle w:val="NormalWeb"/>
        <w:numPr>
          <w:ilvl w:val="0"/>
          <w:numId w:val="7"/>
        </w:numPr>
        <w:shd w:val="clear" w:color="auto" w:fill="FFFFFF"/>
        <w:spacing w:after="0" w:afterAutospacing="0" w:line="259" w:lineRule="auto"/>
        <w:ind w:left="1843" w:hanging="943"/>
        <w:contextualSpacing/>
        <w:jc w:val="both"/>
        <w:rPr>
          <w:rFonts w:ascii="Cambria" w:hAnsi="Cambria"/>
          <w:color w:val="000000"/>
          <w:sz w:val="22"/>
          <w:szCs w:val="22"/>
        </w:rPr>
      </w:pPr>
      <w:r w:rsidRPr="00345221">
        <w:rPr>
          <w:rFonts w:ascii="Cambria" w:hAnsi="Cambria"/>
          <w:color w:val="000000"/>
          <w:sz w:val="22"/>
          <w:szCs w:val="22"/>
        </w:rPr>
        <w:t>Principles of capital mobilization:</w:t>
      </w:r>
    </w:p>
    <w:p w14:paraId="3D3C54A8" w14:textId="77777777" w:rsidR="00943F6D" w:rsidRPr="00345221" w:rsidRDefault="00943F6D" w:rsidP="00943F6D">
      <w:pPr>
        <w:pStyle w:val="NormalWeb"/>
        <w:shd w:val="clear" w:color="auto" w:fill="FFFFFF"/>
        <w:spacing w:after="0" w:afterAutospacing="0" w:line="259" w:lineRule="auto"/>
        <w:contextualSpacing/>
        <w:jc w:val="both"/>
        <w:rPr>
          <w:rFonts w:ascii="Cambria" w:hAnsi="Cambria"/>
          <w:color w:val="000000"/>
          <w:sz w:val="22"/>
          <w:szCs w:val="22"/>
        </w:rPr>
      </w:pPr>
    </w:p>
    <w:p w14:paraId="4E887A50" w14:textId="77777777" w:rsidR="00943F6D" w:rsidRPr="00345221" w:rsidRDefault="00943F6D" w:rsidP="00943F6D">
      <w:pPr>
        <w:pStyle w:val="NormalWeb"/>
        <w:numPr>
          <w:ilvl w:val="0"/>
          <w:numId w:val="4"/>
        </w:numPr>
        <w:shd w:val="clear" w:color="auto" w:fill="FFFFFF"/>
        <w:spacing w:after="0" w:afterAutospacing="0" w:line="259" w:lineRule="auto"/>
        <w:ind w:left="2694" w:hanging="851"/>
        <w:contextualSpacing/>
        <w:jc w:val="both"/>
        <w:rPr>
          <w:rFonts w:ascii="Cambria" w:hAnsi="Cambria"/>
          <w:color w:val="000000"/>
          <w:sz w:val="22"/>
          <w:szCs w:val="22"/>
        </w:rPr>
      </w:pPr>
      <w:r w:rsidRPr="00345221">
        <w:rPr>
          <w:rFonts w:ascii="Cambria" w:hAnsi="Cambria"/>
          <w:color w:val="000000"/>
          <w:sz w:val="22"/>
          <w:szCs w:val="22"/>
        </w:rPr>
        <w:t xml:space="preserve">According to the 5-year investment and development strategy and plan and the Company's annual production and business </w:t>
      </w:r>
      <w:proofErr w:type="gramStart"/>
      <w:r w:rsidRPr="00345221">
        <w:rPr>
          <w:rFonts w:ascii="Cambria" w:hAnsi="Cambria"/>
          <w:color w:val="000000"/>
          <w:sz w:val="22"/>
          <w:szCs w:val="22"/>
        </w:rPr>
        <w:t>plan;</w:t>
      </w:r>
      <w:proofErr w:type="gramEnd"/>
    </w:p>
    <w:p w14:paraId="64C91B43" w14:textId="77777777" w:rsidR="00943F6D" w:rsidRPr="00345221" w:rsidRDefault="00943F6D" w:rsidP="00943F6D">
      <w:pPr>
        <w:pStyle w:val="NormalWeb"/>
        <w:shd w:val="clear" w:color="auto" w:fill="FFFFFF"/>
        <w:spacing w:after="0" w:afterAutospacing="0" w:line="259" w:lineRule="auto"/>
        <w:ind w:left="2694"/>
        <w:contextualSpacing/>
        <w:jc w:val="both"/>
        <w:rPr>
          <w:rFonts w:ascii="Cambria" w:hAnsi="Cambria"/>
          <w:color w:val="000000"/>
          <w:sz w:val="22"/>
          <w:szCs w:val="22"/>
        </w:rPr>
      </w:pPr>
    </w:p>
    <w:p w14:paraId="1227CF21" w14:textId="77777777" w:rsidR="00943F6D" w:rsidRPr="00345221" w:rsidRDefault="00943F6D" w:rsidP="00943F6D">
      <w:pPr>
        <w:pStyle w:val="NormalWeb"/>
        <w:numPr>
          <w:ilvl w:val="0"/>
          <w:numId w:val="4"/>
        </w:numPr>
        <w:shd w:val="clear" w:color="auto" w:fill="FFFFFF"/>
        <w:spacing w:after="0" w:afterAutospacing="0" w:line="259" w:lineRule="auto"/>
        <w:ind w:left="2694" w:hanging="851"/>
        <w:contextualSpacing/>
        <w:jc w:val="both"/>
        <w:rPr>
          <w:rFonts w:ascii="Cambria" w:hAnsi="Cambria"/>
          <w:color w:val="000000"/>
          <w:sz w:val="22"/>
          <w:szCs w:val="22"/>
        </w:rPr>
      </w:pPr>
      <w:r w:rsidRPr="00345221">
        <w:rPr>
          <w:rFonts w:ascii="Cambria" w:hAnsi="Cambria"/>
          <w:color w:val="000000"/>
          <w:sz w:val="22"/>
          <w:szCs w:val="22"/>
        </w:rPr>
        <w:t xml:space="preserve">The capital mobilization plan ensures efficiency and debt payment </w:t>
      </w:r>
      <w:proofErr w:type="gramStart"/>
      <w:r w:rsidRPr="00345221">
        <w:rPr>
          <w:rFonts w:ascii="Cambria" w:hAnsi="Cambria"/>
          <w:color w:val="000000"/>
          <w:sz w:val="22"/>
          <w:szCs w:val="22"/>
        </w:rPr>
        <w:t>ability;</w:t>
      </w:r>
      <w:proofErr w:type="gramEnd"/>
    </w:p>
    <w:p w14:paraId="1C41ED26" w14:textId="77777777" w:rsidR="00943F6D" w:rsidRPr="00345221" w:rsidRDefault="00943F6D" w:rsidP="00943F6D">
      <w:pPr>
        <w:pStyle w:val="NormalWeb"/>
        <w:shd w:val="clear" w:color="auto" w:fill="FFFFFF"/>
        <w:spacing w:after="0" w:afterAutospacing="0" w:line="259" w:lineRule="auto"/>
        <w:ind w:left="2694"/>
        <w:contextualSpacing/>
        <w:jc w:val="both"/>
        <w:rPr>
          <w:rFonts w:ascii="Cambria" w:hAnsi="Cambria"/>
          <w:color w:val="000000"/>
          <w:sz w:val="22"/>
          <w:szCs w:val="22"/>
        </w:rPr>
      </w:pPr>
    </w:p>
    <w:p w14:paraId="5A0A8721" w14:textId="5A99AEA2" w:rsidR="00943F6D" w:rsidRDefault="00943F6D" w:rsidP="00943F6D">
      <w:pPr>
        <w:pStyle w:val="NormalWeb"/>
        <w:numPr>
          <w:ilvl w:val="0"/>
          <w:numId w:val="4"/>
        </w:numPr>
        <w:shd w:val="clear" w:color="auto" w:fill="FFFFFF"/>
        <w:spacing w:after="0" w:afterAutospacing="0" w:line="259" w:lineRule="auto"/>
        <w:ind w:left="2694" w:hanging="851"/>
        <w:contextualSpacing/>
        <w:jc w:val="both"/>
        <w:rPr>
          <w:rFonts w:ascii="Cambria" w:hAnsi="Cambria"/>
          <w:color w:val="000000"/>
          <w:sz w:val="22"/>
          <w:szCs w:val="22"/>
        </w:rPr>
      </w:pPr>
      <w:r w:rsidRPr="00345221">
        <w:rPr>
          <w:rFonts w:ascii="Cambria" w:hAnsi="Cambria"/>
          <w:color w:val="000000"/>
          <w:sz w:val="22"/>
          <w:szCs w:val="22"/>
        </w:rPr>
        <w:t xml:space="preserve">The person approving the capital mobilization plan is responsible for monitoring, checking, and ensuring that the mobilized capital is used for the right purposes and </w:t>
      </w:r>
      <w:proofErr w:type="gramStart"/>
      <w:r w:rsidRPr="00345221">
        <w:rPr>
          <w:rFonts w:ascii="Cambria" w:hAnsi="Cambria"/>
          <w:color w:val="000000"/>
          <w:sz w:val="22"/>
          <w:szCs w:val="22"/>
        </w:rPr>
        <w:t>effectively;</w:t>
      </w:r>
      <w:proofErr w:type="gramEnd"/>
    </w:p>
    <w:p w14:paraId="54CD7110" w14:textId="77777777" w:rsidR="00943F6D" w:rsidRPr="00943F6D" w:rsidRDefault="00943F6D" w:rsidP="00943F6D">
      <w:pPr>
        <w:pStyle w:val="NormalWeb"/>
        <w:shd w:val="clear" w:color="auto" w:fill="FFFFFF"/>
        <w:spacing w:after="0" w:afterAutospacing="0" w:line="259" w:lineRule="auto"/>
        <w:contextualSpacing/>
        <w:jc w:val="both"/>
        <w:rPr>
          <w:rFonts w:ascii="Cambria" w:hAnsi="Cambria"/>
          <w:color w:val="000000"/>
          <w:sz w:val="22"/>
          <w:szCs w:val="22"/>
        </w:rPr>
      </w:pPr>
    </w:p>
    <w:p w14:paraId="47F61AB1" w14:textId="5AE10448" w:rsidR="00943F6D" w:rsidRDefault="00943F6D" w:rsidP="00943F6D">
      <w:pPr>
        <w:pStyle w:val="NormalWeb"/>
        <w:numPr>
          <w:ilvl w:val="0"/>
          <w:numId w:val="4"/>
        </w:numPr>
        <w:shd w:val="clear" w:color="auto" w:fill="FFFFFF"/>
        <w:spacing w:after="0" w:afterAutospacing="0" w:line="259" w:lineRule="auto"/>
        <w:ind w:left="2694" w:hanging="851"/>
        <w:contextualSpacing/>
        <w:jc w:val="both"/>
        <w:rPr>
          <w:rFonts w:ascii="Cambria" w:hAnsi="Cambria"/>
          <w:color w:val="000000"/>
          <w:sz w:val="22"/>
          <w:szCs w:val="22"/>
        </w:rPr>
      </w:pPr>
      <w:r w:rsidRPr="00345221">
        <w:rPr>
          <w:rFonts w:ascii="Cambria" w:hAnsi="Cambria"/>
          <w:color w:val="000000"/>
          <w:sz w:val="22"/>
          <w:szCs w:val="22"/>
        </w:rPr>
        <w:t xml:space="preserve">The mobilization of capital from foreign organizations and individuals, borrowing or issuance of government-guaranteed bonds shall comply with the law on public debt management and relevant </w:t>
      </w:r>
      <w:proofErr w:type="gramStart"/>
      <w:r w:rsidRPr="00345221">
        <w:rPr>
          <w:rFonts w:ascii="Cambria" w:hAnsi="Cambria"/>
          <w:color w:val="000000"/>
          <w:sz w:val="22"/>
          <w:szCs w:val="22"/>
        </w:rPr>
        <w:t>laws;</w:t>
      </w:r>
      <w:proofErr w:type="gramEnd"/>
    </w:p>
    <w:p w14:paraId="056E2D94" w14:textId="77777777" w:rsidR="00943F6D" w:rsidRPr="00943F6D" w:rsidRDefault="00943F6D" w:rsidP="00943F6D">
      <w:pPr>
        <w:pStyle w:val="NormalWeb"/>
        <w:shd w:val="clear" w:color="auto" w:fill="FFFFFF"/>
        <w:spacing w:after="0" w:afterAutospacing="0" w:line="259" w:lineRule="auto"/>
        <w:contextualSpacing/>
        <w:jc w:val="both"/>
        <w:rPr>
          <w:rFonts w:ascii="Cambria" w:hAnsi="Cambria"/>
          <w:color w:val="000000"/>
          <w:sz w:val="22"/>
          <w:szCs w:val="22"/>
        </w:rPr>
      </w:pPr>
    </w:p>
    <w:p w14:paraId="6A54067F" w14:textId="209DF734" w:rsidR="00943F6D" w:rsidRDefault="00943F6D" w:rsidP="00943F6D">
      <w:pPr>
        <w:pStyle w:val="NormalWeb"/>
        <w:numPr>
          <w:ilvl w:val="0"/>
          <w:numId w:val="4"/>
        </w:numPr>
        <w:shd w:val="clear" w:color="auto" w:fill="FFFFFF"/>
        <w:spacing w:after="0" w:afterAutospacing="0" w:line="259" w:lineRule="auto"/>
        <w:ind w:left="2694" w:hanging="851"/>
        <w:contextualSpacing/>
        <w:jc w:val="both"/>
        <w:rPr>
          <w:rFonts w:ascii="Cambria" w:hAnsi="Cambria"/>
          <w:color w:val="000000"/>
          <w:sz w:val="22"/>
          <w:szCs w:val="22"/>
        </w:rPr>
      </w:pPr>
      <w:r w:rsidRPr="00345221">
        <w:rPr>
          <w:rFonts w:ascii="Cambria" w:hAnsi="Cambria"/>
          <w:color w:val="000000"/>
          <w:sz w:val="22"/>
          <w:szCs w:val="22"/>
        </w:rPr>
        <w:t xml:space="preserve">The mobilization of capital in the form of corporate bond issuance shall comply with the provisions of law and the Charter of the </w:t>
      </w:r>
      <w:proofErr w:type="gramStart"/>
      <w:r w:rsidRPr="00345221">
        <w:rPr>
          <w:rFonts w:ascii="Cambria" w:hAnsi="Cambria"/>
          <w:color w:val="000000"/>
          <w:sz w:val="22"/>
          <w:szCs w:val="22"/>
        </w:rPr>
        <w:t>Company;</w:t>
      </w:r>
      <w:proofErr w:type="gramEnd"/>
    </w:p>
    <w:p w14:paraId="67215443" w14:textId="77777777" w:rsidR="00943F6D" w:rsidRPr="00943F6D" w:rsidRDefault="00943F6D" w:rsidP="00943F6D">
      <w:pPr>
        <w:pStyle w:val="NormalWeb"/>
        <w:shd w:val="clear" w:color="auto" w:fill="FFFFFF"/>
        <w:spacing w:after="0" w:afterAutospacing="0" w:line="259" w:lineRule="auto"/>
        <w:contextualSpacing/>
        <w:jc w:val="both"/>
        <w:rPr>
          <w:rFonts w:ascii="Cambria" w:hAnsi="Cambria"/>
          <w:color w:val="000000"/>
          <w:sz w:val="22"/>
          <w:szCs w:val="22"/>
        </w:rPr>
      </w:pPr>
    </w:p>
    <w:p w14:paraId="348A16F2" w14:textId="77777777" w:rsidR="00943F6D" w:rsidRPr="00345221" w:rsidRDefault="00943F6D" w:rsidP="00943F6D">
      <w:pPr>
        <w:pStyle w:val="NormalWeb"/>
        <w:numPr>
          <w:ilvl w:val="0"/>
          <w:numId w:val="4"/>
        </w:numPr>
        <w:shd w:val="clear" w:color="auto" w:fill="FFFFFF"/>
        <w:spacing w:after="0" w:afterAutospacing="0" w:line="259" w:lineRule="auto"/>
        <w:ind w:left="2694" w:hanging="851"/>
        <w:contextualSpacing/>
        <w:jc w:val="both"/>
        <w:rPr>
          <w:rFonts w:ascii="Cambria" w:hAnsi="Cambria"/>
          <w:color w:val="000000"/>
          <w:sz w:val="22"/>
          <w:szCs w:val="22"/>
        </w:rPr>
      </w:pPr>
      <w:r w:rsidRPr="00345221">
        <w:rPr>
          <w:rFonts w:ascii="Cambria" w:hAnsi="Cambria"/>
          <w:color w:val="000000"/>
          <w:sz w:val="22"/>
          <w:szCs w:val="22"/>
        </w:rPr>
        <w:t>The mobilization of capital for business activities (including loan guarantees at credit institutions for subsidiaries specified in clause 4 Article 23 of the Law on management and utilization of state capital invested in the enterprise's manufacturing and business activities). For production and business activities at enterprises and for restructured enterprises in which more than 50% of charter capital is held by the DATC as prescribed in clause 2 Article 22 of Decree No. 129/2020/ND-CP) must ensure that the total liabilities do not exceed three times the equity of the Company as recorded in the quarterly financial statements or the annual financial statements of the Company at the nearest time of capital mobilization.</w:t>
      </w:r>
    </w:p>
    <w:p w14:paraId="309F0F77" w14:textId="77777777" w:rsidR="00943F6D" w:rsidRPr="00345221" w:rsidRDefault="00943F6D" w:rsidP="00943F6D">
      <w:pPr>
        <w:pStyle w:val="NormalWeb"/>
        <w:shd w:val="clear" w:color="auto" w:fill="FFFFFF"/>
        <w:spacing w:before="0" w:beforeAutospacing="0" w:after="0" w:afterAutospacing="0" w:line="259" w:lineRule="auto"/>
        <w:contextualSpacing/>
        <w:jc w:val="both"/>
        <w:rPr>
          <w:rFonts w:ascii="Cambria" w:hAnsi="Cambria"/>
          <w:b/>
          <w:bCs/>
          <w:color w:val="000000"/>
          <w:sz w:val="22"/>
          <w:szCs w:val="22"/>
        </w:rPr>
      </w:pPr>
    </w:p>
    <w:p w14:paraId="612121FE" w14:textId="77777777" w:rsidR="00943F6D" w:rsidRPr="00345221" w:rsidRDefault="00943F6D" w:rsidP="00943F6D">
      <w:pPr>
        <w:pStyle w:val="ListParagraph"/>
        <w:numPr>
          <w:ilvl w:val="0"/>
          <w:numId w:val="2"/>
        </w:numPr>
        <w:spacing w:after="0"/>
        <w:ind w:left="900" w:hanging="900"/>
        <w:jc w:val="both"/>
        <w:rPr>
          <w:rFonts w:ascii="Cambria" w:hAnsi="Cambria"/>
          <w:b/>
          <w:bCs/>
          <w:color w:val="000000" w:themeColor="text1"/>
        </w:rPr>
      </w:pPr>
      <w:r w:rsidRPr="00345221">
        <w:rPr>
          <w:rFonts w:ascii="Cambria" w:hAnsi="Cambria"/>
          <w:b/>
          <w:bCs/>
          <w:color w:val="000000" w:themeColor="text1"/>
        </w:rPr>
        <w:t xml:space="preserve">Promulgating Economic-technical norms </w:t>
      </w:r>
      <w:r>
        <w:rPr>
          <w:rFonts w:ascii="Cambria" w:hAnsi="Cambria"/>
          <w:b/>
          <w:bCs/>
          <w:color w:val="000000" w:themeColor="text1"/>
        </w:rPr>
        <w:t xml:space="preserve">of </w:t>
      </w:r>
      <w:r w:rsidRPr="00345221">
        <w:rPr>
          <w:rFonts w:ascii="Cambria" w:hAnsi="Cambria"/>
          <w:b/>
          <w:bCs/>
          <w:color w:val="000000" w:themeColor="text1"/>
        </w:rPr>
        <w:t>formulation and adjustment of zoning and plans on land use</w:t>
      </w:r>
    </w:p>
    <w:p w14:paraId="4F21FE57" w14:textId="77777777" w:rsidR="00943F6D" w:rsidRPr="00345221" w:rsidRDefault="00943F6D" w:rsidP="00943F6D">
      <w:pPr>
        <w:spacing w:after="0"/>
        <w:contextualSpacing/>
        <w:jc w:val="both"/>
        <w:rPr>
          <w:rFonts w:ascii="Cambria" w:hAnsi="Cambria"/>
          <w:color w:val="000000" w:themeColor="text1"/>
        </w:rPr>
      </w:pPr>
    </w:p>
    <w:p w14:paraId="66272D1D" w14:textId="77777777" w:rsidR="00943F6D" w:rsidRPr="00345221" w:rsidRDefault="00943F6D" w:rsidP="00943F6D">
      <w:pPr>
        <w:spacing w:after="0"/>
        <w:ind w:left="900"/>
        <w:contextualSpacing/>
        <w:jc w:val="both"/>
        <w:rPr>
          <w:rFonts w:ascii="Cambria" w:hAnsi="Cambria"/>
          <w:color w:val="000000" w:themeColor="text1"/>
        </w:rPr>
      </w:pPr>
      <w:r w:rsidRPr="00345221">
        <w:rPr>
          <w:rFonts w:ascii="Cambria" w:hAnsi="Cambria"/>
          <w:color w:val="000000" w:themeColor="text1"/>
        </w:rPr>
        <w:t xml:space="preserve">On August 06, 2021, </w:t>
      </w:r>
      <w:r>
        <w:rPr>
          <w:rFonts w:ascii="Cambria" w:hAnsi="Cambria"/>
          <w:color w:val="000000" w:themeColor="text1"/>
        </w:rPr>
        <w:t xml:space="preserve">the </w:t>
      </w:r>
      <w:r w:rsidRPr="00345221">
        <w:rPr>
          <w:rFonts w:ascii="Cambria" w:hAnsi="Cambria"/>
          <w:color w:val="000000" w:themeColor="text1"/>
        </w:rPr>
        <w:t xml:space="preserve">Minister of Natural Resources and Environment issued Circular 11/2021/TT-BTNMT promulgating economic-technical norms for formulation and adjustment of zoning and plans on land use, </w:t>
      </w:r>
      <w:r>
        <w:rPr>
          <w:rFonts w:ascii="Cambria" w:hAnsi="Cambria"/>
          <w:color w:val="000000" w:themeColor="text1"/>
        </w:rPr>
        <w:t xml:space="preserve">taking </w:t>
      </w:r>
      <w:r w:rsidRPr="00345221">
        <w:rPr>
          <w:rFonts w:ascii="Cambria" w:hAnsi="Cambria"/>
          <w:color w:val="000000" w:themeColor="text1"/>
        </w:rPr>
        <w:t xml:space="preserve">effect from </w:t>
      </w:r>
      <w:r w:rsidRPr="007C5DD7">
        <w:rPr>
          <w:rFonts w:ascii="Cambria" w:hAnsi="Cambria"/>
          <w:b/>
          <w:color w:val="000000" w:themeColor="text1"/>
          <w:u w:val="single"/>
        </w:rPr>
        <w:t>September 22, 2021</w:t>
      </w:r>
      <w:r w:rsidRPr="00345221">
        <w:rPr>
          <w:rFonts w:ascii="Cambria" w:hAnsi="Cambria"/>
          <w:color w:val="000000" w:themeColor="text1"/>
        </w:rPr>
        <w:t>.</w:t>
      </w:r>
    </w:p>
    <w:p w14:paraId="07FAA5C1" w14:textId="77777777" w:rsidR="00943F6D" w:rsidRPr="00345221" w:rsidRDefault="00943F6D" w:rsidP="00943F6D">
      <w:pPr>
        <w:spacing w:after="0"/>
        <w:ind w:left="900"/>
        <w:contextualSpacing/>
        <w:jc w:val="both"/>
        <w:rPr>
          <w:rFonts w:ascii="Cambria" w:hAnsi="Cambria"/>
          <w:color w:val="000000" w:themeColor="text1"/>
        </w:rPr>
      </w:pPr>
    </w:p>
    <w:p w14:paraId="35B58606" w14:textId="77777777" w:rsidR="00943F6D" w:rsidRPr="00345221" w:rsidRDefault="00943F6D" w:rsidP="00943F6D">
      <w:pPr>
        <w:spacing w:after="0"/>
        <w:ind w:left="900"/>
        <w:contextualSpacing/>
        <w:jc w:val="both"/>
        <w:rPr>
          <w:rFonts w:ascii="Cambria" w:hAnsi="Cambria"/>
          <w:color w:val="000000" w:themeColor="text1"/>
        </w:rPr>
      </w:pPr>
      <w:r w:rsidRPr="00345221">
        <w:rPr>
          <w:rFonts w:ascii="Cambria" w:hAnsi="Cambria"/>
          <w:color w:val="000000" w:themeColor="text1"/>
        </w:rPr>
        <w:t xml:space="preserve">Accordingly, the content of economic-technical norms </w:t>
      </w:r>
      <w:r>
        <w:rPr>
          <w:rFonts w:ascii="Cambria" w:hAnsi="Cambria"/>
          <w:color w:val="000000" w:themeColor="text1"/>
        </w:rPr>
        <w:t xml:space="preserve">of </w:t>
      </w:r>
      <w:r w:rsidRPr="00345221">
        <w:rPr>
          <w:rFonts w:ascii="Cambria" w:hAnsi="Cambria"/>
          <w:color w:val="000000" w:themeColor="text1"/>
        </w:rPr>
        <w:t>formulation and adjustment of master plans and plans on land use is promulgated as follows:</w:t>
      </w:r>
    </w:p>
    <w:p w14:paraId="0FE374C4" w14:textId="77777777" w:rsidR="00943F6D" w:rsidRPr="00345221" w:rsidRDefault="00943F6D" w:rsidP="00943F6D">
      <w:pPr>
        <w:spacing w:after="0"/>
        <w:contextualSpacing/>
        <w:jc w:val="both"/>
        <w:rPr>
          <w:rFonts w:ascii="Cambria" w:hAnsi="Cambria"/>
          <w:color w:val="000000" w:themeColor="text1"/>
        </w:rPr>
      </w:pPr>
    </w:p>
    <w:p w14:paraId="24033BDA" w14:textId="77777777" w:rsidR="00943F6D" w:rsidRPr="00345221" w:rsidRDefault="00943F6D" w:rsidP="00943F6D">
      <w:pPr>
        <w:pStyle w:val="ListParagraph"/>
        <w:numPr>
          <w:ilvl w:val="0"/>
          <w:numId w:val="6"/>
        </w:numPr>
        <w:spacing w:after="0"/>
        <w:ind w:left="1800" w:hanging="900"/>
        <w:jc w:val="both"/>
        <w:rPr>
          <w:rFonts w:ascii="Cambria" w:hAnsi="Cambria"/>
          <w:color w:val="000000" w:themeColor="text1"/>
        </w:rPr>
      </w:pPr>
      <w:r w:rsidRPr="00345221">
        <w:rPr>
          <w:rFonts w:ascii="Cambria" w:hAnsi="Cambria"/>
          <w:color w:val="000000" w:themeColor="text1"/>
        </w:rPr>
        <w:t xml:space="preserve">Norms are used to calculate unit prices of products for making and adjusting master plans and plans on land use; serve as a basis for assigning estimates and finalizing product values </w:t>
      </w:r>
      <w:r>
        <w:rPr>
          <w:rFonts w:ascii="Cambria" w:hAnsi="Cambria"/>
          <w:color w:val="000000" w:themeColor="text1"/>
        </w:rPr>
        <w:t xml:space="preserve">of </w:t>
      </w:r>
      <w:r w:rsidRPr="00345221">
        <w:rPr>
          <w:rFonts w:ascii="Cambria" w:hAnsi="Cambria"/>
          <w:color w:val="000000" w:themeColor="text1"/>
        </w:rPr>
        <w:t>formulation and adjustment of national land-use plans; formulating and adjusting land use plans at the provincial level (including provinces and centrally-run cities); formulation and adjustment of district-level master plans and plans on land use (including districts, urban districts, towns, provincial cities, cities under central authority);</w:t>
      </w:r>
    </w:p>
    <w:p w14:paraId="2B1BD9F6" w14:textId="77777777" w:rsidR="00943F6D" w:rsidRPr="00345221" w:rsidRDefault="00943F6D" w:rsidP="00943F6D">
      <w:pPr>
        <w:pStyle w:val="ListParagraph"/>
        <w:spacing w:after="0"/>
        <w:ind w:left="1800"/>
        <w:jc w:val="both"/>
        <w:rPr>
          <w:rFonts w:ascii="Cambria" w:hAnsi="Cambria"/>
          <w:color w:val="000000" w:themeColor="text1"/>
        </w:rPr>
      </w:pPr>
    </w:p>
    <w:p w14:paraId="66857BF2" w14:textId="77777777" w:rsidR="00943F6D" w:rsidRPr="00345221" w:rsidRDefault="00943F6D" w:rsidP="00943F6D">
      <w:pPr>
        <w:pStyle w:val="ListParagraph"/>
        <w:numPr>
          <w:ilvl w:val="0"/>
          <w:numId w:val="6"/>
        </w:numPr>
        <w:spacing w:after="0"/>
        <w:ind w:left="1800" w:hanging="900"/>
        <w:jc w:val="both"/>
        <w:rPr>
          <w:rFonts w:ascii="Cambria" w:hAnsi="Cambria"/>
          <w:color w:val="000000" w:themeColor="text1"/>
        </w:rPr>
      </w:pPr>
      <w:r w:rsidRPr="00345221">
        <w:rPr>
          <w:rFonts w:ascii="Cambria" w:hAnsi="Cambria"/>
          <w:color w:val="000000" w:themeColor="text1"/>
        </w:rPr>
        <w:t>Economic-technical norms</w:t>
      </w:r>
      <w:r>
        <w:rPr>
          <w:rFonts w:ascii="Cambria" w:hAnsi="Cambria"/>
          <w:color w:val="000000" w:themeColor="text1"/>
        </w:rPr>
        <w:t xml:space="preserve"> of</w:t>
      </w:r>
      <w:r w:rsidRPr="00345221">
        <w:rPr>
          <w:rFonts w:ascii="Cambria" w:hAnsi="Cambria"/>
          <w:color w:val="000000" w:themeColor="text1"/>
        </w:rPr>
        <w:t xml:space="preserve"> formulation and adjustment of zoning and plans on land use include: Labor norms; and Norms </w:t>
      </w:r>
      <w:r>
        <w:rPr>
          <w:rFonts w:ascii="Cambria" w:hAnsi="Cambria"/>
          <w:color w:val="000000" w:themeColor="text1"/>
        </w:rPr>
        <w:t xml:space="preserve">of </w:t>
      </w:r>
      <w:r w:rsidRPr="00345221">
        <w:rPr>
          <w:rFonts w:ascii="Cambria" w:hAnsi="Cambria"/>
          <w:color w:val="000000" w:themeColor="text1"/>
        </w:rPr>
        <w:t xml:space="preserve">use of materials, tools, and </w:t>
      </w:r>
      <w:proofErr w:type="gramStart"/>
      <w:r w:rsidRPr="00345221">
        <w:rPr>
          <w:rFonts w:ascii="Cambria" w:hAnsi="Cambria"/>
          <w:color w:val="000000" w:themeColor="text1"/>
        </w:rPr>
        <w:t>equipment;</w:t>
      </w:r>
      <w:proofErr w:type="gramEnd"/>
    </w:p>
    <w:p w14:paraId="29F0DAFE" w14:textId="77777777" w:rsidR="00943F6D" w:rsidRPr="00345221" w:rsidRDefault="00943F6D" w:rsidP="00943F6D">
      <w:pPr>
        <w:pStyle w:val="ListParagraph"/>
        <w:spacing w:after="0"/>
        <w:rPr>
          <w:rFonts w:ascii="Cambria" w:hAnsi="Cambria"/>
          <w:color w:val="000000" w:themeColor="text1"/>
        </w:rPr>
      </w:pPr>
    </w:p>
    <w:p w14:paraId="180E0137" w14:textId="77777777" w:rsidR="00943F6D" w:rsidRPr="00345221" w:rsidRDefault="00943F6D" w:rsidP="00943F6D">
      <w:pPr>
        <w:pStyle w:val="ListParagraph"/>
        <w:numPr>
          <w:ilvl w:val="0"/>
          <w:numId w:val="6"/>
        </w:numPr>
        <w:spacing w:after="0"/>
        <w:ind w:left="1800" w:hanging="900"/>
        <w:jc w:val="both"/>
        <w:rPr>
          <w:rFonts w:ascii="Cambria" w:hAnsi="Cambria"/>
          <w:color w:val="000000" w:themeColor="text1"/>
        </w:rPr>
      </w:pPr>
      <w:r w:rsidRPr="00345221">
        <w:rPr>
          <w:rFonts w:ascii="Cambria" w:hAnsi="Cambria"/>
          <w:color w:val="000000" w:themeColor="text1"/>
        </w:rPr>
        <w:t xml:space="preserve">Norms only specify rates for activities that directly formulate and adjust master plans and plans on land use. Task-making activities; General Management; Acceptance testing; Other activities directly related to the task will be determined during the formulation of the task under the </w:t>
      </w:r>
      <w:r>
        <w:rPr>
          <w:rFonts w:ascii="Cambria" w:hAnsi="Cambria"/>
          <w:color w:val="000000" w:themeColor="text1"/>
        </w:rPr>
        <w:t xml:space="preserve">legal regulations of </w:t>
      </w:r>
      <w:r w:rsidRPr="00345221">
        <w:rPr>
          <w:rFonts w:ascii="Cambria" w:hAnsi="Cambria"/>
          <w:color w:val="000000" w:themeColor="text1"/>
        </w:rPr>
        <w:t>the formulation, management, and use of funds for economic activities for the expenditure tasks. resources and the environment.</w:t>
      </w:r>
    </w:p>
    <w:p w14:paraId="6C5164A2" w14:textId="77777777" w:rsidR="00943F6D" w:rsidRPr="00345221" w:rsidRDefault="00943F6D" w:rsidP="00943F6D">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p>
    <w:p w14:paraId="098E89E6" w14:textId="77777777" w:rsidR="00943F6D" w:rsidRPr="00345221" w:rsidRDefault="00943F6D" w:rsidP="00943F6D">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p>
    <w:p w14:paraId="3C4CF786" w14:textId="77777777" w:rsidR="00943F6D" w:rsidRPr="00345221" w:rsidRDefault="00943F6D" w:rsidP="00943F6D">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r w:rsidRPr="00345221">
        <w:rPr>
          <w:rFonts w:ascii="OpenSansRegular" w:hAnsi="OpenSansRegular"/>
          <w:color w:val="000000"/>
          <w:sz w:val="22"/>
          <w:szCs w:val="22"/>
        </w:rPr>
        <w:t>We hope you found this brief legal update informative.</w:t>
      </w:r>
    </w:p>
    <w:p w14:paraId="6FC0A7A5" w14:textId="77777777" w:rsidR="00943F6D" w:rsidRPr="00345221" w:rsidRDefault="00943F6D" w:rsidP="00943F6D">
      <w:pPr>
        <w:pStyle w:val="NormalWeb"/>
        <w:shd w:val="clear" w:color="auto" w:fill="FFFFFF"/>
        <w:spacing w:before="0" w:beforeAutospacing="0" w:after="0" w:afterAutospacing="0" w:line="259" w:lineRule="auto"/>
        <w:ind w:left="720"/>
        <w:contextualSpacing/>
        <w:jc w:val="both"/>
        <w:rPr>
          <w:rFonts w:ascii="OpenSansRegular" w:hAnsi="OpenSansRegular"/>
          <w:color w:val="000000"/>
          <w:sz w:val="22"/>
          <w:szCs w:val="22"/>
        </w:rPr>
      </w:pPr>
      <w:r w:rsidRPr="00345221">
        <w:rPr>
          <w:rFonts w:ascii="OpenSansRegular" w:hAnsi="OpenSansRegular"/>
          <w:color w:val="000000"/>
          <w:sz w:val="22"/>
          <w:szCs w:val="22"/>
        </w:rPr>
        <w:lastRenderedPageBreak/>
        <w:t> </w:t>
      </w:r>
    </w:p>
    <w:tbl>
      <w:tblPr>
        <w:tblStyle w:val="TableGrid"/>
        <w:tblpPr w:leftFromText="180" w:rightFromText="180" w:vertAnchor="page" w:horzAnchor="margin" w:tblpXSpec="center" w:tblpY="8041"/>
        <w:tblW w:w="0" w:type="auto"/>
        <w:shd w:val="clear" w:color="auto" w:fill="D9E2F3" w:themeFill="accent1" w:themeFillTint="33"/>
        <w:tblLook w:val="04A0" w:firstRow="1" w:lastRow="0" w:firstColumn="1" w:lastColumn="0" w:noHBand="0" w:noVBand="1"/>
      </w:tblPr>
      <w:tblGrid>
        <w:gridCol w:w="8590"/>
      </w:tblGrid>
      <w:tr w:rsidR="00943F6D" w:rsidRPr="00345221" w14:paraId="37828E0C" w14:textId="77777777" w:rsidTr="00943F6D">
        <w:tc>
          <w:tcPr>
            <w:tcW w:w="8590" w:type="dxa"/>
            <w:tcBorders>
              <w:top w:val="double" w:sz="4" w:space="0" w:color="auto"/>
              <w:left w:val="nil"/>
              <w:bottom w:val="double" w:sz="4" w:space="0" w:color="auto"/>
              <w:right w:val="nil"/>
            </w:tcBorders>
            <w:shd w:val="clear" w:color="auto" w:fill="D9E2F3" w:themeFill="accent1" w:themeFillTint="33"/>
          </w:tcPr>
          <w:p w14:paraId="22228464" w14:textId="77777777" w:rsidR="00943F6D" w:rsidRPr="00345221" w:rsidRDefault="00943F6D" w:rsidP="00943F6D">
            <w:pPr>
              <w:widowControl w:val="0"/>
              <w:autoSpaceDE w:val="0"/>
              <w:autoSpaceDN w:val="0"/>
              <w:spacing w:line="259" w:lineRule="auto"/>
              <w:ind w:hanging="721"/>
              <w:contextualSpacing/>
              <w:jc w:val="center"/>
              <w:rPr>
                <w:rFonts w:ascii="Amasis MT Pro" w:eastAsia="Times New Roman" w:hAnsi="Amasis MT Pro" w:cs="Arial"/>
                <w:b/>
                <w:bCs/>
                <w:lang w:val="vi-VN" w:eastAsia="en-GB"/>
              </w:rPr>
            </w:pPr>
          </w:p>
          <w:p w14:paraId="213DBBDC" w14:textId="77777777" w:rsidR="00943F6D" w:rsidRPr="00345221" w:rsidRDefault="00943F6D" w:rsidP="00943F6D">
            <w:pPr>
              <w:widowControl w:val="0"/>
              <w:autoSpaceDE w:val="0"/>
              <w:autoSpaceDN w:val="0"/>
              <w:spacing w:line="259" w:lineRule="auto"/>
              <w:ind w:left="12" w:hanging="12"/>
              <w:contextualSpacing/>
              <w:jc w:val="both"/>
              <w:rPr>
                <w:rFonts w:ascii="Cambria" w:eastAsia="Times New Roman" w:hAnsi="Cambria" w:cs="Arial"/>
                <w:lang w:val="vi" w:eastAsia="en-GB"/>
              </w:rPr>
            </w:pPr>
            <w:r w:rsidRPr="00345221">
              <w:rPr>
                <w:rFonts w:ascii="Cambria" w:eastAsia="Times New Roman" w:hAnsi="Cambria" w:cs="Arial"/>
                <w:lang w:val="vi" w:eastAsia="en-GB"/>
              </w:rPr>
              <w:t>This document has been only prepared for general</w:t>
            </w:r>
            <w:r w:rsidRPr="00345221">
              <w:rPr>
                <w:rFonts w:ascii="Cambria" w:eastAsia="Times New Roman" w:hAnsi="Cambria" w:cs="Times New Roman"/>
                <w:lang w:val="vi"/>
              </w:rPr>
              <w:t xml:space="preserve"> </w:t>
            </w:r>
            <w:r w:rsidRPr="00345221">
              <w:rPr>
                <w:rFonts w:ascii="Cambria" w:eastAsia="Times New Roman" w:hAnsi="Cambria" w:cs="Arial"/>
                <w:lang w:val="vi"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585C9DFE" w14:textId="77777777" w:rsidR="00943F6D" w:rsidRPr="00345221" w:rsidRDefault="00943F6D" w:rsidP="00943F6D">
            <w:pPr>
              <w:widowControl w:val="0"/>
              <w:autoSpaceDE w:val="0"/>
              <w:autoSpaceDN w:val="0"/>
              <w:spacing w:line="259" w:lineRule="auto"/>
              <w:ind w:left="12" w:hanging="12"/>
              <w:contextualSpacing/>
              <w:jc w:val="both"/>
              <w:rPr>
                <w:rFonts w:ascii="Cambria" w:eastAsia="Times New Roman" w:hAnsi="Cambria" w:cs="Arial"/>
                <w:lang w:val="vi" w:eastAsia="en-GB"/>
              </w:rPr>
            </w:pPr>
          </w:p>
          <w:p w14:paraId="74260684" w14:textId="77777777" w:rsidR="00943F6D" w:rsidRPr="00345221" w:rsidRDefault="00943F6D" w:rsidP="00943F6D">
            <w:pPr>
              <w:widowControl w:val="0"/>
              <w:autoSpaceDE w:val="0"/>
              <w:autoSpaceDN w:val="0"/>
              <w:spacing w:line="259" w:lineRule="auto"/>
              <w:ind w:left="12" w:hanging="12"/>
              <w:contextualSpacing/>
              <w:jc w:val="both"/>
              <w:rPr>
                <w:rFonts w:ascii="Cambria" w:eastAsia="Times New Roman" w:hAnsi="Cambria" w:cs="Arial"/>
                <w:lang w:val="vi" w:eastAsia="en-GB"/>
              </w:rPr>
            </w:pPr>
            <w:r w:rsidRPr="00345221">
              <w:rPr>
                <w:rFonts w:ascii="Cambria" w:eastAsia="Times New Roman" w:hAnsi="Cambria" w:cs="Arial"/>
                <w:lang w:val="vi" w:eastAsia="en-GB"/>
              </w:rPr>
              <w:t>If you have or suspect that you may have a particular problem, you should contact us or your lawyer for specific advice on the matter.</w:t>
            </w:r>
          </w:p>
          <w:p w14:paraId="71D4EFB5" w14:textId="77777777" w:rsidR="00943F6D" w:rsidRPr="00345221" w:rsidRDefault="00943F6D" w:rsidP="00943F6D">
            <w:pPr>
              <w:widowControl w:val="0"/>
              <w:autoSpaceDE w:val="0"/>
              <w:autoSpaceDN w:val="0"/>
              <w:spacing w:line="259" w:lineRule="auto"/>
              <w:ind w:hanging="721"/>
              <w:contextualSpacing/>
              <w:rPr>
                <w:rFonts w:ascii="Cambria" w:eastAsia="Times New Roman" w:hAnsi="Cambria" w:cs="Arial"/>
                <w:lang w:val="vi-VN" w:eastAsia="en-GB"/>
              </w:rPr>
            </w:pPr>
          </w:p>
          <w:p w14:paraId="10FCF967" w14:textId="77777777" w:rsidR="00943F6D" w:rsidRPr="00345221" w:rsidRDefault="00943F6D" w:rsidP="00943F6D">
            <w:pPr>
              <w:widowControl w:val="0"/>
              <w:autoSpaceDE w:val="0"/>
              <w:autoSpaceDN w:val="0"/>
              <w:spacing w:line="259" w:lineRule="auto"/>
              <w:ind w:hanging="721"/>
              <w:contextualSpacing/>
              <w:jc w:val="center"/>
              <w:rPr>
                <w:rFonts w:ascii="Cambria" w:eastAsia="Times New Roman" w:hAnsi="Cambria" w:cs="Arial"/>
                <w:b/>
                <w:bCs/>
                <w:lang w:val="vi" w:eastAsia="en-GB"/>
              </w:rPr>
            </w:pPr>
            <w:r w:rsidRPr="00345221">
              <w:rPr>
                <w:rFonts w:ascii="Cambria" w:eastAsia="Times New Roman" w:hAnsi="Cambria" w:cs="Arial"/>
                <w:b/>
                <w:bCs/>
                <w:lang w:val="vi-VN" w:eastAsia="en-GB"/>
              </w:rPr>
              <w:t>ADK</w:t>
            </w:r>
            <w:r w:rsidRPr="00345221">
              <w:rPr>
                <w:rFonts w:ascii="Cambria" w:eastAsia="Times New Roman" w:hAnsi="Cambria" w:cs="Arial"/>
                <w:b/>
                <w:bCs/>
                <w:lang w:eastAsia="en-GB"/>
              </w:rPr>
              <w:t xml:space="preserve"> </w:t>
            </w:r>
            <w:r w:rsidRPr="00345221">
              <w:rPr>
                <w:rFonts w:ascii="Cambria" w:eastAsia="Times New Roman" w:hAnsi="Cambria" w:cs="Arial"/>
                <w:b/>
                <w:bCs/>
                <w:lang w:val="vi-VN" w:eastAsia="en-GB"/>
              </w:rPr>
              <w:t>&amp;</w:t>
            </w:r>
            <w:r w:rsidRPr="00345221">
              <w:rPr>
                <w:rFonts w:ascii="Cambria" w:eastAsia="Times New Roman" w:hAnsi="Cambria" w:cs="Arial"/>
                <w:b/>
                <w:bCs/>
                <w:lang w:eastAsia="en-GB"/>
              </w:rPr>
              <w:t xml:space="preserve"> </w:t>
            </w:r>
            <w:r w:rsidRPr="00345221">
              <w:rPr>
                <w:rFonts w:ascii="Cambria" w:eastAsia="Times New Roman" w:hAnsi="Cambria" w:cs="Arial"/>
                <w:b/>
                <w:bCs/>
                <w:lang w:val="vi-VN" w:eastAsia="en-GB"/>
              </w:rPr>
              <w:t xml:space="preserve">CO </w:t>
            </w:r>
            <w:r w:rsidRPr="00345221">
              <w:rPr>
                <w:rFonts w:ascii="Cambria" w:eastAsia="Times New Roman" w:hAnsi="Cambria" w:cs="Arial"/>
                <w:b/>
                <w:bCs/>
                <w:lang w:val="vi" w:eastAsia="en-GB"/>
              </w:rPr>
              <w:t>VIET NAM LAWYERS</w:t>
            </w:r>
          </w:p>
          <w:p w14:paraId="53F8A7A1" w14:textId="77777777" w:rsidR="00943F6D" w:rsidRPr="00345221" w:rsidRDefault="00943F6D" w:rsidP="00943F6D">
            <w:pPr>
              <w:widowControl w:val="0"/>
              <w:autoSpaceDE w:val="0"/>
              <w:autoSpaceDN w:val="0"/>
              <w:spacing w:line="259" w:lineRule="auto"/>
              <w:ind w:hanging="721"/>
              <w:contextualSpacing/>
              <w:jc w:val="center"/>
              <w:rPr>
                <w:rFonts w:ascii="Cambria" w:eastAsia="Times New Roman" w:hAnsi="Cambria" w:cs="Arial"/>
                <w:b/>
                <w:bCs/>
                <w:lang w:val="vi-VN" w:eastAsia="en-GB"/>
              </w:rPr>
            </w:pPr>
          </w:p>
          <w:p w14:paraId="0543A2B5" w14:textId="77777777" w:rsidR="00943F6D" w:rsidRPr="00345221" w:rsidRDefault="00943F6D" w:rsidP="00943F6D">
            <w:pPr>
              <w:widowControl w:val="0"/>
              <w:autoSpaceDE w:val="0"/>
              <w:autoSpaceDN w:val="0"/>
              <w:spacing w:line="259" w:lineRule="auto"/>
              <w:contextualSpacing/>
              <w:rPr>
                <w:rFonts w:ascii="Cambria" w:eastAsia="Times New Roman" w:hAnsi="Cambria" w:cs="Arial"/>
                <w:lang w:val="vi-VN" w:eastAsia="en-GB"/>
              </w:rPr>
            </w:pPr>
            <w:r w:rsidRPr="00345221">
              <w:rPr>
                <w:rFonts w:ascii="Cambria" w:eastAsia="Times New Roman" w:hAnsi="Cambria" w:cs="Arial"/>
                <w:lang w:val="vi-VN" w:eastAsia="en-GB"/>
              </w:rPr>
              <w:t xml:space="preserve">Address: G-01 Fl. HBT Tower, 456-458 Hai Ba Trung Str., Tan Dinh Ward, District 1, HCMC, VN  </w:t>
            </w:r>
          </w:p>
          <w:p w14:paraId="0EC5BDB8" w14:textId="77777777" w:rsidR="00943F6D" w:rsidRPr="00345221" w:rsidRDefault="00943F6D" w:rsidP="00943F6D">
            <w:pPr>
              <w:widowControl w:val="0"/>
              <w:autoSpaceDE w:val="0"/>
              <w:autoSpaceDN w:val="0"/>
              <w:spacing w:line="259" w:lineRule="auto"/>
              <w:ind w:left="741" w:hanging="721"/>
              <w:contextualSpacing/>
              <w:rPr>
                <w:rFonts w:ascii="Cambria" w:eastAsia="Times New Roman" w:hAnsi="Cambria" w:cs="Arial"/>
                <w:lang w:val="vi-VN" w:eastAsia="en-GB"/>
              </w:rPr>
            </w:pPr>
            <w:r w:rsidRPr="00345221">
              <w:rPr>
                <w:rFonts w:ascii="Cambria" w:eastAsia="Times New Roman" w:hAnsi="Cambria" w:cs="Arial"/>
                <w:lang w:val="vi-VN" w:eastAsia="en-GB"/>
              </w:rPr>
              <w:t>Hotline: (+84) 28 66 79 79 66</w:t>
            </w:r>
          </w:p>
          <w:p w14:paraId="530BE5A7" w14:textId="77777777" w:rsidR="00943F6D" w:rsidRPr="00345221" w:rsidRDefault="00943F6D" w:rsidP="00943F6D">
            <w:pPr>
              <w:widowControl w:val="0"/>
              <w:autoSpaceDE w:val="0"/>
              <w:autoSpaceDN w:val="0"/>
              <w:spacing w:line="259" w:lineRule="auto"/>
              <w:ind w:left="1024" w:hanging="1024"/>
              <w:contextualSpacing/>
              <w:rPr>
                <w:rFonts w:ascii="Cambria" w:eastAsia="Times New Roman" w:hAnsi="Cambria" w:cs="Arial"/>
                <w:color w:val="0000FF"/>
                <w:u w:val="single"/>
                <w:lang w:val="vi-VN" w:eastAsia="en-GB"/>
              </w:rPr>
            </w:pPr>
            <w:r w:rsidRPr="00345221">
              <w:rPr>
                <w:rFonts w:ascii="Cambria" w:eastAsia="Times New Roman" w:hAnsi="Cambria" w:cs="Arial"/>
                <w:lang w:val="vi-VN" w:eastAsia="en-GB"/>
              </w:rPr>
              <w:t xml:space="preserve">Email: </w:t>
            </w:r>
            <w:hyperlink r:id="rId8" w:history="1">
              <w:r w:rsidRPr="00345221">
                <w:rPr>
                  <w:rFonts w:ascii="Cambria" w:eastAsia="Times New Roman" w:hAnsi="Cambria" w:cs="Arial"/>
                  <w:color w:val="0000FF"/>
                  <w:u w:val="single"/>
                  <w:lang w:val="vi-VN" w:eastAsia="en-GB"/>
                </w:rPr>
                <w:t>info@adk-lawyers.com</w:t>
              </w:r>
            </w:hyperlink>
          </w:p>
          <w:p w14:paraId="0A761F26" w14:textId="77777777" w:rsidR="00943F6D" w:rsidRPr="00345221" w:rsidRDefault="00943F6D" w:rsidP="00943F6D">
            <w:pPr>
              <w:widowControl w:val="0"/>
              <w:autoSpaceDE w:val="0"/>
              <w:autoSpaceDN w:val="0"/>
              <w:spacing w:line="259" w:lineRule="auto"/>
              <w:contextualSpacing/>
              <w:rPr>
                <w:rFonts w:ascii="Cambria" w:eastAsia="Times New Roman" w:hAnsi="Cambria" w:cs="Arial"/>
                <w:lang w:val="vi" w:eastAsia="en-GB"/>
              </w:rPr>
            </w:pPr>
            <w:r w:rsidRPr="00345221">
              <w:rPr>
                <w:rFonts w:ascii="Cambria" w:eastAsia="Times New Roman" w:hAnsi="Cambria" w:cs="Arial"/>
                <w:lang w:val="vi" w:eastAsia="en-GB"/>
              </w:rPr>
              <w:t>W</w:t>
            </w:r>
            <w:r w:rsidRPr="00345221">
              <w:rPr>
                <w:rFonts w:ascii="Cambria" w:eastAsia="Times New Roman" w:hAnsi="Cambria" w:cs="Arial"/>
                <w:lang w:val="vi"/>
              </w:rPr>
              <w:t xml:space="preserve">ebsite: </w:t>
            </w:r>
            <w:hyperlink r:id="rId9" w:history="1">
              <w:r w:rsidRPr="00345221">
                <w:rPr>
                  <w:rFonts w:ascii="Cambria" w:eastAsia="Times New Roman" w:hAnsi="Cambria" w:cs="Arial"/>
                  <w:color w:val="0000FF"/>
                  <w:u w:val="single"/>
                  <w:lang w:val="vi"/>
                </w:rPr>
                <w:t>www.adk-lawyers.com</w:t>
              </w:r>
            </w:hyperlink>
            <w:r w:rsidRPr="00345221">
              <w:rPr>
                <w:rFonts w:ascii="Cambria" w:eastAsia="Times New Roman" w:hAnsi="Cambria" w:cs="Arial"/>
                <w:lang w:val="vi"/>
              </w:rPr>
              <w:t xml:space="preserve">  </w:t>
            </w:r>
          </w:p>
          <w:p w14:paraId="7095A25C" w14:textId="77777777" w:rsidR="00943F6D" w:rsidRPr="00345221" w:rsidRDefault="00943F6D" w:rsidP="00943F6D">
            <w:pPr>
              <w:widowControl w:val="0"/>
              <w:autoSpaceDE w:val="0"/>
              <w:autoSpaceDN w:val="0"/>
              <w:spacing w:line="259" w:lineRule="auto"/>
              <w:ind w:hanging="721"/>
              <w:contextualSpacing/>
              <w:rPr>
                <w:rFonts w:ascii="Amasis MT Pro" w:eastAsia="Times New Roman" w:hAnsi="Amasis MT Pro" w:cs="Arial"/>
                <w:lang w:val="vi-VN" w:eastAsia="en-GB"/>
              </w:rPr>
            </w:pPr>
          </w:p>
        </w:tc>
      </w:tr>
    </w:tbl>
    <w:p w14:paraId="4CEC4839" w14:textId="47EEE45C" w:rsidR="00943F6D" w:rsidRDefault="00943F6D" w:rsidP="00943F6D">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r w:rsidRPr="00345221">
        <w:rPr>
          <w:rFonts w:ascii="OpenSansRegular" w:hAnsi="OpenSansRegular"/>
          <w:color w:val="000000"/>
          <w:sz w:val="22"/>
          <w:szCs w:val="22"/>
        </w:rPr>
        <w:t>Kind regards.</w:t>
      </w:r>
    </w:p>
    <w:p w14:paraId="32BB7C6F" w14:textId="5DA16E16" w:rsidR="00943F6D" w:rsidRDefault="00943F6D" w:rsidP="00943F6D">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p>
    <w:p w14:paraId="150931F0" w14:textId="1CCD85E7" w:rsidR="00943F6D" w:rsidRDefault="00943F6D" w:rsidP="00943F6D">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p>
    <w:p w14:paraId="1396ADDC" w14:textId="2C3B20A1" w:rsidR="00943F6D" w:rsidRDefault="00943F6D" w:rsidP="00943F6D">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p>
    <w:p w14:paraId="776EE871" w14:textId="74D83E98" w:rsidR="00943F6D" w:rsidRDefault="00943F6D" w:rsidP="00943F6D">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p>
    <w:p w14:paraId="26E63DB0" w14:textId="69D95523" w:rsidR="00943F6D" w:rsidRDefault="00943F6D" w:rsidP="00943F6D">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p>
    <w:p w14:paraId="51A41580" w14:textId="1ED9BE06" w:rsidR="00943F6D" w:rsidRDefault="00943F6D" w:rsidP="00943F6D">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p>
    <w:p w14:paraId="225B9C96" w14:textId="2F92E702" w:rsidR="00943F6D" w:rsidRDefault="00943F6D" w:rsidP="00943F6D">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p>
    <w:p w14:paraId="31B4FA44" w14:textId="06F1C192" w:rsidR="00943F6D" w:rsidRDefault="00943F6D" w:rsidP="00943F6D">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p>
    <w:p w14:paraId="039BC0BB" w14:textId="093D6C60" w:rsidR="00943F6D" w:rsidRDefault="00943F6D" w:rsidP="00943F6D">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p>
    <w:p w14:paraId="14735952" w14:textId="28366C57" w:rsidR="00943F6D" w:rsidRDefault="00943F6D" w:rsidP="00943F6D">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p>
    <w:p w14:paraId="4AE71F5F" w14:textId="77777777" w:rsidR="00943F6D" w:rsidRPr="00345221" w:rsidRDefault="00943F6D" w:rsidP="00943F6D">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p>
    <w:p w14:paraId="7AB9A820" w14:textId="77777777" w:rsidR="00943F6D" w:rsidRPr="00345221" w:rsidRDefault="00943F6D" w:rsidP="00943F6D">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p>
    <w:p w14:paraId="3F73D16E" w14:textId="77777777" w:rsidR="00943F6D" w:rsidRPr="00345221" w:rsidRDefault="00943F6D" w:rsidP="00943F6D">
      <w:pPr>
        <w:spacing w:after="0"/>
        <w:contextualSpacing/>
        <w:jc w:val="both"/>
        <w:rPr>
          <w:rFonts w:ascii="Cambria" w:hAnsi="Cambria"/>
        </w:rPr>
      </w:pPr>
    </w:p>
    <w:p w14:paraId="05D2B8B9" w14:textId="77777777" w:rsidR="00D35B10" w:rsidRDefault="008C20DF"/>
    <w:sectPr w:rsidR="00D35B10" w:rsidSect="00943F6D">
      <w:headerReference w:type="default" r:id="rId10"/>
      <w:footerReference w:type="default" r:id="rId11"/>
      <w:pgSz w:w="12240" w:h="15840"/>
      <w:pgMar w:top="0"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31061" w14:textId="77777777" w:rsidR="008C20DF" w:rsidRDefault="008C20DF">
      <w:pPr>
        <w:spacing w:after="0" w:line="240" w:lineRule="auto"/>
      </w:pPr>
      <w:r>
        <w:separator/>
      </w:r>
    </w:p>
  </w:endnote>
  <w:endnote w:type="continuationSeparator" w:id="0">
    <w:p w14:paraId="1607A183" w14:textId="77777777" w:rsidR="008C20DF" w:rsidRDefault="008C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ansRegular">
    <w:altName w:val="Cambria"/>
    <w:panose1 w:val="00000000000000000000"/>
    <w:charset w:val="00"/>
    <w:family w:val="roman"/>
    <w:notTrueType/>
    <w:pitch w:val="default"/>
  </w:font>
  <w:font w:name="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66225" w14:textId="77777777" w:rsidR="007F7342" w:rsidRPr="007C5DD7" w:rsidRDefault="00943F6D" w:rsidP="007C5DD7">
    <w:pPr>
      <w:pBdr>
        <w:top w:val="single" w:sz="4" w:space="0" w:color="808080"/>
        <w:left w:val="single" w:sz="4" w:space="4" w:color="808080"/>
        <w:bottom w:val="single" w:sz="4" w:space="0" w:color="808080"/>
        <w:right w:val="single" w:sz="4" w:space="1" w:color="808080"/>
      </w:pBdr>
      <w:tabs>
        <w:tab w:val="center" w:pos="4320"/>
        <w:tab w:val="left" w:pos="8730"/>
        <w:tab w:val="left" w:pos="13770"/>
      </w:tabs>
      <w:spacing w:after="0" w:line="264" w:lineRule="auto"/>
      <w:jc w:val="center"/>
      <w:rPr>
        <w:rFonts w:ascii="Cambria" w:hAnsi="Cambria"/>
        <w:b/>
        <w:sz w:val="18"/>
        <w:szCs w:val="18"/>
      </w:rPr>
    </w:pPr>
    <w:r w:rsidRPr="007C5DD7">
      <w:rPr>
        <w:rFonts w:ascii="Cambria" w:hAnsi="Cambria"/>
        <w:b/>
        <w:sz w:val="18"/>
        <w:szCs w:val="18"/>
        <w:lang w:val="en"/>
      </w:rPr>
      <w:t>ADK &amp; Co Vietnam Lawyers</w:t>
    </w:r>
  </w:p>
  <w:p w14:paraId="7BCFEF2B" w14:textId="77777777" w:rsidR="007F7342" w:rsidRPr="007C5DD7" w:rsidRDefault="008C20DF" w:rsidP="007C5DD7">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after="0" w:line="264" w:lineRule="auto"/>
      <w:jc w:val="center"/>
      <w:rPr>
        <w:rFonts w:ascii="Cambria" w:hAnsi="Cambria"/>
        <w:sz w:val="18"/>
        <w:szCs w:val="18"/>
      </w:rPr>
    </w:pPr>
    <w:hyperlink r:id="rId1" w:history="1">
      <w:r w:rsidR="00943F6D" w:rsidRPr="007C5DD7">
        <w:rPr>
          <w:rStyle w:val="Hyperlink"/>
          <w:rFonts w:ascii="Cambria" w:hAnsi="Cambria"/>
          <w:sz w:val="18"/>
          <w:szCs w:val="18"/>
          <w:lang w:val="en"/>
        </w:rPr>
        <w:t>www.adk-lawyers.com</w:t>
      </w:r>
    </w:hyperlink>
  </w:p>
  <w:p w14:paraId="73173AA1" w14:textId="77777777" w:rsidR="007F7342" w:rsidRDefault="008C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D5868" w14:textId="77777777" w:rsidR="008C20DF" w:rsidRDefault="008C20DF">
      <w:pPr>
        <w:spacing w:after="0" w:line="240" w:lineRule="auto"/>
      </w:pPr>
      <w:r>
        <w:separator/>
      </w:r>
    </w:p>
  </w:footnote>
  <w:footnote w:type="continuationSeparator" w:id="0">
    <w:p w14:paraId="64C0D661" w14:textId="77777777" w:rsidR="008C20DF" w:rsidRDefault="008C20DF">
      <w:pPr>
        <w:spacing w:after="0" w:line="240" w:lineRule="auto"/>
      </w:pPr>
      <w:r>
        <w:continuationSeparator/>
      </w:r>
    </w:p>
  </w:footnote>
  <w:footnote w:id="1">
    <w:p w14:paraId="17A9D71C" w14:textId="09F5B60D" w:rsidR="00193279" w:rsidRPr="00193279" w:rsidRDefault="00193279" w:rsidP="00193279">
      <w:pPr>
        <w:pStyle w:val="NormalWeb"/>
        <w:shd w:val="clear" w:color="auto" w:fill="FFFFFF"/>
        <w:spacing w:before="0" w:beforeAutospacing="0" w:after="0" w:afterAutospacing="0" w:line="252" w:lineRule="auto"/>
        <w:contextualSpacing/>
        <w:jc w:val="both"/>
        <w:rPr>
          <w:color w:val="201F1E"/>
          <w:sz w:val="20"/>
          <w:szCs w:val="20"/>
        </w:rPr>
      </w:pPr>
      <w:r>
        <w:rPr>
          <w:rStyle w:val="FootnoteReference"/>
        </w:rPr>
        <w:footnoteRef/>
      </w:r>
      <w:r>
        <w:t xml:space="preserve"> </w:t>
      </w:r>
      <w:hyperlink r:id="rId1" w:tgtFrame="_blank" w:history="1">
        <w:r w:rsidRPr="00193279">
          <w:rPr>
            <w:rStyle w:val="Hyperlink"/>
            <w:rFonts w:ascii="Cambria" w:hAnsi="Cambria"/>
            <w:sz w:val="20"/>
            <w:szCs w:val="20"/>
            <w:bdr w:val="none" w:sz="0" w:space="0" w:color="auto" w:frame="1"/>
          </w:rPr>
          <w:t>https://vnexpress.net/bo-cong-thuong-se-bo-gia-fit-co-dinh-cho-dien-mat-troi-ap-mai-4348601.html</w:t>
        </w:r>
      </w:hyperlink>
    </w:p>
    <w:p w14:paraId="5286FB8C" w14:textId="20969BB8" w:rsidR="00193279" w:rsidRPr="00193279" w:rsidRDefault="008C20DF" w:rsidP="00193279">
      <w:pPr>
        <w:pStyle w:val="NormalWeb"/>
        <w:shd w:val="clear" w:color="auto" w:fill="FFFFFF"/>
        <w:spacing w:before="0" w:beforeAutospacing="0" w:after="0" w:afterAutospacing="0" w:line="252" w:lineRule="auto"/>
        <w:contextualSpacing/>
        <w:jc w:val="both"/>
        <w:rPr>
          <w:color w:val="201F1E"/>
          <w:sz w:val="20"/>
          <w:szCs w:val="20"/>
        </w:rPr>
      </w:pPr>
      <w:hyperlink r:id="rId2" w:tgtFrame="_blank" w:history="1">
        <w:r w:rsidR="00193279" w:rsidRPr="00193279">
          <w:rPr>
            <w:rStyle w:val="Hyperlink"/>
            <w:rFonts w:ascii="Cambria" w:hAnsi="Cambria"/>
            <w:sz w:val="20"/>
            <w:szCs w:val="20"/>
            <w:bdr w:val="none" w:sz="0" w:space="0" w:color="auto" w:frame="1"/>
          </w:rPr>
          <w:t>https://laodong.vn/kinh-te/se-bo-co-che-gia-fit-uu-dai-trong-20-nam-voi-dien-mat-troi-ap-mai-947960.ldo</w:t>
        </w:r>
      </w:hyperlink>
    </w:p>
    <w:p w14:paraId="1F6D014E" w14:textId="77777777" w:rsidR="00193279" w:rsidRPr="00193279" w:rsidRDefault="008C20DF" w:rsidP="00193279">
      <w:pPr>
        <w:pStyle w:val="NormalWeb"/>
        <w:shd w:val="clear" w:color="auto" w:fill="FFFFFF"/>
        <w:spacing w:before="0" w:beforeAutospacing="0" w:after="0" w:afterAutospacing="0" w:line="252" w:lineRule="auto"/>
        <w:contextualSpacing/>
        <w:jc w:val="both"/>
        <w:rPr>
          <w:color w:val="201F1E"/>
          <w:sz w:val="20"/>
          <w:szCs w:val="20"/>
        </w:rPr>
      </w:pPr>
      <w:hyperlink r:id="rId3" w:tgtFrame="_blank" w:history="1">
        <w:r w:rsidR="00193279" w:rsidRPr="00193279">
          <w:rPr>
            <w:rStyle w:val="Hyperlink"/>
            <w:rFonts w:ascii="Cambria" w:hAnsi="Cambria"/>
            <w:sz w:val="20"/>
            <w:szCs w:val="20"/>
            <w:bdr w:val="none" w:sz="0" w:space="0" w:color="auto" w:frame="1"/>
          </w:rPr>
          <w:t>https://tuoitre.vn/co-che-dien-mat-troi-ap-mai-gia-thay-doi-hang-nam-bo-co-che-bu-tru-20210830165041173.htm</w:t>
        </w:r>
      </w:hyperlink>
    </w:p>
    <w:p w14:paraId="278DE8E3" w14:textId="33D7BFD7" w:rsidR="00193279" w:rsidRDefault="0019327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641E6" w14:textId="77777777" w:rsidR="007F7342" w:rsidRDefault="00943F6D">
    <w:pPr>
      <w:pStyle w:val="Header"/>
    </w:pPr>
    <w:r>
      <w:rPr>
        <w:noProof/>
      </w:rPr>
      <w:drawing>
        <wp:anchor distT="0" distB="0" distL="114300" distR="114300" simplePos="0" relativeHeight="251659264" behindDoc="1" locked="0" layoutInCell="1" allowOverlap="1" wp14:anchorId="43F0FC5B" wp14:editId="0F0E19E9">
          <wp:simplePos x="0" y="0"/>
          <wp:positionH relativeFrom="page">
            <wp:posOffset>0</wp:posOffset>
          </wp:positionH>
          <wp:positionV relativeFrom="paragraph">
            <wp:posOffset>-457200</wp:posOffset>
          </wp:positionV>
          <wp:extent cx="7766050" cy="1448435"/>
          <wp:effectExtent l="0" t="0" r="6350" b="0"/>
          <wp:wrapTopAndBottom/>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6050" cy="144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D0AD2"/>
    <w:multiLevelType w:val="hybridMultilevel"/>
    <w:tmpl w:val="138A1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15FE0"/>
    <w:multiLevelType w:val="hybridMultilevel"/>
    <w:tmpl w:val="995E3DAE"/>
    <w:lvl w:ilvl="0" w:tplc="038A03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AB4617"/>
    <w:multiLevelType w:val="hybridMultilevel"/>
    <w:tmpl w:val="9D344D2A"/>
    <w:lvl w:ilvl="0" w:tplc="820C855C">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4D335ECC"/>
    <w:multiLevelType w:val="hybridMultilevel"/>
    <w:tmpl w:val="7E341912"/>
    <w:lvl w:ilvl="0" w:tplc="093E04E8">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C1D6A"/>
    <w:multiLevelType w:val="hybridMultilevel"/>
    <w:tmpl w:val="56B4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C7DE7"/>
    <w:multiLevelType w:val="hybridMultilevel"/>
    <w:tmpl w:val="6BBC9FC0"/>
    <w:lvl w:ilvl="0" w:tplc="018838D4">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FCF5850"/>
    <w:multiLevelType w:val="hybridMultilevel"/>
    <w:tmpl w:val="AEB4C78E"/>
    <w:lvl w:ilvl="0" w:tplc="0FE2C6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NTYzNjYwNbC0NDRQ0lEKTi0uzszPAykwrAUAoz1U2CwAAAA="/>
  </w:docVars>
  <w:rsids>
    <w:rsidRoot w:val="00943F6D"/>
    <w:rsid w:val="00026567"/>
    <w:rsid w:val="00193279"/>
    <w:rsid w:val="001B1FE3"/>
    <w:rsid w:val="001D532F"/>
    <w:rsid w:val="006A14B3"/>
    <w:rsid w:val="0071273D"/>
    <w:rsid w:val="007C5DD7"/>
    <w:rsid w:val="008B78D3"/>
    <w:rsid w:val="008C20DF"/>
    <w:rsid w:val="00933F8D"/>
    <w:rsid w:val="00943F6D"/>
    <w:rsid w:val="009F2DD9"/>
    <w:rsid w:val="00B0357B"/>
    <w:rsid w:val="00BB7794"/>
    <w:rsid w:val="00CE6712"/>
    <w:rsid w:val="00D663FA"/>
    <w:rsid w:val="00F3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738C"/>
  <w15:chartTrackingRefBased/>
  <w15:docId w15:val="{BBC6BC04-8EA5-4778-96C8-848BE4FF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F6D"/>
    <w:pPr>
      <w:ind w:left="720"/>
      <w:contextualSpacing/>
    </w:pPr>
  </w:style>
  <w:style w:type="paragraph" w:styleId="Header">
    <w:name w:val="header"/>
    <w:basedOn w:val="Normal"/>
    <w:link w:val="HeaderChar"/>
    <w:uiPriority w:val="99"/>
    <w:unhideWhenUsed/>
    <w:rsid w:val="00943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F6D"/>
  </w:style>
  <w:style w:type="paragraph" w:styleId="Footer">
    <w:name w:val="footer"/>
    <w:basedOn w:val="Normal"/>
    <w:link w:val="FooterChar"/>
    <w:uiPriority w:val="99"/>
    <w:unhideWhenUsed/>
    <w:rsid w:val="00943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F6D"/>
  </w:style>
  <w:style w:type="character" w:styleId="Hyperlink">
    <w:name w:val="Hyperlink"/>
    <w:uiPriority w:val="99"/>
    <w:unhideWhenUsed/>
    <w:rsid w:val="00943F6D"/>
    <w:rPr>
      <w:color w:val="0000FF"/>
      <w:u w:val="single"/>
    </w:rPr>
  </w:style>
  <w:style w:type="paragraph" w:styleId="NormalWeb">
    <w:name w:val="Normal (Web)"/>
    <w:basedOn w:val="Normal"/>
    <w:uiPriority w:val="99"/>
    <w:unhideWhenUsed/>
    <w:rsid w:val="00943F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3F6D"/>
    <w:rPr>
      <w:b/>
      <w:bCs/>
    </w:rPr>
  </w:style>
  <w:style w:type="table" w:styleId="TableGrid">
    <w:name w:val="Table Grid"/>
    <w:basedOn w:val="TableNormal"/>
    <w:uiPriority w:val="59"/>
    <w:rsid w:val="00943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33F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3F8D"/>
    <w:rPr>
      <w:sz w:val="20"/>
      <w:szCs w:val="20"/>
    </w:rPr>
  </w:style>
  <w:style w:type="character" w:styleId="FootnoteReference">
    <w:name w:val="footnote reference"/>
    <w:basedOn w:val="DefaultParagraphFont"/>
    <w:uiPriority w:val="99"/>
    <w:semiHidden/>
    <w:unhideWhenUsed/>
    <w:rsid w:val="00933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2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k-lawy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k-lawye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uoitre.vn/co-che-dien-mat-troi-ap-mai-gia-thay-doi-hang-nam-bo-co-che-bu-tru-20210830165041173.htm" TargetMode="External"/><Relationship Id="rId2" Type="http://schemas.openxmlformats.org/officeDocument/2006/relationships/hyperlink" Target="https://laodong.vn/kinh-te/se-bo-co-che-gia-fit-uu-dai-trong-20-nam-voi-dien-mat-troi-ap-mai-947960.ldo" TargetMode="External"/><Relationship Id="rId1" Type="http://schemas.openxmlformats.org/officeDocument/2006/relationships/hyperlink" Target="https://vnexpress.net/bo-cong-thuong-se-bo-gia-fit-co-dinh-cho-dien-mat-troi-ap-mai-43486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F233-3145-4776-83E9-1CFA6E2E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Nhat Nghi</dc:creator>
  <cp:keywords/>
  <dc:description/>
  <cp:lastModifiedBy>Tran Nhat Nghi</cp:lastModifiedBy>
  <cp:revision>13</cp:revision>
  <dcterms:created xsi:type="dcterms:W3CDTF">2021-08-30T11:11:00Z</dcterms:created>
  <dcterms:modified xsi:type="dcterms:W3CDTF">2021-08-31T05:11:00Z</dcterms:modified>
</cp:coreProperties>
</file>