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17E75" w14:textId="40A82869" w:rsidR="00C8178B" w:rsidRPr="00831C0A" w:rsidRDefault="00831C0A" w:rsidP="00831C0A">
      <w:pPr>
        <w:pStyle w:val="ListParagraph"/>
        <w:spacing w:after="0" w:line="264" w:lineRule="auto"/>
        <w:ind w:hanging="720"/>
        <w:jc w:val="center"/>
        <w:rPr>
          <w:rFonts w:ascii="Cambria" w:hAnsi="Cambria"/>
          <w:b/>
          <w:bCs/>
        </w:rPr>
      </w:pPr>
      <w:r w:rsidRPr="00831C0A">
        <w:rPr>
          <w:rFonts w:ascii="Cambria" w:hAnsi="Cambria"/>
          <w:b/>
          <w:bCs/>
        </w:rPr>
        <w:t>FORMS AND</w:t>
      </w:r>
      <w:r w:rsidR="00207328" w:rsidRPr="00831C0A">
        <w:rPr>
          <w:rFonts w:ascii="Cambria" w:hAnsi="Cambria"/>
          <w:b/>
          <w:bCs/>
        </w:rPr>
        <w:t xml:space="preserve"> MODES OF BIDDING</w:t>
      </w:r>
      <w:r w:rsidRPr="00831C0A">
        <w:t xml:space="preserve"> </w:t>
      </w:r>
      <w:r w:rsidRPr="00831C0A">
        <w:rPr>
          <w:rFonts w:ascii="Cambria" w:hAnsi="Cambria"/>
          <w:b/>
          <w:bCs/>
        </w:rPr>
        <w:t>FOR GOODS OR SERVICES</w:t>
      </w:r>
    </w:p>
    <w:p w14:paraId="6E75EE58" w14:textId="3D4585F4" w:rsidR="00207328" w:rsidRPr="00831C0A" w:rsidRDefault="00207328" w:rsidP="00510EAB">
      <w:pPr>
        <w:pStyle w:val="ListParagraph"/>
        <w:spacing w:after="0" w:line="264" w:lineRule="auto"/>
        <w:ind w:hanging="720"/>
        <w:jc w:val="both"/>
        <w:rPr>
          <w:rFonts w:ascii="Cambria" w:hAnsi="Cambria"/>
        </w:rPr>
      </w:pPr>
    </w:p>
    <w:p w14:paraId="2F30AF58" w14:textId="6B2DF541" w:rsidR="00207328" w:rsidRPr="00831C0A" w:rsidRDefault="00207328" w:rsidP="00510EAB">
      <w:pPr>
        <w:pStyle w:val="ListParagraph"/>
        <w:spacing w:after="0" w:line="264" w:lineRule="auto"/>
        <w:ind w:left="0"/>
        <w:jc w:val="both"/>
        <w:rPr>
          <w:rFonts w:ascii="Cambria" w:hAnsi="Cambria"/>
        </w:rPr>
      </w:pPr>
      <w:r w:rsidRPr="00831C0A">
        <w:rPr>
          <w:rFonts w:ascii="Cambria" w:hAnsi="Cambria"/>
        </w:rPr>
        <w:t>Bidding for goods or services means a commercial activity whereby a party purchases goods or services through bidding (referred to as bid solicitor) in order to select, among traders participating in the bidding (referred to as bidders), a trader that satisfies the requirements set forth by the bid solicitor and is selected to enter into and perform a contract (referred to as bid winner).</w:t>
      </w:r>
    </w:p>
    <w:p w14:paraId="5D26A291" w14:textId="2E377A81" w:rsidR="00207328" w:rsidRPr="00831C0A" w:rsidRDefault="00207328" w:rsidP="00510EAB">
      <w:pPr>
        <w:pStyle w:val="ListParagraph"/>
        <w:spacing w:after="0" w:line="264" w:lineRule="auto"/>
        <w:ind w:left="0"/>
        <w:jc w:val="both"/>
        <w:rPr>
          <w:rFonts w:ascii="Cambria" w:hAnsi="Cambria"/>
        </w:rPr>
      </w:pPr>
    </w:p>
    <w:p w14:paraId="21637AEF" w14:textId="7E9C105C" w:rsidR="00207328" w:rsidRPr="00831C0A" w:rsidRDefault="00207328" w:rsidP="00510EAB">
      <w:pPr>
        <w:pStyle w:val="ListParagraph"/>
        <w:numPr>
          <w:ilvl w:val="0"/>
          <w:numId w:val="8"/>
        </w:numPr>
        <w:spacing w:after="0" w:line="264" w:lineRule="auto"/>
        <w:ind w:hanging="720"/>
        <w:jc w:val="both"/>
        <w:rPr>
          <w:rFonts w:ascii="Cambria" w:hAnsi="Cambria"/>
          <w:b/>
          <w:bCs/>
        </w:rPr>
      </w:pPr>
      <w:r w:rsidRPr="00831C0A">
        <w:rPr>
          <w:rFonts w:ascii="Cambria" w:hAnsi="Cambria"/>
          <w:b/>
          <w:bCs/>
        </w:rPr>
        <w:t>Forms of bidding</w:t>
      </w:r>
    </w:p>
    <w:p w14:paraId="442C9055" w14:textId="7CD136E8" w:rsidR="00207328" w:rsidRPr="00831C0A" w:rsidRDefault="00207328" w:rsidP="00510EAB">
      <w:pPr>
        <w:spacing w:after="0" w:line="264" w:lineRule="auto"/>
        <w:jc w:val="both"/>
        <w:rPr>
          <w:rFonts w:ascii="Cambria" w:hAnsi="Cambria"/>
          <w:b/>
          <w:bCs/>
        </w:rPr>
      </w:pPr>
    </w:p>
    <w:p w14:paraId="01344F28" w14:textId="1F12A786" w:rsidR="00207328" w:rsidRPr="00831C0A" w:rsidRDefault="00207328" w:rsidP="00510EAB">
      <w:pPr>
        <w:spacing w:after="0" w:line="264" w:lineRule="auto"/>
        <w:ind w:left="720"/>
        <w:jc w:val="both"/>
        <w:rPr>
          <w:rFonts w:ascii="Cambria" w:hAnsi="Cambria"/>
        </w:rPr>
      </w:pPr>
      <w:r w:rsidRPr="00831C0A">
        <w:rPr>
          <w:rFonts w:ascii="Cambria" w:hAnsi="Cambria"/>
        </w:rPr>
        <w:t>Pursuant to the provisions of Article 215 of the Commercial Law 2005, the form of bidding is prescribed as follows:</w:t>
      </w:r>
    </w:p>
    <w:p w14:paraId="29B18E48" w14:textId="1BAC2864" w:rsidR="00B93E34" w:rsidRPr="00831C0A" w:rsidRDefault="00B93E34" w:rsidP="00510EAB">
      <w:pPr>
        <w:spacing w:after="0" w:line="264" w:lineRule="auto"/>
        <w:jc w:val="both"/>
        <w:rPr>
          <w:rFonts w:ascii="Cambria" w:hAnsi="Cambria"/>
        </w:rPr>
      </w:pPr>
    </w:p>
    <w:p w14:paraId="25D15B8B" w14:textId="24954173" w:rsidR="00B93E34" w:rsidRPr="00831C0A" w:rsidRDefault="00B93E34" w:rsidP="00510EAB">
      <w:pPr>
        <w:pStyle w:val="ListParagraph"/>
        <w:numPr>
          <w:ilvl w:val="0"/>
          <w:numId w:val="9"/>
        </w:numPr>
        <w:spacing w:after="0" w:line="264" w:lineRule="auto"/>
        <w:ind w:left="1440"/>
        <w:jc w:val="both"/>
        <w:rPr>
          <w:rFonts w:ascii="Cambria" w:hAnsi="Cambria"/>
        </w:rPr>
      </w:pPr>
      <w:r w:rsidRPr="00831C0A">
        <w:rPr>
          <w:rFonts w:ascii="Cambria" w:hAnsi="Cambria"/>
        </w:rPr>
        <w:t>Bidding for goods or services shall be conducted in either of the following two forms:</w:t>
      </w:r>
    </w:p>
    <w:p w14:paraId="6BB1A967" w14:textId="77777777" w:rsidR="00B93E34" w:rsidRPr="00831C0A" w:rsidRDefault="00B93E34" w:rsidP="00510EAB">
      <w:pPr>
        <w:spacing w:after="0" w:line="264" w:lineRule="auto"/>
        <w:jc w:val="both"/>
        <w:rPr>
          <w:rFonts w:ascii="Cambria" w:hAnsi="Cambria"/>
        </w:rPr>
      </w:pPr>
    </w:p>
    <w:p w14:paraId="19BCC051" w14:textId="6E1B1EE8" w:rsidR="00B93E34" w:rsidRPr="00831C0A" w:rsidRDefault="00B93E34" w:rsidP="00510EAB">
      <w:pPr>
        <w:pStyle w:val="ListParagraph"/>
        <w:numPr>
          <w:ilvl w:val="0"/>
          <w:numId w:val="10"/>
        </w:numPr>
        <w:spacing w:after="0" w:line="264" w:lineRule="auto"/>
        <w:ind w:left="2160" w:hanging="720"/>
        <w:jc w:val="both"/>
        <w:rPr>
          <w:rFonts w:ascii="Cambria" w:hAnsi="Cambria"/>
        </w:rPr>
      </w:pPr>
      <w:r w:rsidRPr="00831C0A">
        <w:rPr>
          <w:rFonts w:ascii="Cambria" w:hAnsi="Cambria"/>
        </w:rPr>
        <w:t>Open bidding which is a form of bidding whereby the bid solicitor does not limit the number of bidders;</w:t>
      </w:r>
      <w:r w:rsidR="00D22313" w:rsidRPr="00831C0A">
        <w:rPr>
          <w:rFonts w:ascii="Cambria" w:hAnsi="Cambria"/>
        </w:rPr>
        <w:t xml:space="preserve"> </w:t>
      </w:r>
      <w:r w:rsidR="006A518E" w:rsidRPr="00831C0A">
        <w:rPr>
          <w:rFonts w:ascii="Cambria" w:hAnsi="Cambria"/>
        </w:rPr>
        <w:t>and</w:t>
      </w:r>
    </w:p>
    <w:p w14:paraId="792AAC7A" w14:textId="77777777" w:rsidR="00B93E34" w:rsidRPr="00831C0A" w:rsidRDefault="00B93E34" w:rsidP="00510EAB">
      <w:pPr>
        <w:spacing w:after="0" w:line="264" w:lineRule="auto"/>
        <w:jc w:val="both"/>
        <w:rPr>
          <w:rFonts w:ascii="Cambria" w:hAnsi="Cambria"/>
        </w:rPr>
      </w:pPr>
    </w:p>
    <w:p w14:paraId="7527C857" w14:textId="4CC36AF5" w:rsidR="00B93E34" w:rsidRPr="00831C0A" w:rsidRDefault="00B93E34" w:rsidP="00510EAB">
      <w:pPr>
        <w:pStyle w:val="ListParagraph"/>
        <w:numPr>
          <w:ilvl w:val="0"/>
          <w:numId w:val="10"/>
        </w:numPr>
        <w:spacing w:after="0" w:line="264" w:lineRule="auto"/>
        <w:ind w:left="2160" w:hanging="720"/>
        <w:jc w:val="both"/>
        <w:rPr>
          <w:rFonts w:ascii="Cambria" w:hAnsi="Cambria"/>
        </w:rPr>
      </w:pPr>
      <w:r w:rsidRPr="00831C0A">
        <w:rPr>
          <w:rFonts w:ascii="Cambria" w:hAnsi="Cambria"/>
        </w:rPr>
        <w:t>Restricted bidding which is a form of bidding whereby the bid solicitor invites only a limited number of bidders to participate in the bidding.</w:t>
      </w:r>
    </w:p>
    <w:p w14:paraId="123DB3E9" w14:textId="77777777" w:rsidR="00B93E34" w:rsidRPr="00831C0A" w:rsidRDefault="00B93E34" w:rsidP="00510EAB">
      <w:pPr>
        <w:spacing w:after="0" w:line="264" w:lineRule="auto"/>
        <w:jc w:val="both"/>
        <w:rPr>
          <w:rFonts w:ascii="Cambria" w:hAnsi="Cambria"/>
        </w:rPr>
      </w:pPr>
    </w:p>
    <w:p w14:paraId="36963BB3" w14:textId="7EEB14E6" w:rsidR="00B93E34" w:rsidRPr="00831C0A" w:rsidRDefault="00B93E34" w:rsidP="00510EAB">
      <w:pPr>
        <w:pStyle w:val="ListParagraph"/>
        <w:numPr>
          <w:ilvl w:val="0"/>
          <w:numId w:val="9"/>
        </w:numPr>
        <w:spacing w:after="0" w:line="264" w:lineRule="auto"/>
        <w:ind w:left="1440"/>
        <w:jc w:val="both"/>
        <w:rPr>
          <w:rFonts w:ascii="Cambria" w:hAnsi="Cambria"/>
        </w:rPr>
      </w:pPr>
      <w:r w:rsidRPr="00831C0A">
        <w:rPr>
          <w:rFonts w:ascii="Cambria" w:hAnsi="Cambria"/>
        </w:rPr>
        <w:t>The selection of the form of open bidding or restricted bidding shall be decided by bid solicitors.</w:t>
      </w:r>
    </w:p>
    <w:p w14:paraId="1B8DB970" w14:textId="1B3A1AD1" w:rsidR="00B93E34" w:rsidRPr="00831C0A" w:rsidRDefault="00B93E34" w:rsidP="00510EAB">
      <w:pPr>
        <w:spacing w:after="0" w:line="264" w:lineRule="auto"/>
        <w:jc w:val="both"/>
        <w:rPr>
          <w:rFonts w:ascii="Cambria" w:hAnsi="Cambria"/>
        </w:rPr>
      </w:pPr>
    </w:p>
    <w:p w14:paraId="1F2385B7" w14:textId="336B4EF6" w:rsidR="00B93E34" w:rsidRPr="00831C0A" w:rsidRDefault="00B93E34" w:rsidP="00510EAB">
      <w:pPr>
        <w:pStyle w:val="ListParagraph"/>
        <w:numPr>
          <w:ilvl w:val="0"/>
          <w:numId w:val="8"/>
        </w:numPr>
        <w:spacing w:after="0" w:line="264" w:lineRule="auto"/>
        <w:ind w:hanging="720"/>
        <w:jc w:val="both"/>
        <w:rPr>
          <w:rFonts w:ascii="Cambria" w:hAnsi="Cambria"/>
          <w:b/>
          <w:bCs/>
        </w:rPr>
      </w:pPr>
      <w:r w:rsidRPr="00831C0A">
        <w:rPr>
          <w:rFonts w:ascii="Cambria" w:hAnsi="Cambria"/>
          <w:b/>
          <w:bCs/>
        </w:rPr>
        <w:t>Modes of bidding</w:t>
      </w:r>
    </w:p>
    <w:p w14:paraId="36C0F142" w14:textId="1A2E2582" w:rsidR="00B93E34" w:rsidRPr="00831C0A" w:rsidRDefault="00B93E34" w:rsidP="00510EAB">
      <w:pPr>
        <w:spacing w:after="0" w:line="264" w:lineRule="auto"/>
        <w:jc w:val="both"/>
        <w:rPr>
          <w:rFonts w:ascii="Cambria" w:hAnsi="Cambria"/>
          <w:b/>
          <w:bCs/>
        </w:rPr>
      </w:pPr>
    </w:p>
    <w:p w14:paraId="7649F8CB" w14:textId="78D98B76" w:rsidR="00B93E34" w:rsidRPr="00831C0A" w:rsidRDefault="00B93E34" w:rsidP="00510EAB">
      <w:pPr>
        <w:spacing w:after="0" w:line="264" w:lineRule="auto"/>
        <w:ind w:left="720"/>
        <w:jc w:val="both"/>
        <w:rPr>
          <w:rFonts w:ascii="Cambria" w:hAnsi="Cambria"/>
        </w:rPr>
      </w:pPr>
      <w:r w:rsidRPr="00831C0A">
        <w:rPr>
          <w:rFonts w:ascii="Cambria" w:hAnsi="Cambria"/>
        </w:rPr>
        <w:t>Pursuant to the provisions of Article 216 of the Commercial Law 2005, the mode of bidding is prescribed as follows:</w:t>
      </w:r>
    </w:p>
    <w:p w14:paraId="7761997B" w14:textId="4CC82574" w:rsidR="00B93E34" w:rsidRPr="00831C0A" w:rsidRDefault="00B93E34" w:rsidP="00510EAB">
      <w:pPr>
        <w:spacing w:after="0" w:line="264" w:lineRule="auto"/>
        <w:jc w:val="both"/>
        <w:rPr>
          <w:rFonts w:ascii="Cambria" w:hAnsi="Cambria"/>
          <w:b/>
          <w:bCs/>
        </w:rPr>
      </w:pPr>
    </w:p>
    <w:p w14:paraId="369FF161" w14:textId="551BD4C2" w:rsidR="00B93E34" w:rsidRPr="00831C0A" w:rsidRDefault="00B93E34" w:rsidP="00510EAB">
      <w:pPr>
        <w:pStyle w:val="ListParagraph"/>
        <w:numPr>
          <w:ilvl w:val="0"/>
          <w:numId w:val="11"/>
        </w:numPr>
        <w:spacing w:after="0" w:line="264" w:lineRule="auto"/>
        <w:ind w:left="1440"/>
        <w:jc w:val="both"/>
        <w:rPr>
          <w:rFonts w:ascii="Cambria" w:hAnsi="Cambria"/>
        </w:rPr>
      </w:pPr>
      <w:r w:rsidRPr="00831C0A">
        <w:rPr>
          <w:rFonts w:ascii="Cambria" w:hAnsi="Cambria"/>
        </w:rPr>
        <w:t>Modes of bidding include bidding with one bid dossier bag and bidding with two dossier bags. Bid solicitors shall have the right to select the mode of bidding and must notify such in advance to bidders.</w:t>
      </w:r>
    </w:p>
    <w:p w14:paraId="30FBDCE6" w14:textId="77777777" w:rsidR="00B93E34" w:rsidRPr="00831C0A" w:rsidRDefault="00B93E34" w:rsidP="00510EAB">
      <w:pPr>
        <w:spacing w:after="0" w:line="264" w:lineRule="auto"/>
        <w:jc w:val="both"/>
        <w:rPr>
          <w:rFonts w:ascii="Cambria" w:hAnsi="Cambria"/>
        </w:rPr>
      </w:pPr>
    </w:p>
    <w:p w14:paraId="4956220B" w14:textId="0A835F2E" w:rsidR="00B93E34" w:rsidRPr="00831C0A" w:rsidRDefault="00B93E34" w:rsidP="00510EAB">
      <w:pPr>
        <w:pStyle w:val="ListParagraph"/>
        <w:numPr>
          <w:ilvl w:val="0"/>
          <w:numId w:val="11"/>
        </w:numPr>
        <w:spacing w:after="0" w:line="264" w:lineRule="auto"/>
        <w:ind w:left="1440"/>
        <w:jc w:val="both"/>
        <w:rPr>
          <w:rFonts w:ascii="Cambria" w:hAnsi="Cambria"/>
        </w:rPr>
      </w:pPr>
      <w:r w:rsidRPr="00831C0A">
        <w:rPr>
          <w:rFonts w:ascii="Cambria" w:hAnsi="Cambria"/>
        </w:rPr>
        <w:t>In case of bidding by mode of one dossier bag, a bidder shall submit its bid dossier consisting of technical and financial proposals in one dossier bag according to the requirements in the tendering dossier and the opening of bids shall be effected only once.</w:t>
      </w:r>
    </w:p>
    <w:p w14:paraId="0864EC92" w14:textId="77777777" w:rsidR="00B93E34" w:rsidRPr="00831C0A" w:rsidRDefault="00B93E34" w:rsidP="00510EAB">
      <w:pPr>
        <w:spacing w:after="0" w:line="264" w:lineRule="auto"/>
        <w:jc w:val="both"/>
        <w:rPr>
          <w:rFonts w:ascii="Cambria" w:hAnsi="Cambria"/>
        </w:rPr>
      </w:pPr>
    </w:p>
    <w:p w14:paraId="3551A916" w14:textId="6D427500" w:rsidR="00B93E34" w:rsidRPr="00831C0A" w:rsidRDefault="00B93E34" w:rsidP="00510EAB">
      <w:pPr>
        <w:pStyle w:val="ListParagraph"/>
        <w:numPr>
          <w:ilvl w:val="0"/>
          <w:numId w:val="11"/>
        </w:numPr>
        <w:spacing w:after="0" w:line="264" w:lineRule="auto"/>
        <w:ind w:left="1440"/>
        <w:jc w:val="both"/>
        <w:rPr>
          <w:rFonts w:ascii="Cambria" w:hAnsi="Cambria"/>
        </w:rPr>
      </w:pPr>
      <w:r w:rsidRPr="00831C0A">
        <w:rPr>
          <w:rFonts w:ascii="Cambria" w:hAnsi="Cambria"/>
        </w:rPr>
        <w:t>In case of bidding by mode of two dossier bags, a bidder shall submit its bid dossier consisting of technical and financial proposals in two separate dossier bags submitted simultaneously, and the opening of bids shall be effected twice. The dossier on technical proposals shall be opened first.</w:t>
      </w:r>
    </w:p>
    <w:p w14:paraId="7D8E0567" w14:textId="77777777" w:rsidR="00B93E34" w:rsidRPr="00831C0A" w:rsidRDefault="00B93E34" w:rsidP="00510EAB">
      <w:pPr>
        <w:pStyle w:val="ListParagraph"/>
        <w:spacing w:after="0" w:line="264" w:lineRule="auto"/>
        <w:rPr>
          <w:rFonts w:ascii="Cambria" w:hAnsi="Cambria"/>
          <w:b/>
          <w:bCs/>
          <w:i/>
          <w:iCs/>
        </w:rPr>
      </w:pPr>
    </w:p>
    <w:p w14:paraId="298F67CE" w14:textId="07148794" w:rsidR="00B93E34" w:rsidRPr="00831C0A" w:rsidRDefault="00B93E34" w:rsidP="00831C0A">
      <w:pPr>
        <w:spacing w:after="0" w:line="264" w:lineRule="auto"/>
        <w:jc w:val="right"/>
        <w:rPr>
          <w:rFonts w:ascii="Cambria" w:hAnsi="Cambria"/>
          <w:b/>
          <w:bCs/>
          <w:i/>
          <w:iCs/>
        </w:rPr>
      </w:pPr>
      <w:r w:rsidRPr="00831C0A">
        <w:rPr>
          <w:rFonts w:ascii="Cambria" w:hAnsi="Cambria"/>
          <w:b/>
          <w:bCs/>
          <w:i/>
          <w:iCs/>
        </w:rPr>
        <w:lastRenderedPageBreak/>
        <w:t>ADK &amp; Co Vietnam Lawyers Law Firm</w:t>
      </w:r>
    </w:p>
    <w:sectPr w:rsidR="00B93E34" w:rsidRPr="00831C0A" w:rsidSect="001B18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534B7" w14:textId="77777777" w:rsidR="00A14F74" w:rsidRDefault="00A14F74">
      <w:pPr>
        <w:spacing w:after="0" w:line="240" w:lineRule="auto"/>
      </w:pPr>
      <w:r>
        <w:separator/>
      </w:r>
    </w:p>
  </w:endnote>
  <w:endnote w:type="continuationSeparator" w:id="0">
    <w:p w14:paraId="69F22DA4" w14:textId="77777777" w:rsidR="00A14F74" w:rsidRDefault="00A1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78D0" w14:textId="77777777" w:rsidR="00FF5FD6" w:rsidRDefault="00A1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E591" w14:textId="77777777" w:rsidR="00233EA9" w:rsidRPr="00591F1C" w:rsidRDefault="00510EAB" w:rsidP="00FF5FD6">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4139A7FE" w14:textId="34E32C67" w:rsidR="00233EA9" w:rsidRPr="00591F1C" w:rsidRDefault="00A14F74" w:rsidP="00FF5FD6">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510EAB" w:rsidRPr="00591F1C">
        <w:rPr>
          <w:rStyle w:val="Hyperlink"/>
          <w:rFonts w:ascii="Palatino Linotype" w:hAnsi="Palatino Linotype"/>
          <w:sz w:val="18"/>
          <w:szCs w:val="18"/>
        </w:rPr>
        <w:t>www.adk</w:t>
      </w:r>
      <w:r w:rsidR="00510EAB" w:rsidRPr="005C3A0B">
        <w:rPr>
          <w:rStyle w:val="Hyperlink"/>
          <w:rFonts w:ascii="Palatino Linotype" w:hAnsi="Palatino Linotype"/>
          <w:sz w:val="18"/>
          <w:szCs w:val="18"/>
        </w:rPr>
        <w:t>-lawyers</w:t>
      </w:r>
      <w:r w:rsidR="00510EAB" w:rsidRPr="00591F1C">
        <w:rPr>
          <w:rStyle w:val="Hyperlink"/>
          <w:rFonts w:ascii="Palatino Linotype" w:hAnsi="Palatino Linotype"/>
          <w:sz w:val="18"/>
          <w:szCs w:val="18"/>
        </w:rPr>
        <w:t>.com</w:t>
      </w:r>
    </w:hyperlink>
    <w:r w:rsidR="00510EAB" w:rsidRPr="00591F1C">
      <w:rPr>
        <w:rFonts w:ascii="Palatino Linotype" w:hAnsi="Palatino Linotype"/>
        <w:b/>
        <w:sz w:val="18"/>
        <w:szCs w:val="18"/>
      </w:rPr>
      <w:tab/>
    </w:r>
    <w:r w:rsidR="00510EAB" w:rsidRPr="00591F1C">
      <w:rPr>
        <w:rFonts w:ascii="Palatino Linotype" w:hAnsi="Palatino Linotype"/>
        <w:sz w:val="18"/>
        <w:szCs w:val="18"/>
      </w:rPr>
      <w:fldChar w:fldCharType="begin"/>
    </w:r>
    <w:r w:rsidR="00510EAB" w:rsidRPr="00591F1C">
      <w:rPr>
        <w:rFonts w:ascii="Palatino Linotype" w:hAnsi="Palatino Linotype"/>
        <w:sz w:val="18"/>
        <w:szCs w:val="18"/>
      </w:rPr>
      <w:instrText xml:space="preserve"> PAGE   \* MERGEFORMAT </w:instrText>
    </w:r>
    <w:r w:rsidR="00510EAB" w:rsidRPr="00591F1C">
      <w:rPr>
        <w:rFonts w:ascii="Palatino Linotype" w:hAnsi="Palatino Linotype"/>
        <w:sz w:val="18"/>
        <w:szCs w:val="18"/>
      </w:rPr>
      <w:fldChar w:fldCharType="separate"/>
    </w:r>
    <w:r w:rsidR="00831C0A">
      <w:rPr>
        <w:rFonts w:ascii="Palatino Linotype" w:hAnsi="Palatino Linotype"/>
        <w:noProof/>
        <w:sz w:val="18"/>
        <w:szCs w:val="18"/>
      </w:rPr>
      <w:t>3</w:t>
    </w:r>
    <w:r w:rsidR="00510EAB" w:rsidRPr="00591F1C">
      <w:rPr>
        <w:rFonts w:ascii="Palatino Linotype" w:hAnsi="Palatino Linotype"/>
        <w:sz w:val="18"/>
        <w:szCs w:val="18"/>
      </w:rPr>
      <w:fldChar w:fldCharType="end"/>
    </w:r>
    <w:r w:rsidR="00510EAB" w:rsidRPr="00591F1C">
      <w:rPr>
        <w:rFonts w:ascii="Palatino Linotype" w:hAnsi="Palatino Linotype"/>
        <w:sz w:val="18"/>
        <w:szCs w:val="18"/>
      </w:rPr>
      <w:t>/</w:t>
    </w:r>
    <w:r w:rsidR="00510EAB" w:rsidRPr="00591F1C">
      <w:rPr>
        <w:rFonts w:ascii="Palatino Linotype" w:hAnsi="Palatino Linotype"/>
        <w:sz w:val="18"/>
        <w:szCs w:val="18"/>
      </w:rPr>
      <w:fldChar w:fldCharType="begin"/>
    </w:r>
    <w:r w:rsidR="00510EAB" w:rsidRPr="00591F1C">
      <w:rPr>
        <w:rFonts w:ascii="Palatino Linotype" w:hAnsi="Palatino Linotype"/>
        <w:sz w:val="18"/>
        <w:szCs w:val="18"/>
      </w:rPr>
      <w:instrText xml:space="preserve"> NUMPAGES  \* Arabic  \* MERGEFORMAT </w:instrText>
    </w:r>
    <w:r w:rsidR="00510EAB" w:rsidRPr="00591F1C">
      <w:rPr>
        <w:rFonts w:ascii="Palatino Linotype" w:hAnsi="Palatino Linotype"/>
        <w:sz w:val="18"/>
        <w:szCs w:val="18"/>
      </w:rPr>
      <w:fldChar w:fldCharType="separate"/>
    </w:r>
    <w:r w:rsidR="00831C0A">
      <w:rPr>
        <w:rFonts w:ascii="Palatino Linotype" w:hAnsi="Palatino Linotype"/>
        <w:noProof/>
        <w:sz w:val="18"/>
        <w:szCs w:val="18"/>
      </w:rPr>
      <w:t>4</w:t>
    </w:r>
    <w:r w:rsidR="00510EAB" w:rsidRPr="00591F1C">
      <w:rPr>
        <w:rFonts w:ascii="Palatino Linotype" w:hAnsi="Palatino Linotype"/>
        <w:sz w:val="18"/>
        <w:szCs w:val="18"/>
      </w:rPr>
      <w:fldChar w:fldCharType="end"/>
    </w:r>
  </w:p>
  <w:p w14:paraId="5BEE9D94" w14:textId="77777777" w:rsidR="00B375BC" w:rsidRDefault="00A14F74" w:rsidP="001B18D8">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F86D1" w14:textId="77777777" w:rsidR="00FF5FD6" w:rsidRDefault="00A1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1F5F7" w14:textId="77777777" w:rsidR="00A14F74" w:rsidRDefault="00A14F74">
      <w:pPr>
        <w:spacing w:after="0" w:line="240" w:lineRule="auto"/>
      </w:pPr>
      <w:r>
        <w:separator/>
      </w:r>
    </w:p>
  </w:footnote>
  <w:footnote w:type="continuationSeparator" w:id="0">
    <w:p w14:paraId="504479EE" w14:textId="77777777" w:rsidR="00A14F74" w:rsidRDefault="00A1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9A970" w14:textId="77777777" w:rsidR="00FF5FD6" w:rsidRDefault="00A14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C230" w14:textId="77777777" w:rsidR="00B375BC" w:rsidRDefault="00510EAB" w:rsidP="00B375BC">
    <w:pPr>
      <w:pStyle w:val="Header"/>
      <w:ind w:left="-1440"/>
    </w:pPr>
    <w:r>
      <w:rPr>
        <w:noProof/>
      </w:rPr>
      <w:drawing>
        <wp:inline distT="0" distB="0" distL="0" distR="0" wp14:anchorId="6E1999F0" wp14:editId="673375D6">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5C74A" w14:textId="77777777" w:rsidR="00FF5FD6" w:rsidRDefault="00A14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C524E"/>
    <w:multiLevelType w:val="hybridMultilevel"/>
    <w:tmpl w:val="5F548442"/>
    <w:lvl w:ilvl="0" w:tplc="9CB41E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26BF3"/>
    <w:multiLevelType w:val="hybridMultilevel"/>
    <w:tmpl w:val="1FAE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F1C37"/>
    <w:multiLevelType w:val="hybridMultilevel"/>
    <w:tmpl w:val="F8DC9F56"/>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E5DCD"/>
    <w:multiLevelType w:val="hybridMultilevel"/>
    <w:tmpl w:val="77C0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D3D62"/>
    <w:multiLevelType w:val="hybridMultilevel"/>
    <w:tmpl w:val="48FC4F94"/>
    <w:lvl w:ilvl="0" w:tplc="9F8E78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13575"/>
    <w:multiLevelType w:val="hybridMultilevel"/>
    <w:tmpl w:val="DE285614"/>
    <w:lvl w:ilvl="0" w:tplc="4044EC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B32BC7"/>
    <w:multiLevelType w:val="hybridMultilevel"/>
    <w:tmpl w:val="63B22694"/>
    <w:lvl w:ilvl="0" w:tplc="4044EC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B7777"/>
    <w:multiLevelType w:val="hybridMultilevel"/>
    <w:tmpl w:val="407EB222"/>
    <w:lvl w:ilvl="0" w:tplc="5DB8B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31A4C"/>
    <w:multiLevelType w:val="hybridMultilevel"/>
    <w:tmpl w:val="1E64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05E85"/>
    <w:multiLevelType w:val="hybridMultilevel"/>
    <w:tmpl w:val="D278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A1CF4"/>
    <w:multiLevelType w:val="hybridMultilevel"/>
    <w:tmpl w:val="CEE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10"/>
  </w:num>
  <w:num w:numId="6">
    <w:abstractNumId w:val="2"/>
  </w:num>
  <w:num w:numId="7">
    <w:abstractNumId w:val="6"/>
  </w:num>
  <w:num w:numId="8">
    <w:abstractNumId w:val="7"/>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DB"/>
    <w:rsid w:val="00002DC3"/>
    <w:rsid w:val="00207328"/>
    <w:rsid w:val="003322C0"/>
    <w:rsid w:val="00386410"/>
    <w:rsid w:val="00510EAB"/>
    <w:rsid w:val="006A518E"/>
    <w:rsid w:val="00831C0A"/>
    <w:rsid w:val="00877B83"/>
    <w:rsid w:val="00A052DB"/>
    <w:rsid w:val="00A14F74"/>
    <w:rsid w:val="00B178C4"/>
    <w:rsid w:val="00B93E34"/>
    <w:rsid w:val="00C8178B"/>
    <w:rsid w:val="00D13206"/>
    <w:rsid w:val="00D2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597D"/>
  <w15:chartTrackingRefBased/>
  <w15:docId w15:val="{834054B6-7206-456F-82D9-C26A624C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D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DB"/>
    <w:rPr>
      <w:rFonts w:ascii="Calibri" w:eastAsia="Calibri" w:hAnsi="Calibri" w:cs="Times New Roman"/>
    </w:rPr>
  </w:style>
  <w:style w:type="paragraph" w:styleId="Footer">
    <w:name w:val="footer"/>
    <w:basedOn w:val="Normal"/>
    <w:link w:val="FooterChar"/>
    <w:uiPriority w:val="99"/>
    <w:unhideWhenUsed/>
    <w:rsid w:val="00A0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DB"/>
    <w:rPr>
      <w:rFonts w:ascii="Calibri" w:eastAsia="Calibri" w:hAnsi="Calibri" w:cs="Times New Roman"/>
    </w:rPr>
  </w:style>
  <w:style w:type="character" w:styleId="Hyperlink">
    <w:name w:val="Hyperlink"/>
    <w:uiPriority w:val="99"/>
    <w:unhideWhenUsed/>
    <w:rsid w:val="00A052DB"/>
    <w:rPr>
      <w:color w:val="0000FF"/>
      <w:u w:val="single"/>
    </w:rPr>
  </w:style>
  <w:style w:type="paragraph" w:styleId="ListParagraph">
    <w:name w:val="List Paragraph"/>
    <w:basedOn w:val="Normal"/>
    <w:uiPriority w:val="34"/>
    <w:qFormat/>
    <w:rsid w:val="00B178C4"/>
    <w:pPr>
      <w:ind w:left="720"/>
      <w:contextualSpacing/>
    </w:pPr>
  </w:style>
  <w:style w:type="paragraph" w:styleId="NormalWeb">
    <w:name w:val="Normal (Web)"/>
    <w:basedOn w:val="Normal"/>
    <w:uiPriority w:val="99"/>
    <w:semiHidden/>
    <w:unhideWhenUsed/>
    <w:rsid w:val="00B178C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55315">
      <w:bodyDiv w:val="1"/>
      <w:marLeft w:val="0"/>
      <w:marRight w:val="0"/>
      <w:marTop w:val="0"/>
      <w:marBottom w:val="0"/>
      <w:divBdr>
        <w:top w:val="none" w:sz="0" w:space="0" w:color="auto"/>
        <w:left w:val="none" w:sz="0" w:space="0" w:color="auto"/>
        <w:bottom w:val="none" w:sz="0" w:space="0" w:color="auto"/>
        <w:right w:val="none" w:sz="0" w:space="0" w:color="auto"/>
      </w:divBdr>
    </w:div>
    <w:div w:id="192698151">
      <w:bodyDiv w:val="1"/>
      <w:marLeft w:val="0"/>
      <w:marRight w:val="0"/>
      <w:marTop w:val="0"/>
      <w:marBottom w:val="0"/>
      <w:divBdr>
        <w:top w:val="none" w:sz="0" w:space="0" w:color="auto"/>
        <w:left w:val="none" w:sz="0" w:space="0" w:color="auto"/>
        <w:bottom w:val="none" w:sz="0" w:space="0" w:color="auto"/>
        <w:right w:val="none" w:sz="0" w:space="0" w:color="auto"/>
      </w:divBdr>
    </w:div>
    <w:div w:id="227806978">
      <w:bodyDiv w:val="1"/>
      <w:marLeft w:val="0"/>
      <w:marRight w:val="0"/>
      <w:marTop w:val="0"/>
      <w:marBottom w:val="0"/>
      <w:divBdr>
        <w:top w:val="none" w:sz="0" w:space="0" w:color="auto"/>
        <w:left w:val="none" w:sz="0" w:space="0" w:color="auto"/>
        <w:bottom w:val="none" w:sz="0" w:space="0" w:color="auto"/>
        <w:right w:val="none" w:sz="0" w:space="0" w:color="auto"/>
      </w:divBdr>
    </w:div>
    <w:div w:id="352266968">
      <w:bodyDiv w:val="1"/>
      <w:marLeft w:val="0"/>
      <w:marRight w:val="0"/>
      <w:marTop w:val="0"/>
      <w:marBottom w:val="0"/>
      <w:divBdr>
        <w:top w:val="none" w:sz="0" w:space="0" w:color="auto"/>
        <w:left w:val="none" w:sz="0" w:space="0" w:color="auto"/>
        <w:bottom w:val="none" w:sz="0" w:space="0" w:color="auto"/>
        <w:right w:val="none" w:sz="0" w:space="0" w:color="auto"/>
      </w:divBdr>
    </w:div>
    <w:div w:id="1531531472">
      <w:bodyDiv w:val="1"/>
      <w:marLeft w:val="0"/>
      <w:marRight w:val="0"/>
      <w:marTop w:val="0"/>
      <w:marBottom w:val="0"/>
      <w:divBdr>
        <w:top w:val="none" w:sz="0" w:space="0" w:color="auto"/>
        <w:left w:val="none" w:sz="0" w:space="0" w:color="auto"/>
        <w:bottom w:val="none" w:sz="0" w:space="0" w:color="auto"/>
        <w:right w:val="none" w:sz="0" w:space="0" w:color="auto"/>
      </w:divBdr>
    </w:div>
    <w:div w:id="20950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Tran Nhat Nghi</cp:lastModifiedBy>
  <cp:revision>7</cp:revision>
  <dcterms:created xsi:type="dcterms:W3CDTF">2021-08-25T12:51:00Z</dcterms:created>
  <dcterms:modified xsi:type="dcterms:W3CDTF">2021-08-30T05:32:00Z</dcterms:modified>
</cp:coreProperties>
</file>