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5075F" w14:textId="77777777" w:rsidR="002B2D13" w:rsidRPr="00700A71" w:rsidRDefault="002B2D13" w:rsidP="00D92E1B">
      <w:pPr>
        <w:spacing w:after="0" w:line="252" w:lineRule="auto"/>
        <w:contextualSpacing/>
        <w:jc w:val="right"/>
        <w:rPr>
          <w:sz w:val="20"/>
          <w:szCs w:val="20"/>
        </w:rPr>
      </w:pPr>
      <w:r>
        <w:rPr>
          <w:rFonts w:ascii="Cambria" w:eastAsia="Cambria" w:hAnsi="Cambria" w:cs="Cambria"/>
          <w:b/>
          <w:bCs/>
        </w:rPr>
        <w:t>LEGAL UPDATES</w:t>
      </w:r>
    </w:p>
    <w:p w14:paraId="31B8A5D9" w14:textId="79FAB563" w:rsidR="002B2D13" w:rsidRPr="003005A8" w:rsidRDefault="003005A8" w:rsidP="00D92E1B">
      <w:pPr>
        <w:spacing w:after="0" w:line="252" w:lineRule="auto"/>
        <w:contextualSpacing/>
        <w:jc w:val="right"/>
        <w:rPr>
          <w:sz w:val="20"/>
          <w:szCs w:val="20"/>
        </w:rPr>
      </w:pPr>
      <w:r>
        <w:rPr>
          <w:rFonts w:ascii="Cambria" w:eastAsia="Cambria" w:hAnsi="Cambria" w:cs="Cambria"/>
          <w:bCs/>
        </w:rPr>
        <w:t>August</w:t>
      </w:r>
      <w:r w:rsidR="000644F5">
        <w:rPr>
          <w:rFonts w:ascii="Cambria" w:eastAsia="Cambria" w:hAnsi="Cambria" w:cs="Cambria"/>
          <w:bCs/>
        </w:rPr>
        <w:t xml:space="preserve">, </w:t>
      </w:r>
      <w:r w:rsidR="002B2D13" w:rsidRPr="003005A8">
        <w:rPr>
          <w:rFonts w:ascii="Cambria" w:eastAsia="Cambria" w:hAnsi="Cambria" w:cs="Cambria"/>
          <w:bCs/>
        </w:rPr>
        <w:t>2021</w:t>
      </w:r>
    </w:p>
    <w:p w14:paraId="13BF439C" w14:textId="0F95964E" w:rsidR="002B2D13" w:rsidRDefault="00D92E1B" w:rsidP="00D92E1B">
      <w:pPr>
        <w:spacing w:after="0" w:line="252" w:lineRule="auto"/>
        <w:contextualSpacing/>
        <w:rPr>
          <w:rFonts w:ascii="Cambria" w:eastAsia="Cambria" w:hAnsi="Cambria" w:cs="Cambria"/>
          <w:b/>
          <w:bCs/>
        </w:rPr>
      </w:pPr>
      <w:r>
        <w:rPr>
          <w:rFonts w:ascii="Cambria" w:eastAsia="Cambria" w:hAnsi="Cambria" w:cs="Cambria"/>
          <w:b/>
          <w:bCs/>
        </w:rPr>
        <w:t>Dear Valued Client</w:t>
      </w:r>
      <w:r w:rsidR="002B2D13" w:rsidRPr="00B30F6D">
        <w:rPr>
          <w:rFonts w:ascii="Cambria" w:eastAsia="Cambria" w:hAnsi="Cambria" w:cs="Cambria"/>
          <w:b/>
          <w:bCs/>
        </w:rPr>
        <w:t>s and Partners,</w:t>
      </w:r>
    </w:p>
    <w:p w14:paraId="1D60BA05" w14:textId="77777777" w:rsidR="00D92E1B" w:rsidRPr="00700A71" w:rsidRDefault="00D92E1B" w:rsidP="00D92E1B">
      <w:pPr>
        <w:spacing w:after="0" w:line="252" w:lineRule="auto"/>
        <w:contextualSpacing/>
        <w:rPr>
          <w:sz w:val="20"/>
          <w:szCs w:val="20"/>
        </w:rPr>
      </w:pPr>
    </w:p>
    <w:p w14:paraId="2B917FFB" w14:textId="6D91CFB0" w:rsidR="002B2D13" w:rsidRDefault="002B2D13" w:rsidP="00D92E1B">
      <w:pPr>
        <w:spacing w:after="0" w:line="252" w:lineRule="auto"/>
        <w:contextualSpacing/>
        <w:jc w:val="both"/>
        <w:rPr>
          <w:rFonts w:ascii="Cambria" w:eastAsia="Cambria" w:hAnsi="Cambria" w:cs="Cambria"/>
        </w:rPr>
      </w:pPr>
      <w:r w:rsidRPr="00700A71">
        <w:rPr>
          <w:rFonts w:ascii="Cambria" w:eastAsia="Cambria" w:hAnsi="Cambria" w:cs="Cambria"/>
          <w:b/>
          <w:bCs/>
        </w:rPr>
        <w:t xml:space="preserve">ADK Lawyers </w:t>
      </w:r>
      <w:r w:rsidRPr="00B30F6D">
        <w:rPr>
          <w:rFonts w:ascii="Cambria" w:eastAsia="Cambria" w:hAnsi="Cambria" w:cs="Cambria"/>
        </w:rPr>
        <w:t>would like to introduce to you the Legal Updates, Vol</w:t>
      </w:r>
      <w:bookmarkStart w:id="0" w:name="_GoBack"/>
      <w:bookmarkEnd w:id="0"/>
      <w:r w:rsidRPr="00B30F6D">
        <w:rPr>
          <w:rFonts w:ascii="Cambria" w:eastAsia="Cambria" w:hAnsi="Cambria" w:cs="Cambria"/>
        </w:rPr>
        <w:t xml:space="preserve"> </w:t>
      </w:r>
      <w:r w:rsidR="00F715E8">
        <w:rPr>
          <w:rFonts w:ascii="Cambria" w:eastAsia="Cambria" w:hAnsi="Cambria" w:cs="Cambria"/>
        </w:rPr>
        <w:t>13</w:t>
      </w:r>
      <w:r w:rsidRPr="00B30F6D">
        <w:rPr>
          <w:rFonts w:ascii="Cambria" w:eastAsia="Cambria" w:hAnsi="Cambria" w:cs="Cambria"/>
        </w:rPr>
        <w:t xml:space="preserve"> of </w:t>
      </w:r>
      <w:r>
        <w:rPr>
          <w:rFonts w:ascii="Cambria" w:eastAsia="Cambria" w:hAnsi="Cambria" w:cs="Cambria"/>
        </w:rPr>
        <w:t>August</w:t>
      </w:r>
      <w:r w:rsidR="003005A8">
        <w:rPr>
          <w:rFonts w:ascii="Cambria" w:eastAsia="Cambria" w:hAnsi="Cambria" w:cs="Cambria"/>
        </w:rPr>
        <w:t xml:space="preserve"> 2021 with new legal provisions, which have</w:t>
      </w:r>
      <w:r w:rsidRPr="00B30F6D">
        <w:rPr>
          <w:rFonts w:ascii="Cambria" w:eastAsia="Cambria" w:hAnsi="Cambria" w:cs="Cambria"/>
        </w:rPr>
        <w:t xml:space="preserve"> notable contents as follows:</w:t>
      </w:r>
    </w:p>
    <w:p w14:paraId="22CD085E" w14:textId="77777777" w:rsidR="00D92E1B" w:rsidRDefault="00D92E1B" w:rsidP="00D92E1B">
      <w:pPr>
        <w:spacing w:after="0" w:line="252" w:lineRule="auto"/>
        <w:contextualSpacing/>
        <w:jc w:val="both"/>
        <w:rPr>
          <w:rFonts w:ascii="Cambria" w:eastAsia="Cambria" w:hAnsi="Cambria" w:cs="Cambria"/>
        </w:rPr>
      </w:pPr>
    </w:p>
    <w:p w14:paraId="66A4A6F3" w14:textId="77777777" w:rsidR="00021C4F" w:rsidRPr="00C32B98" w:rsidRDefault="00021C4F" w:rsidP="00021C4F">
      <w:pPr>
        <w:numPr>
          <w:ilvl w:val="0"/>
          <w:numId w:val="13"/>
        </w:numPr>
        <w:tabs>
          <w:tab w:val="left" w:pos="720"/>
        </w:tabs>
        <w:spacing w:after="0" w:line="252" w:lineRule="auto"/>
        <w:ind w:hanging="720"/>
        <w:contextualSpacing/>
        <w:jc w:val="both"/>
        <w:rPr>
          <w:rFonts w:ascii="Cambria" w:eastAsia="Cambria" w:hAnsi="Cambria" w:cs="Cambria"/>
          <w:b/>
          <w:bCs/>
          <w:spacing w:val="-4"/>
        </w:rPr>
      </w:pPr>
      <w:r w:rsidRPr="00C32B98">
        <w:rPr>
          <w:rFonts w:ascii="Cambria" w:eastAsia="Cambria" w:hAnsi="Cambria" w:cs="Cambria"/>
          <w:b/>
          <w:bCs/>
          <w:spacing w:val="-4"/>
        </w:rPr>
        <w:t>Proposal to extend the application of the FIT pricing mechanism for wind power projects.</w:t>
      </w:r>
    </w:p>
    <w:p w14:paraId="55A5B1A9" w14:textId="77777777" w:rsidR="00021C4F" w:rsidRPr="002B2D13" w:rsidRDefault="00021C4F" w:rsidP="00021C4F">
      <w:pPr>
        <w:tabs>
          <w:tab w:val="left" w:pos="720"/>
        </w:tabs>
        <w:spacing w:after="0" w:line="252" w:lineRule="auto"/>
        <w:ind w:left="720"/>
        <w:contextualSpacing/>
        <w:rPr>
          <w:rFonts w:ascii="Cambria" w:eastAsia="Cambria" w:hAnsi="Cambria" w:cs="Cambria"/>
          <w:b/>
          <w:bCs/>
        </w:rPr>
      </w:pPr>
    </w:p>
    <w:p w14:paraId="509D8420" w14:textId="77777777" w:rsidR="00021C4F" w:rsidRDefault="00021C4F" w:rsidP="00021C4F">
      <w:pPr>
        <w:spacing w:after="0" w:line="252" w:lineRule="auto"/>
        <w:ind w:left="720"/>
        <w:contextualSpacing/>
        <w:jc w:val="both"/>
        <w:rPr>
          <w:rFonts w:ascii="Cambria" w:eastAsia="Cambria" w:hAnsi="Cambria" w:cs="Cambria"/>
        </w:rPr>
      </w:pPr>
      <w:r w:rsidRPr="00F715E8">
        <w:rPr>
          <w:rFonts w:ascii="Cambria" w:eastAsia="Cambria" w:hAnsi="Cambria" w:cs="Cambria"/>
        </w:rPr>
        <w:t xml:space="preserve">Many localities across the country have recently proposed to extend the application period for wind power support pricing (FIT) for projects in their localities due to the impact of the Covid-19 pandemic. The supply of wind turbines has been drastically reduced, affecting the </w:t>
      </w:r>
      <w:r w:rsidRPr="00DA2653">
        <w:rPr>
          <w:rFonts w:ascii="Cambria" w:eastAsia="Cambria" w:hAnsi="Cambria" w:cs="Cambria"/>
        </w:rPr>
        <w:t>operation progress of the project</w:t>
      </w:r>
      <w:r>
        <w:rPr>
          <w:rFonts w:ascii="Cambria" w:eastAsia="Cambria" w:hAnsi="Cambria" w:cs="Cambria"/>
        </w:rPr>
        <w:t>.</w:t>
      </w:r>
    </w:p>
    <w:p w14:paraId="45E29066" w14:textId="77777777" w:rsidR="00021C4F" w:rsidRDefault="00021C4F" w:rsidP="00021C4F">
      <w:pPr>
        <w:spacing w:after="0" w:line="252" w:lineRule="auto"/>
        <w:ind w:left="720"/>
        <w:contextualSpacing/>
        <w:jc w:val="both"/>
        <w:rPr>
          <w:rFonts w:ascii="Cambria" w:eastAsia="Cambria" w:hAnsi="Cambria" w:cs="Cambria"/>
        </w:rPr>
      </w:pPr>
    </w:p>
    <w:p w14:paraId="1FCA6B8E" w14:textId="77777777" w:rsidR="00021C4F" w:rsidRDefault="00021C4F" w:rsidP="00021C4F">
      <w:pPr>
        <w:spacing w:after="0" w:line="252" w:lineRule="auto"/>
        <w:ind w:left="720"/>
        <w:contextualSpacing/>
        <w:jc w:val="both"/>
        <w:rPr>
          <w:rFonts w:ascii="Cambria" w:eastAsia="Cambria" w:hAnsi="Cambria" w:cs="Cambria"/>
        </w:rPr>
      </w:pPr>
      <w:r>
        <w:rPr>
          <w:rFonts w:ascii="Cambria" w:eastAsia="Cambria" w:hAnsi="Cambria" w:cs="Cambria"/>
        </w:rPr>
        <w:t>Accordingly</w:t>
      </w:r>
      <w:r w:rsidRPr="00F715E8">
        <w:rPr>
          <w:rFonts w:ascii="Cambria" w:eastAsia="Cambria" w:hAnsi="Cambria" w:cs="Cambria"/>
        </w:rPr>
        <w:t xml:space="preserve">, </w:t>
      </w:r>
      <w:r>
        <w:rPr>
          <w:rFonts w:ascii="Cambria" w:eastAsia="Cambria" w:hAnsi="Cambria" w:cs="Cambria"/>
        </w:rPr>
        <w:t xml:space="preserve">the Provincial </w:t>
      </w:r>
      <w:r w:rsidRPr="00F715E8">
        <w:rPr>
          <w:rFonts w:ascii="Cambria" w:eastAsia="Cambria" w:hAnsi="Cambria" w:cs="Cambria"/>
        </w:rPr>
        <w:t xml:space="preserve">People's Committees of </w:t>
      </w:r>
      <w:proofErr w:type="spellStart"/>
      <w:r w:rsidRPr="00F715E8">
        <w:rPr>
          <w:rFonts w:ascii="Cambria" w:eastAsia="Cambria" w:hAnsi="Cambria" w:cs="Cambria"/>
        </w:rPr>
        <w:t>Tra</w:t>
      </w:r>
      <w:proofErr w:type="spellEnd"/>
      <w:r w:rsidRPr="00F715E8">
        <w:rPr>
          <w:rFonts w:ascii="Cambria" w:eastAsia="Cambria" w:hAnsi="Cambria" w:cs="Cambria"/>
        </w:rPr>
        <w:t xml:space="preserve"> </w:t>
      </w:r>
      <w:proofErr w:type="spellStart"/>
      <w:r w:rsidRPr="00F715E8">
        <w:rPr>
          <w:rFonts w:ascii="Cambria" w:eastAsia="Cambria" w:hAnsi="Cambria" w:cs="Cambria"/>
        </w:rPr>
        <w:t>Vinh</w:t>
      </w:r>
      <w:proofErr w:type="spellEnd"/>
      <w:r w:rsidRPr="00F715E8">
        <w:rPr>
          <w:rFonts w:ascii="Cambria" w:eastAsia="Cambria" w:hAnsi="Cambria" w:cs="Cambria"/>
        </w:rPr>
        <w:t xml:space="preserve">, </w:t>
      </w:r>
      <w:proofErr w:type="spellStart"/>
      <w:r w:rsidRPr="00F715E8">
        <w:rPr>
          <w:rFonts w:ascii="Cambria" w:eastAsia="Cambria" w:hAnsi="Cambria" w:cs="Cambria"/>
        </w:rPr>
        <w:t>Gia</w:t>
      </w:r>
      <w:proofErr w:type="spellEnd"/>
      <w:r w:rsidRPr="00F715E8">
        <w:rPr>
          <w:rFonts w:ascii="Cambria" w:eastAsia="Cambria" w:hAnsi="Cambria" w:cs="Cambria"/>
        </w:rPr>
        <w:t xml:space="preserve"> Lai and </w:t>
      </w:r>
      <w:proofErr w:type="spellStart"/>
      <w:r w:rsidRPr="00F715E8">
        <w:rPr>
          <w:rFonts w:ascii="Cambria" w:eastAsia="Cambria" w:hAnsi="Cambria" w:cs="Cambria"/>
        </w:rPr>
        <w:t>Soc</w:t>
      </w:r>
      <w:proofErr w:type="spellEnd"/>
      <w:r w:rsidRPr="00F715E8">
        <w:rPr>
          <w:rFonts w:ascii="Cambria" w:eastAsia="Cambria" w:hAnsi="Cambria" w:cs="Cambria"/>
        </w:rPr>
        <w:t xml:space="preserve"> </w:t>
      </w:r>
      <w:proofErr w:type="spellStart"/>
      <w:r w:rsidRPr="00F715E8">
        <w:rPr>
          <w:rFonts w:ascii="Cambria" w:eastAsia="Cambria" w:hAnsi="Cambria" w:cs="Cambria"/>
        </w:rPr>
        <w:t>Trang</w:t>
      </w:r>
      <w:proofErr w:type="spellEnd"/>
      <w:r w:rsidRPr="00F715E8">
        <w:rPr>
          <w:rFonts w:ascii="Cambria" w:eastAsia="Cambria" w:hAnsi="Cambria" w:cs="Cambria"/>
        </w:rPr>
        <w:t xml:space="preserve"> </w:t>
      </w:r>
      <w:r>
        <w:rPr>
          <w:rFonts w:ascii="Cambria" w:eastAsia="Cambria" w:hAnsi="Cambria" w:cs="Cambria"/>
        </w:rPr>
        <w:t xml:space="preserve">have </w:t>
      </w:r>
      <w:r w:rsidRPr="00F715E8">
        <w:rPr>
          <w:rFonts w:ascii="Cambria" w:eastAsia="Cambria" w:hAnsi="Cambria" w:cs="Cambria"/>
        </w:rPr>
        <w:t xml:space="preserve">sent recommendations to the Prime Minister and the Ministry of Industry and Trade to consider extending the time to apply FIT prices </w:t>
      </w:r>
      <w:r>
        <w:rPr>
          <w:rFonts w:ascii="Cambria" w:eastAsia="Cambria" w:hAnsi="Cambria" w:cs="Cambria"/>
        </w:rPr>
        <w:t xml:space="preserve">under </w:t>
      </w:r>
      <w:r w:rsidRPr="00F715E8">
        <w:rPr>
          <w:rFonts w:ascii="Cambria" w:eastAsia="Cambria" w:hAnsi="Cambria" w:cs="Cambria"/>
        </w:rPr>
        <w:t xml:space="preserve">Decision 39/2018 of the Prime Minister, because wind power projects in the area cannot be completed and operated commercially before November </w:t>
      </w:r>
      <w:r>
        <w:rPr>
          <w:rFonts w:ascii="Cambria" w:eastAsia="Cambria" w:hAnsi="Cambria" w:cs="Cambria"/>
        </w:rPr>
        <w:t>0</w:t>
      </w:r>
      <w:r w:rsidRPr="00F715E8">
        <w:rPr>
          <w:rFonts w:ascii="Cambria" w:eastAsia="Cambria" w:hAnsi="Cambria" w:cs="Cambria"/>
        </w:rPr>
        <w:t>1, 20</w:t>
      </w:r>
      <w:r>
        <w:rPr>
          <w:rFonts w:ascii="Cambria" w:eastAsia="Cambria" w:hAnsi="Cambria" w:cs="Cambria"/>
        </w:rPr>
        <w:t xml:space="preserve">21 to enjoy preferential prices </w:t>
      </w:r>
      <w:r w:rsidRPr="00F715E8">
        <w:rPr>
          <w:rFonts w:ascii="Cambria" w:eastAsia="Cambria" w:hAnsi="Cambria" w:cs="Cambria"/>
        </w:rPr>
        <w:t>9.8 US cents/kWh. In there:</w:t>
      </w:r>
    </w:p>
    <w:p w14:paraId="338CD98A" w14:textId="77777777" w:rsidR="00021C4F" w:rsidRPr="00F715E8" w:rsidRDefault="00021C4F" w:rsidP="00021C4F">
      <w:pPr>
        <w:spacing w:after="0" w:line="252" w:lineRule="auto"/>
        <w:ind w:left="720"/>
        <w:contextualSpacing/>
        <w:jc w:val="both"/>
        <w:rPr>
          <w:rFonts w:ascii="Cambria" w:eastAsia="Cambria" w:hAnsi="Cambria" w:cs="Cambria"/>
        </w:rPr>
      </w:pPr>
    </w:p>
    <w:p w14:paraId="3D824A64" w14:textId="77777777" w:rsidR="00021C4F" w:rsidRDefault="00021C4F" w:rsidP="00021C4F">
      <w:pPr>
        <w:pStyle w:val="ListParagraph"/>
        <w:numPr>
          <w:ilvl w:val="0"/>
          <w:numId w:val="17"/>
        </w:numPr>
        <w:spacing w:line="252" w:lineRule="auto"/>
        <w:contextualSpacing/>
        <w:jc w:val="both"/>
        <w:rPr>
          <w:rFonts w:ascii="Cambria" w:eastAsia="Cambria" w:hAnsi="Cambria" w:cs="Cambria"/>
        </w:rPr>
      </w:pPr>
      <w:r w:rsidRPr="00F715E8">
        <w:rPr>
          <w:rFonts w:ascii="Cambria" w:eastAsia="Cambria" w:hAnsi="Cambria" w:cs="Cambria"/>
        </w:rPr>
        <w:t xml:space="preserve">Provincial People's Committee </w:t>
      </w:r>
      <w:r>
        <w:rPr>
          <w:rFonts w:ascii="Cambria" w:eastAsia="Cambria" w:hAnsi="Cambria" w:cs="Cambria"/>
        </w:rPr>
        <w:t xml:space="preserve">of </w:t>
      </w:r>
      <w:proofErr w:type="spellStart"/>
      <w:r>
        <w:rPr>
          <w:rFonts w:ascii="Cambria" w:eastAsia="Cambria" w:hAnsi="Cambria" w:cs="Cambria"/>
        </w:rPr>
        <w:t>Tra</w:t>
      </w:r>
      <w:proofErr w:type="spellEnd"/>
      <w:r>
        <w:rPr>
          <w:rFonts w:ascii="Cambria" w:eastAsia="Cambria" w:hAnsi="Cambria" w:cs="Cambria"/>
        </w:rPr>
        <w:t xml:space="preserve"> </w:t>
      </w:r>
      <w:proofErr w:type="spellStart"/>
      <w:r>
        <w:rPr>
          <w:rFonts w:ascii="Cambria" w:eastAsia="Cambria" w:hAnsi="Cambria" w:cs="Cambria"/>
        </w:rPr>
        <w:t>Vinh</w:t>
      </w:r>
      <w:proofErr w:type="spellEnd"/>
      <w:r>
        <w:rPr>
          <w:rFonts w:ascii="Cambria" w:eastAsia="Cambria" w:hAnsi="Cambria" w:cs="Cambria"/>
        </w:rPr>
        <w:t xml:space="preserve"> </w:t>
      </w:r>
      <w:r w:rsidRPr="00F715E8">
        <w:rPr>
          <w:rFonts w:ascii="Cambria" w:eastAsia="Cambria" w:hAnsi="Cambria" w:cs="Cambria"/>
        </w:rPr>
        <w:t>proposes to extend the application period of the FIT pricing mechanism for wind power projects in the area until at least the end of April 2022;</w:t>
      </w:r>
    </w:p>
    <w:p w14:paraId="4A6CAE34" w14:textId="77777777" w:rsidR="00021C4F" w:rsidRDefault="00021C4F" w:rsidP="00021C4F">
      <w:pPr>
        <w:pStyle w:val="ListParagraph"/>
        <w:spacing w:line="252" w:lineRule="auto"/>
        <w:ind w:left="1440"/>
        <w:contextualSpacing/>
        <w:jc w:val="both"/>
        <w:rPr>
          <w:rFonts w:ascii="Cambria" w:eastAsia="Cambria" w:hAnsi="Cambria" w:cs="Cambria"/>
        </w:rPr>
      </w:pPr>
    </w:p>
    <w:p w14:paraId="4663CC7E" w14:textId="77777777" w:rsidR="00021C4F" w:rsidRDefault="00021C4F" w:rsidP="00021C4F">
      <w:pPr>
        <w:pStyle w:val="ListParagraph"/>
        <w:numPr>
          <w:ilvl w:val="0"/>
          <w:numId w:val="17"/>
        </w:numPr>
        <w:spacing w:line="252" w:lineRule="auto"/>
        <w:contextualSpacing/>
        <w:jc w:val="both"/>
        <w:rPr>
          <w:rFonts w:ascii="Cambria" w:eastAsia="Cambria" w:hAnsi="Cambria" w:cs="Cambria"/>
        </w:rPr>
      </w:pPr>
      <w:r w:rsidRPr="00F715E8">
        <w:rPr>
          <w:rFonts w:ascii="Cambria" w:eastAsia="Cambria" w:hAnsi="Cambria" w:cs="Cambria"/>
        </w:rPr>
        <w:t xml:space="preserve">Provincial People's Committee </w:t>
      </w:r>
      <w:r>
        <w:rPr>
          <w:rFonts w:ascii="Cambria" w:eastAsia="Cambria" w:hAnsi="Cambria" w:cs="Cambria"/>
        </w:rPr>
        <w:t xml:space="preserve">of </w:t>
      </w:r>
      <w:proofErr w:type="spellStart"/>
      <w:r>
        <w:rPr>
          <w:rFonts w:ascii="Cambria" w:eastAsia="Cambria" w:hAnsi="Cambria" w:cs="Cambria"/>
        </w:rPr>
        <w:t>Soc</w:t>
      </w:r>
      <w:proofErr w:type="spellEnd"/>
      <w:r>
        <w:rPr>
          <w:rFonts w:ascii="Cambria" w:eastAsia="Cambria" w:hAnsi="Cambria" w:cs="Cambria"/>
        </w:rPr>
        <w:t xml:space="preserve"> </w:t>
      </w:r>
      <w:proofErr w:type="spellStart"/>
      <w:r>
        <w:rPr>
          <w:rFonts w:ascii="Cambria" w:eastAsia="Cambria" w:hAnsi="Cambria" w:cs="Cambria"/>
        </w:rPr>
        <w:t>Trang</w:t>
      </w:r>
      <w:proofErr w:type="spellEnd"/>
      <w:r>
        <w:rPr>
          <w:rFonts w:ascii="Cambria" w:eastAsia="Cambria" w:hAnsi="Cambria" w:cs="Cambria"/>
        </w:rPr>
        <w:t xml:space="preserve"> </w:t>
      </w:r>
      <w:r w:rsidRPr="00F715E8">
        <w:rPr>
          <w:rFonts w:ascii="Cambria" w:eastAsia="Cambria" w:hAnsi="Cambria" w:cs="Cambria"/>
        </w:rPr>
        <w:t>proposes to extend the implementation time of the FIT mechanism until the end of March 31, 2022;</w:t>
      </w:r>
    </w:p>
    <w:p w14:paraId="7DA8E22D" w14:textId="77777777" w:rsidR="00021C4F" w:rsidRDefault="00021C4F" w:rsidP="00021C4F">
      <w:pPr>
        <w:pStyle w:val="ListParagraph"/>
        <w:spacing w:line="252" w:lineRule="auto"/>
        <w:ind w:left="1440"/>
        <w:contextualSpacing/>
        <w:jc w:val="both"/>
        <w:rPr>
          <w:rFonts w:ascii="Cambria" w:eastAsia="Cambria" w:hAnsi="Cambria" w:cs="Cambria"/>
        </w:rPr>
      </w:pPr>
    </w:p>
    <w:p w14:paraId="52F9C179" w14:textId="77777777" w:rsidR="00021C4F" w:rsidRPr="00F715E8" w:rsidRDefault="00021C4F" w:rsidP="00021C4F">
      <w:pPr>
        <w:pStyle w:val="ListParagraph"/>
        <w:numPr>
          <w:ilvl w:val="0"/>
          <w:numId w:val="17"/>
        </w:numPr>
        <w:spacing w:line="252" w:lineRule="auto"/>
        <w:contextualSpacing/>
        <w:jc w:val="both"/>
        <w:rPr>
          <w:rFonts w:ascii="Cambria" w:eastAsia="Cambria" w:hAnsi="Cambria" w:cs="Cambria"/>
        </w:rPr>
      </w:pPr>
      <w:r w:rsidRPr="00F715E8">
        <w:rPr>
          <w:rFonts w:ascii="Cambria" w:eastAsia="Cambria" w:hAnsi="Cambria" w:cs="Cambria"/>
        </w:rPr>
        <w:t xml:space="preserve">Provincial People's Committee </w:t>
      </w:r>
      <w:r>
        <w:rPr>
          <w:rFonts w:ascii="Cambria" w:eastAsia="Cambria" w:hAnsi="Cambria" w:cs="Cambria"/>
        </w:rPr>
        <w:t xml:space="preserve">of </w:t>
      </w:r>
      <w:proofErr w:type="spellStart"/>
      <w:r>
        <w:rPr>
          <w:rFonts w:ascii="Cambria" w:eastAsia="Cambria" w:hAnsi="Cambria" w:cs="Cambria"/>
        </w:rPr>
        <w:t>Gia</w:t>
      </w:r>
      <w:proofErr w:type="spellEnd"/>
      <w:r>
        <w:rPr>
          <w:rFonts w:ascii="Cambria" w:eastAsia="Cambria" w:hAnsi="Cambria" w:cs="Cambria"/>
        </w:rPr>
        <w:t xml:space="preserve"> Lai </w:t>
      </w:r>
      <w:r w:rsidRPr="00F715E8">
        <w:rPr>
          <w:rFonts w:ascii="Cambria" w:eastAsia="Cambria" w:hAnsi="Cambria" w:cs="Cambria"/>
        </w:rPr>
        <w:t>proposes to extend the implementation time of the FIT mechanism to the end of December 31, 2021.</w:t>
      </w:r>
    </w:p>
    <w:p w14:paraId="11CA7E2A" w14:textId="77777777" w:rsidR="00021C4F" w:rsidRDefault="00021C4F" w:rsidP="00021C4F">
      <w:pPr>
        <w:pStyle w:val="ListParagraph"/>
        <w:tabs>
          <w:tab w:val="left" w:pos="0"/>
          <w:tab w:val="left" w:pos="720"/>
        </w:tabs>
        <w:spacing w:line="252" w:lineRule="auto"/>
        <w:contextualSpacing/>
        <w:jc w:val="both"/>
        <w:rPr>
          <w:rFonts w:ascii="Cambria" w:eastAsia="Cambria" w:hAnsi="Cambria" w:cs="Cambria"/>
          <w:b/>
          <w:bCs/>
        </w:rPr>
      </w:pPr>
    </w:p>
    <w:p w14:paraId="139E2519" w14:textId="2400BD54" w:rsidR="002B2D13" w:rsidRPr="00021C4F" w:rsidRDefault="00351256" w:rsidP="00021C4F">
      <w:pPr>
        <w:pStyle w:val="ListParagraph"/>
        <w:numPr>
          <w:ilvl w:val="0"/>
          <w:numId w:val="13"/>
        </w:numPr>
        <w:tabs>
          <w:tab w:val="left" w:pos="0"/>
          <w:tab w:val="left" w:pos="720"/>
        </w:tabs>
        <w:spacing w:line="252" w:lineRule="auto"/>
        <w:ind w:hanging="720"/>
        <w:contextualSpacing/>
        <w:jc w:val="both"/>
        <w:rPr>
          <w:rFonts w:ascii="Cambria" w:eastAsia="Cambria" w:hAnsi="Cambria" w:cs="Cambria"/>
          <w:b/>
          <w:bCs/>
        </w:rPr>
      </w:pPr>
      <w:r w:rsidRPr="00021C4F">
        <w:rPr>
          <w:rFonts w:ascii="Cambria" w:eastAsia="Cambria" w:hAnsi="Cambria" w:cs="Cambria"/>
          <w:b/>
          <w:bCs/>
        </w:rPr>
        <w:t>Principles and</w:t>
      </w:r>
      <w:r w:rsidR="009337F1" w:rsidRPr="00021C4F">
        <w:rPr>
          <w:rFonts w:ascii="Cambria" w:eastAsia="Cambria" w:hAnsi="Cambria" w:cs="Cambria"/>
          <w:b/>
          <w:bCs/>
        </w:rPr>
        <w:t xml:space="preserve"> conditions for granting Certificates of credit information service provision</w:t>
      </w:r>
    </w:p>
    <w:p w14:paraId="4B6C0A5E" w14:textId="77777777" w:rsidR="00CA6D4C" w:rsidRPr="00CA6D4C" w:rsidRDefault="00CA6D4C" w:rsidP="00CA6D4C">
      <w:pPr>
        <w:pStyle w:val="ListParagraph"/>
        <w:tabs>
          <w:tab w:val="left" w:pos="0"/>
          <w:tab w:val="left" w:pos="720"/>
        </w:tabs>
        <w:spacing w:line="252" w:lineRule="auto"/>
        <w:contextualSpacing/>
        <w:jc w:val="both"/>
        <w:rPr>
          <w:rFonts w:ascii="Cambria" w:eastAsia="Cambria" w:hAnsi="Cambria" w:cs="Cambria"/>
          <w:b/>
          <w:bCs/>
        </w:rPr>
      </w:pPr>
    </w:p>
    <w:p w14:paraId="074ABB82" w14:textId="22BF02FC" w:rsidR="00351256" w:rsidRDefault="001C0A37" w:rsidP="00D92E1B">
      <w:pPr>
        <w:spacing w:after="0" w:line="252" w:lineRule="auto"/>
        <w:ind w:left="720"/>
        <w:contextualSpacing/>
        <w:jc w:val="both"/>
        <w:rPr>
          <w:rFonts w:ascii="Cambria" w:eastAsia="Cambria" w:hAnsi="Cambria" w:cs="Cambria"/>
        </w:rPr>
      </w:pPr>
      <w:r>
        <w:rPr>
          <w:rFonts w:ascii="Cambria" w:eastAsia="Cambria" w:hAnsi="Cambria" w:cs="Cambria"/>
        </w:rPr>
        <w:t>On June 10</w:t>
      </w:r>
      <w:r w:rsidR="009337F1" w:rsidRPr="009337F1">
        <w:rPr>
          <w:rFonts w:ascii="Cambria" w:eastAsia="Cambria" w:hAnsi="Cambria" w:cs="Cambria"/>
        </w:rPr>
        <w:t>, 2021, the Government issued Decree 58/2021/ND-CP regulating the provision of credit information services</w:t>
      </w:r>
      <w:r w:rsidR="009B3819">
        <w:rPr>
          <w:rFonts w:ascii="Cambria" w:eastAsia="Cambria" w:hAnsi="Cambria" w:cs="Cambria"/>
        </w:rPr>
        <w:t>, taking effect from August 15</w:t>
      </w:r>
      <w:r w:rsidR="00351256">
        <w:rPr>
          <w:rFonts w:ascii="Cambria" w:eastAsia="Cambria" w:hAnsi="Cambria" w:cs="Cambria"/>
        </w:rPr>
        <w:t>, 2021</w:t>
      </w:r>
      <w:r w:rsidR="009337F1" w:rsidRPr="009337F1">
        <w:rPr>
          <w:rFonts w:ascii="Cambria" w:eastAsia="Cambria" w:hAnsi="Cambria" w:cs="Cambria"/>
        </w:rPr>
        <w:t xml:space="preserve">. </w:t>
      </w:r>
    </w:p>
    <w:p w14:paraId="649FC022" w14:textId="77777777" w:rsidR="009B3819" w:rsidRDefault="009B3819" w:rsidP="00D92E1B">
      <w:pPr>
        <w:spacing w:after="0" w:line="252" w:lineRule="auto"/>
        <w:ind w:left="720"/>
        <w:contextualSpacing/>
        <w:jc w:val="both"/>
        <w:rPr>
          <w:rFonts w:ascii="Cambria" w:eastAsia="Cambria" w:hAnsi="Cambria" w:cs="Cambria"/>
        </w:rPr>
      </w:pPr>
    </w:p>
    <w:p w14:paraId="2967913F" w14:textId="4765B8F7" w:rsidR="00351256" w:rsidRDefault="00351256" w:rsidP="00D92E1B">
      <w:pPr>
        <w:spacing w:after="0" w:line="252" w:lineRule="auto"/>
        <w:ind w:left="720"/>
        <w:contextualSpacing/>
        <w:jc w:val="both"/>
        <w:rPr>
          <w:rFonts w:ascii="Cambria" w:eastAsia="Cambria" w:hAnsi="Cambria" w:cs="Cambria"/>
        </w:rPr>
      </w:pPr>
      <w:r w:rsidRPr="00351256">
        <w:rPr>
          <w:rFonts w:ascii="Cambria" w:eastAsia="Cambria" w:hAnsi="Cambria" w:cs="Cambria"/>
        </w:rPr>
        <w:t>According to the provisions of this Decree, a number of principles and conditions for granting a certificate of credit information service provision are as follows:</w:t>
      </w:r>
    </w:p>
    <w:p w14:paraId="5F9AB3FD" w14:textId="77777777" w:rsidR="009B3819" w:rsidRDefault="009B3819" w:rsidP="00D92E1B">
      <w:pPr>
        <w:spacing w:after="0" w:line="252" w:lineRule="auto"/>
        <w:ind w:left="720"/>
        <w:contextualSpacing/>
        <w:jc w:val="both"/>
        <w:rPr>
          <w:rFonts w:ascii="Cambria" w:eastAsia="Cambria" w:hAnsi="Cambria" w:cs="Cambria"/>
        </w:rPr>
      </w:pPr>
    </w:p>
    <w:p w14:paraId="127DBD97" w14:textId="77777777" w:rsidR="00351256" w:rsidRDefault="00351256" w:rsidP="00D92E1B">
      <w:pPr>
        <w:pStyle w:val="ListParagraph"/>
        <w:numPr>
          <w:ilvl w:val="0"/>
          <w:numId w:val="14"/>
        </w:numPr>
        <w:spacing w:line="252" w:lineRule="auto"/>
        <w:contextualSpacing/>
        <w:jc w:val="both"/>
        <w:rPr>
          <w:rFonts w:ascii="Cambria" w:eastAsia="Cambria" w:hAnsi="Cambria" w:cs="Cambria"/>
        </w:rPr>
      </w:pPr>
      <w:r w:rsidRPr="00351256">
        <w:rPr>
          <w:rFonts w:ascii="Cambria" w:eastAsia="Cambria" w:hAnsi="Cambria" w:cs="Cambria"/>
        </w:rPr>
        <w:t>Operational principles of credit information service provision:</w:t>
      </w:r>
    </w:p>
    <w:p w14:paraId="678E3B1A" w14:textId="77777777" w:rsidR="00515DEF" w:rsidRDefault="00515DEF" w:rsidP="00515DEF">
      <w:pPr>
        <w:pStyle w:val="ListParagraph"/>
        <w:spacing w:line="252" w:lineRule="auto"/>
        <w:ind w:left="1440"/>
        <w:contextualSpacing/>
        <w:jc w:val="both"/>
        <w:rPr>
          <w:rFonts w:ascii="Cambria" w:eastAsia="Cambria" w:hAnsi="Cambria" w:cs="Cambria"/>
        </w:rPr>
      </w:pPr>
    </w:p>
    <w:p w14:paraId="0067B464" w14:textId="77777777" w:rsidR="00515DEF" w:rsidRDefault="00351256" w:rsidP="00515DEF">
      <w:pPr>
        <w:pStyle w:val="ListParagraph"/>
        <w:numPr>
          <w:ilvl w:val="0"/>
          <w:numId w:val="15"/>
        </w:numPr>
        <w:spacing w:line="252" w:lineRule="auto"/>
        <w:ind w:left="2127" w:hanging="709"/>
        <w:contextualSpacing/>
        <w:jc w:val="both"/>
        <w:rPr>
          <w:rFonts w:ascii="Cambria" w:eastAsia="Cambria" w:hAnsi="Cambria" w:cs="Cambria"/>
        </w:rPr>
      </w:pPr>
      <w:r w:rsidRPr="00351256">
        <w:rPr>
          <w:rFonts w:ascii="Cambria" w:eastAsia="Cambria" w:hAnsi="Cambria" w:cs="Cambria"/>
        </w:rPr>
        <w:t>Credit information companies only provide credit information services after being granted a Certificate by the State Bank;</w:t>
      </w:r>
    </w:p>
    <w:p w14:paraId="3DBE14EC" w14:textId="77777777" w:rsidR="00515DEF" w:rsidRDefault="00515DEF" w:rsidP="00515DEF">
      <w:pPr>
        <w:pStyle w:val="ListParagraph"/>
        <w:spacing w:line="252" w:lineRule="auto"/>
        <w:ind w:left="2127"/>
        <w:contextualSpacing/>
        <w:jc w:val="both"/>
        <w:rPr>
          <w:rFonts w:ascii="Cambria" w:eastAsia="Cambria" w:hAnsi="Cambria" w:cs="Cambria"/>
        </w:rPr>
      </w:pPr>
    </w:p>
    <w:p w14:paraId="1FBD1A98" w14:textId="77777777" w:rsidR="00515DEF" w:rsidRDefault="00351256" w:rsidP="00515DEF">
      <w:pPr>
        <w:pStyle w:val="ListParagraph"/>
        <w:numPr>
          <w:ilvl w:val="0"/>
          <w:numId w:val="15"/>
        </w:numPr>
        <w:spacing w:line="252" w:lineRule="auto"/>
        <w:ind w:left="2127" w:hanging="709"/>
        <w:contextualSpacing/>
        <w:jc w:val="both"/>
        <w:rPr>
          <w:rFonts w:ascii="Cambria" w:eastAsia="Cambria" w:hAnsi="Cambria" w:cs="Cambria"/>
        </w:rPr>
      </w:pPr>
      <w:r w:rsidRPr="00515DEF">
        <w:rPr>
          <w:rFonts w:ascii="Cambria" w:eastAsia="Cambria" w:hAnsi="Cambria" w:cs="Cambria"/>
        </w:rPr>
        <w:lastRenderedPageBreak/>
        <w:t>Must comply with legal regulations, ensure honesty, objectivity and do not affect the lawful rights and interests of relevant organizations and individuals;</w:t>
      </w:r>
    </w:p>
    <w:p w14:paraId="2AF758A4" w14:textId="77777777" w:rsidR="00515DEF" w:rsidRDefault="00515DEF" w:rsidP="00515DEF">
      <w:pPr>
        <w:pStyle w:val="ListParagraph"/>
        <w:spacing w:line="252" w:lineRule="auto"/>
        <w:ind w:left="2127"/>
        <w:contextualSpacing/>
        <w:jc w:val="both"/>
        <w:rPr>
          <w:rFonts w:ascii="Cambria" w:eastAsia="Cambria" w:hAnsi="Cambria" w:cs="Cambria"/>
        </w:rPr>
      </w:pPr>
    </w:p>
    <w:p w14:paraId="2FFB9B29" w14:textId="31C6285B" w:rsidR="00515DEF" w:rsidRDefault="00351256" w:rsidP="00515DEF">
      <w:pPr>
        <w:pStyle w:val="ListParagraph"/>
        <w:numPr>
          <w:ilvl w:val="0"/>
          <w:numId w:val="15"/>
        </w:numPr>
        <w:spacing w:line="252" w:lineRule="auto"/>
        <w:ind w:left="2127" w:hanging="709"/>
        <w:contextualSpacing/>
        <w:jc w:val="both"/>
        <w:rPr>
          <w:rFonts w:ascii="Cambria" w:eastAsia="Cambria" w:hAnsi="Cambria" w:cs="Cambria"/>
        </w:rPr>
      </w:pPr>
      <w:r w:rsidRPr="00515DEF">
        <w:rPr>
          <w:rFonts w:ascii="Cambria" w:eastAsia="Cambria" w:hAnsi="Cambria" w:cs="Cambria"/>
        </w:rPr>
        <w:t>Agreements and commitments in the provision of credit information services specified in this Decr</w:t>
      </w:r>
      <w:r w:rsidR="009352E2">
        <w:rPr>
          <w:rFonts w:ascii="Cambria" w:eastAsia="Cambria" w:hAnsi="Cambria" w:cs="Cambria"/>
        </w:rPr>
        <w:t>ee must be made in writing or</w:t>
      </w:r>
      <w:r w:rsidRPr="00515DEF">
        <w:rPr>
          <w:rFonts w:ascii="Cambria" w:eastAsia="Cambria" w:hAnsi="Cambria" w:cs="Cambria"/>
        </w:rPr>
        <w:t xml:space="preserve"> another form with equivalent legal validity as prescribed by law;</w:t>
      </w:r>
    </w:p>
    <w:p w14:paraId="512A2BBC" w14:textId="77777777" w:rsidR="00515DEF" w:rsidRDefault="00515DEF" w:rsidP="00515DEF">
      <w:pPr>
        <w:pStyle w:val="ListParagraph"/>
        <w:spacing w:line="252" w:lineRule="auto"/>
        <w:ind w:left="2127"/>
        <w:contextualSpacing/>
        <w:jc w:val="both"/>
        <w:rPr>
          <w:rFonts w:ascii="Cambria" w:eastAsia="Cambria" w:hAnsi="Cambria" w:cs="Cambria"/>
        </w:rPr>
      </w:pPr>
    </w:p>
    <w:p w14:paraId="76D1572B" w14:textId="184B74A3" w:rsidR="00515DEF" w:rsidRDefault="00351256" w:rsidP="00515DEF">
      <w:pPr>
        <w:pStyle w:val="ListParagraph"/>
        <w:numPr>
          <w:ilvl w:val="0"/>
          <w:numId w:val="15"/>
        </w:numPr>
        <w:spacing w:line="252" w:lineRule="auto"/>
        <w:ind w:left="2127" w:hanging="709"/>
        <w:contextualSpacing/>
        <w:jc w:val="both"/>
        <w:rPr>
          <w:rFonts w:ascii="Cambria" w:eastAsia="Cambria" w:hAnsi="Cambria" w:cs="Cambria"/>
        </w:rPr>
      </w:pPr>
      <w:r w:rsidRPr="00515DEF">
        <w:rPr>
          <w:rFonts w:ascii="Cambria" w:eastAsia="Cambria" w:hAnsi="Cambria" w:cs="Cambria"/>
        </w:rPr>
        <w:t xml:space="preserve">Only collect credit information of borrowers from participating institutions when the borrower agrees to this participating institution to provide credit information to the credit information company </w:t>
      </w:r>
      <w:r w:rsidR="009352E2">
        <w:rPr>
          <w:rFonts w:ascii="Cambria" w:eastAsia="Cambria" w:hAnsi="Cambria" w:cs="Cambria"/>
        </w:rPr>
        <w:t xml:space="preserve">under </w:t>
      </w:r>
      <w:r w:rsidRPr="00515DEF">
        <w:rPr>
          <w:rFonts w:ascii="Cambria" w:eastAsia="Cambria" w:hAnsi="Cambria" w:cs="Cambria"/>
        </w:rPr>
        <w:t>Appendix I attached to this Decree;</w:t>
      </w:r>
    </w:p>
    <w:p w14:paraId="138C988F" w14:textId="77777777" w:rsidR="00515DEF" w:rsidRDefault="00515DEF" w:rsidP="00515DEF">
      <w:pPr>
        <w:pStyle w:val="ListParagraph"/>
        <w:spacing w:line="252" w:lineRule="auto"/>
        <w:ind w:left="2127"/>
        <w:contextualSpacing/>
        <w:jc w:val="both"/>
        <w:rPr>
          <w:rFonts w:ascii="Cambria" w:eastAsia="Cambria" w:hAnsi="Cambria" w:cs="Cambria"/>
        </w:rPr>
      </w:pPr>
    </w:p>
    <w:p w14:paraId="33FAE554" w14:textId="50C14F64" w:rsidR="00351256" w:rsidRPr="00515DEF" w:rsidRDefault="00351256" w:rsidP="00515DEF">
      <w:pPr>
        <w:pStyle w:val="ListParagraph"/>
        <w:numPr>
          <w:ilvl w:val="0"/>
          <w:numId w:val="15"/>
        </w:numPr>
        <w:spacing w:line="252" w:lineRule="auto"/>
        <w:ind w:left="2127" w:hanging="709"/>
        <w:contextualSpacing/>
        <w:jc w:val="both"/>
        <w:rPr>
          <w:rFonts w:ascii="Cambria" w:eastAsia="Cambria" w:hAnsi="Cambria" w:cs="Cambria"/>
        </w:rPr>
      </w:pPr>
      <w:r w:rsidRPr="00515DEF">
        <w:rPr>
          <w:rFonts w:ascii="Cambria" w:eastAsia="Cambria" w:hAnsi="Cambria" w:cs="Cambria"/>
        </w:rPr>
        <w:t xml:space="preserve">Ensure the implementation of the principles of applied information products </w:t>
      </w:r>
      <w:r w:rsidR="009352E2">
        <w:rPr>
          <w:rFonts w:ascii="Cambria" w:eastAsia="Cambria" w:hAnsi="Cambria" w:cs="Cambria"/>
        </w:rPr>
        <w:t xml:space="preserve">under </w:t>
      </w:r>
      <w:r w:rsidRPr="00515DEF">
        <w:rPr>
          <w:rFonts w:ascii="Cambria" w:eastAsia="Cambria" w:hAnsi="Cambria" w:cs="Cambria"/>
        </w:rPr>
        <w:t>this Decree.</w:t>
      </w:r>
    </w:p>
    <w:p w14:paraId="3B3C997D" w14:textId="77777777" w:rsidR="00351256" w:rsidRPr="00351256" w:rsidRDefault="00351256" w:rsidP="00D92E1B">
      <w:pPr>
        <w:spacing w:after="0" w:line="252" w:lineRule="auto"/>
        <w:ind w:left="720"/>
        <w:contextualSpacing/>
        <w:jc w:val="both"/>
        <w:rPr>
          <w:rFonts w:ascii="Cambria" w:eastAsia="Cambria" w:hAnsi="Cambria" w:cs="Cambria"/>
        </w:rPr>
      </w:pPr>
    </w:p>
    <w:p w14:paraId="04E24F19" w14:textId="77777777" w:rsidR="00351256" w:rsidRDefault="00351256" w:rsidP="00D92E1B">
      <w:pPr>
        <w:pStyle w:val="ListParagraph"/>
        <w:numPr>
          <w:ilvl w:val="0"/>
          <w:numId w:val="14"/>
        </w:numPr>
        <w:spacing w:line="252" w:lineRule="auto"/>
        <w:contextualSpacing/>
        <w:jc w:val="both"/>
        <w:rPr>
          <w:rFonts w:ascii="Cambria" w:eastAsia="Cambria" w:hAnsi="Cambria" w:cs="Cambria"/>
        </w:rPr>
      </w:pPr>
      <w:r w:rsidRPr="00351256">
        <w:rPr>
          <w:rFonts w:ascii="Cambria" w:eastAsia="Cambria" w:hAnsi="Cambria" w:cs="Cambria"/>
        </w:rPr>
        <w:t>Conditions for issuance of certificates</w:t>
      </w:r>
      <w:r>
        <w:rPr>
          <w:rFonts w:ascii="Cambria" w:eastAsia="Cambria" w:hAnsi="Cambria" w:cs="Cambria"/>
        </w:rPr>
        <w:t>:</w:t>
      </w:r>
    </w:p>
    <w:p w14:paraId="4DB18D3A" w14:textId="77777777" w:rsidR="00E75595" w:rsidRDefault="00E75595" w:rsidP="00E75595">
      <w:pPr>
        <w:pStyle w:val="ListParagraph"/>
        <w:spacing w:line="252" w:lineRule="auto"/>
        <w:ind w:left="1440"/>
        <w:contextualSpacing/>
        <w:jc w:val="both"/>
        <w:rPr>
          <w:rFonts w:ascii="Cambria" w:eastAsia="Cambria" w:hAnsi="Cambria" w:cs="Cambria"/>
        </w:rPr>
      </w:pPr>
    </w:p>
    <w:p w14:paraId="7F67C0A3" w14:textId="77777777" w:rsidR="00E75595" w:rsidRDefault="00351256" w:rsidP="00E75595">
      <w:pPr>
        <w:pStyle w:val="ListParagraph"/>
        <w:numPr>
          <w:ilvl w:val="0"/>
          <w:numId w:val="15"/>
        </w:numPr>
        <w:spacing w:line="252" w:lineRule="auto"/>
        <w:ind w:left="2127" w:hanging="687"/>
        <w:contextualSpacing/>
        <w:jc w:val="both"/>
        <w:rPr>
          <w:rFonts w:ascii="Cambria" w:eastAsia="Cambria" w:hAnsi="Cambria" w:cs="Cambria"/>
        </w:rPr>
      </w:pPr>
      <w:r w:rsidRPr="00351256">
        <w:rPr>
          <w:rFonts w:ascii="Cambria" w:eastAsia="Cambria" w:hAnsi="Cambria" w:cs="Cambria"/>
        </w:rPr>
        <w:t>Having an information infrastructure system that meets the minimum requirements specified in Clause 1, Article 9 of this Decree;</w:t>
      </w:r>
    </w:p>
    <w:p w14:paraId="67D12B57" w14:textId="77777777" w:rsidR="00E75595" w:rsidRDefault="00E75595" w:rsidP="00E75595">
      <w:pPr>
        <w:pStyle w:val="ListParagraph"/>
        <w:spacing w:line="252" w:lineRule="auto"/>
        <w:ind w:left="2127"/>
        <w:contextualSpacing/>
        <w:jc w:val="both"/>
        <w:rPr>
          <w:rFonts w:ascii="Cambria" w:eastAsia="Cambria" w:hAnsi="Cambria" w:cs="Cambria"/>
        </w:rPr>
      </w:pPr>
    </w:p>
    <w:p w14:paraId="060BBCB5" w14:textId="77777777" w:rsidR="00E75595" w:rsidRDefault="00351256" w:rsidP="00E75595">
      <w:pPr>
        <w:pStyle w:val="ListParagraph"/>
        <w:numPr>
          <w:ilvl w:val="0"/>
          <w:numId w:val="15"/>
        </w:numPr>
        <w:spacing w:line="252" w:lineRule="auto"/>
        <w:ind w:left="2127" w:hanging="687"/>
        <w:contextualSpacing/>
        <w:jc w:val="both"/>
        <w:rPr>
          <w:rFonts w:ascii="Cambria" w:eastAsia="Cambria" w:hAnsi="Cambria" w:cs="Cambria"/>
        </w:rPr>
      </w:pPr>
      <w:r w:rsidRPr="00E75595">
        <w:rPr>
          <w:rFonts w:ascii="Cambria" w:eastAsia="Cambria" w:hAnsi="Cambria" w:cs="Cambria"/>
        </w:rPr>
        <w:t>Having a minimum charter capital of VND 30 billion;</w:t>
      </w:r>
    </w:p>
    <w:p w14:paraId="0C528998" w14:textId="77777777" w:rsidR="00E75595" w:rsidRDefault="00E75595" w:rsidP="00E75595">
      <w:pPr>
        <w:pStyle w:val="ListParagraph"/>
        <w:spacing w:line="252" w:lineRule="auto"/>
        <w:ind w:left="2127"/>
        <w:contextualSpacing/>
        <w:jc w:val="both"/>
        <w:rPr>
          <w:rFonts w:ascii="Cambria" w:eastAsia="Cambria" w:hAnsi="Cambria" w:cs="Cambria"/>
        </w:rPr>
      </w:pPr>
    </w:p>
    <w:p w14:paraId="1715FB16" w14:textId="77777777" w:rsidR="00E24556" w:rsidRDefault="00F715E8" w:rsidP="00E24556">
      <w:pPr>
        <w:pStyle w:val="ListParagraph"/>
        <w:numPr>
          <w:ilvl w:val="0"/>
          <w:numId w:val="15"/>
        </w:numPr>
        <w:spacing w:line="252" w:lineRule="auto"/>
        <w:ind w:left="2127" w:hanging="687"/>
        <w:contextualSpacing/>
        <w:jc w:val="both"/>
        <w:rPr>
          <w:rFonts w:ascii="Cambria" w:eastAsia="Cambria" w:hAnsi="Cambria" w:cs="Cambria"/>
        </w:rPr>
      </w:pPr>
      <w:r w:rsidRPr="00E75595">
        <w:rPr>
          <w:rFonts w:ascii="Cambria" w:eastAsia="Cambria" w:hAnsi="Cambria" w:cs="Cambria"/>
        </w:rPr>
        <w:t>Adapting</w:t>
      </w:r>
      <w:r w:rsidR="00351256" w:rsidRPr="00E75595">
        <w:rPr>
          <w:rFonts w:ascii="Cambria" w:eastAsia="Cambria" w:hAnsi="Cambria" w:cs="Cambria"/>
        </w:rPr>
        <w:t xml:space="preserve"> the requirements of enterprise managers, members of the Supervisory Board;</w:t>
      </w:r>
    </w:p>
    <w:p w14:paraId="73C8F02E" w14:textId="77777777" w:rsidR="00E24556" w:rsidRDefault="00E24556" w:rsidP="00E24556">
      <w:pPr>
        <w:pStyle w:val="ListParagraph"/>
        <w:spacing w:line="252" w:lineRule="auto"/>
        <w:ind w:left="2127"/>
        <w:contextualSpacing/>
        <w:jc w:val="both"/>
        <w:rPr>
          <w:rFonts w:ascii="Cambria" w:eastAsia="Cambria" w:hAnsi="Cambria" w:cs="Cambria"/>
        </w:rPr>
      </w:pPr>
    </w:p>
    <w:p w14:paraId="76D9C5E1" w14:textId="414E4C11" w:rsidR="00351256" w:rsidRDefault="00351256" w:rsidP="00E24556">
      <w:pPr>
        <w:pStyle w:val="ListParagraph"/>
        <w:numPr>
          <w:ilvl w:val="0"/>
          <w:numId w:val="15"/>
        </w:numPr>
        <w:spacing w:line="252" w:lineRule="auto"/>
        <w:ind w:left="2127" w:hanging="687"/>
        <w:contextualSpacing/>
        <w:jc w:val="both"/>
        <w:rPr>
          <w:rFonts w:ascii="Cambria" w:eastAsia="Cambria" w:hAnsi="Cambria" w:cs="Cambria"/>
        </w:rPr>
      </w:pPr>
      <w:r w:rsidRPr="00E24556">
        <w:rPr>
          <w:rFonts w:ascii="Cambria" w:eastAsia="Cambria" w:hAnsi="Cambria" w:cs="Cambria"/>
        </w:rPr>
        <w:t>Having a business plan to ensure that it is not engaged in other business lines than providing credit information services;</w:t>
      </w:r>
    </w:p>
    <w:p w14:paraId="1B20163A" w14:textId="77777777" w:rsidR="00B56946" w:rsidRDefault="00B56946" w:rsidP="00B56946">
      <w:pPr>
        <w:pStyle w:val="ListParagraph"/>
        <w:spacing w:line="252" w:lineRule="auto"/>
        <w:ind w:left="2127"/>
        <w:contextualSpacing/>
        <w:jc w:val="both"/>
        <w:rPr>
          <w:rFonts w:ascii="Cambria" w:eastAsia="Cambria" w:hAnsi="Cambria" w:cs="Cambria"/>
        </w:rPr>
      </w:pPr>
    </w:p>
    <w:p w14:paraId="1951C051" w14:textId="77777777" w:rsidR="00B74FAE" w:rsidRPr="002C401B" w:rsidRDefault="00B56946" w:rsidP="00B74FAE">
      <w:pPr>
        <w:pStyle w:val="ListParagraph"/>
        <w:numPr>
          <w:ilvl w:val="0"/>
          <w:numId w:val="15"/>
        </w:numPr>
        <w:spacing w:line="252" w:lineRule="auto"/>
        <w:ind w:left="2127" w:hanging="709"/>
        <w:contextualSpacing/>
        <w:jc w:val="both"/>
        <w:rPr>
          <w:rFonts w:ascii="Cambria" w:eastAsia="Cambria" w:hAnsi="Cambria" w:cs="Cambria"/>
          <w:spacing w:val="-4"/>
        </w:rPr>
      </w:pPr>
      <w:r w:rsidRPr="002C401B">
        <w:rPr>
          <w:rFonts w:ascii="Cambria" w:eastAsia="Cambria" w:hAnsi="Cambria" w:cs="Cambria"/>
          <w:spacing w:val="-4"/>
        </w:rPr>
        <w:t>Having at least 15 participating organizations are credit institutions, foreign bank branches (except policy banks, cooperative banks, people's credit funds, and microfinance institutions). Participating organizations witho</w:t>
      </w:r>
      <w:r w:rsidR="00B74FAE" w:rsidRPr="002C401B">
        <w:rPr>
          <w:rFonts w:ascii="Cambria" w:eastAsia="Cambria" w:hAnsi="Cambria" w:cs="Cambria"/>
          <w:spacing w:val="-4"/>
        </w:rPr>
        <w:t>ut</w:t>
      </w:r>
      <w:r w:rsidRPr="002C401B">
        <w:rPr>
          <w:rFonts w:ascii="Cambria" w:eastAsia="Cambria" w:hAnsi="Cambria" w:cs="Cambria"/>
          <w:spacing w:val="-4"/>
        </w:rPr>
        <w:t xml:space="preserve"> commitment of providing credit information with other credit information companies;</w:t>
      </w:r>
    </w:p>
    <w:p w14:paraId="23021E63" w14:textId="77777777" w:rsidR="00B74FAE" w:rsidRDefault="00B74FAE" w:rsidP="00B74FAE">
      <w:pPr>
        <w:pStyle w:val="ListParagraph"/>
        <w:spacing w:line="252" w:lineRule="auto"/>
        <w:ind w:left="2127"/>
        <w:contextualSpacing/>
        <w:jc w:val="both"/>
        <w:rPr>
          <w:rFonts w:ascii="Cambria" w:eastAsia="Cambria" w:hAnsi="Cambria" w:cs="Cambria"/>
        </w:rPr>
      </w:pPr>
    </w:p>
    <w:p w14:paraId="1E1D5FA4" w14:textId="6EE03948" w:rsidR="00B74FAE" w:rsidRPr="00B74FAE" w:rsidRDefault="00B74FAE" w:rsidP="00B74FAE">
      <w:pPr>
        <w:pStyle w:val="ListParagraph"/>
        <w:numPr>
          <w:ilvl w:val="0"/>
          <w:numId w:val="15"/>
        </w:numPr>
        <w:spacing w:line="252" w:lineRule="auto"/>
        <w:ind w:left="2127" w:hanging="709"/>
        <w:contextualSpacing/>
        <w:jc w:val="both"/>
        <w:rPr>
          <w:rFonts w:ascii="Cambria" w:eastAsia="Cambria" w:hAnsi="Cambria" w:cs="Cambria"/>
        </w:rPr>
      </w:pPr>
      <w:r w:rsidRPr="00B74FAE">
        <w:rPr>
          <w:rFonts w:ascii="Cambria" w:eastAsia="Cambria" w:hAnsi="Cambria" w:cs="Cambria"/>
        </w:rPr>
        <w:t xml:space="preserve">Having a written agreement on the provision of information and credit information products between the credit information company and the participating </w:t>
      </w:r>
      <w:r>
        <w:rPr>
          <w:rFonts w:ascii="Cambria" w:eastAsia="Cambria" w:hAnsi="Cambria" w:cs="Cambria"/>
        </w:rPr>
        <w:t>organization.</w:t>
      </w:r>
    </w:p>
    <w:p w14:paraId="1B894832" w14:textId="77777777" w:rsidR="00351256" w:rsidRPr="00351256" w:rsidRDefault="00351256" w:rsidP="00D92E1B">
      <w:pPr>
        <w:spacing w:after="0" w:line="252" w:lineRule="auto"/>
        <w:ind w:left="720"/>
        <w:contextualSpacing/>
        <w:jc w:val="both"/>
        <w:rPr>
          <w:rFonts w:ascii="Cambria" w:eastAsia="Cambria" w:hAnsi="Cambria" w:cs="Cambria"/>
        </w:rPr>
      </w:pPr>
    </w:p>
    <w:p w14:paraId="43DC7378" w14:textId="78D6D484" w:rsidR="002B2D13" w:rsidRPr="008E5D59" w:rsidRDefault="00351256" w:rsidP="008E5D59">
      <w:pPr>
        <w:numPr>
          <w:ilvl w:val="0"/>
          <w:numId w:val="13"/>
        </w:numPr>
        <w:tabs>
          <w:tab w:val="left" w:pos="720"/>
        </w:tabs>
        <w:spacing w:after="0" w:line="252" w:lineRule="auto"/>
        <w:ind w:hanging="720"/>
        <w:contextualSpacing/>
        <w:jc w:val="both"/>
        <w:rPr>
          <w:rFonts w:ascii="Cambria" w:eastAsia="Cambria" w:hAnsi="Cambria" w:cs="Cambria"/>
          <w:b/>
          <w:bCs/>
          <w:spacing w:val="-10"/>
        </w:rPr>
      </w:pPr>
      <w:r w:rsidRPr="008E5D59">
        <w:rPr>
          <w:rFonts w:ascii="Cambria" w:eastAsia="Cambria" w:hAnsi="Cambria" w:cs="Cambria"/>
          <w:b/>
          <w:bCs/>
          <w:spacing w:val="-10"/>
        </w:rPr>
        <w:t>Note of indirect investment account of</w:t>
      </w:r>
      <w:r w:rsidR="009337F1" w:rsidRPr="008E5D59">
        <w:rPr>
          <w:rFonts w:ascii="Cambria" w:eastAsia="Cambria" w:hAnsi="Cambria" w:cs="Cambria"/>
          <w:b/>
          <w:bCs/>
          <w:spacing w:val="-10"/>
        </w:rPr>
        <w:t xml:space="preserve"> foreign investment activities on Vietnam's stock market</w:t>
      </w:r>
      <w:r w:rsidR="002B2D13" w:rsidRPr="008E5D59">
        <w:rPr>
          <w:rFonts w:ascii="Cambria" w:eastAsia="Cambria" w:hAnsi="Cambria" w:cs="Cambria"/>
          <w:b/>
          <w:bCs/>
          <w:spacing w:val="-10"/>
        </w:rPr>
        <w:t>.</w:t>
      </w:r>
    </w:p>
    <w:p w14:paraId="7B46A3FF" w14:textId="77777777" w:rsidR="002B2D13" w:rsidRPr="002B2D13" w:rsidRDefault="002B2D13" w:rsidP="00D92E1B">
      <w:pPr>
        <w:tabs>
          <w:tab w:val="left" w:pos="720"/>
        </w:tabs>
        <w:spacing w:after="0" w:line="252" w:lineRule="auto"/>
        <w:ind w:left="720"/>
        <w:contextualSpacing/>
        <w:rPr>
          <w:rFonts w:ascii="Cambria" w:eastAsia="Cambria" w:hAnsi="Cambria" w:cs="Cambria"/>
          <w:b/>
          <w:bCs/>
        </w:rPr>
      </w:pPr>
    </w:p>
    <w:p w14:paraId="600E72EF" w14:textId="147C1F5A" w:rsidR="002B2D13" w:rsidRDefault="00351256" w:rsidP="00D92E1B">
      <w:pPr>
        <w:spacing w:after="0" w:line="252" w:lineRule="auto"/>
        <w:ind w:left="720"/>
        <w:contextualSpacing/>
        <w:jc w:val="both"/>
        <w:rPr>
          <w:rFonts w:ascii="Cambria" w:eastAsia="Cambria" w:hAnsi="Cambria" w:cs="Cambria"/>
        </w:rPr>
      </w:pPr>
      <w:r>
        <w:rPr>
          <w:rFonts w:ascii="Cambria" w:eastAsia="Cambria" w:hAnsi="Cambria" w:cs="Cambria"/>
        </w:rPr>
        <w:t>On</w:t>
      </w:r>
      <w:r w:rsidR="009337F1" w:rsidRPr="009337F1">
        <w:rPr>
          <w:rFonts w:ascii="Cambria" w:eastAsia="Cambria" w:hAnsi="Cambria" w:cs="Cambria"/>
        </w:rPr>
        <w:t xml:space="preserve"> June 30, 2021, the Ministry of Finance issued Circular 51/2021/TT-BTC guiding the obligations of organizations and individuals in foreign investment activities in the stock market in Vietnam</w:t>
      </w:r>
      <w:r>
        <w:rPr>
          <w:rFonts w:ascii="Cambria" w:eastAsia="Cambria" w:hAnsi="Cambria" w:cs="Cambria"/>
        </w:rPr>
        <w:t>, taking effect on August 16, 2021.</w:t>
      </w:r>
    </w:p>
    <w:p w14:paraId="18BA84AF" w14:textId="77777777" w:rsidR="00E24556" w:rsidRDefault="00E24556" w:rsidP="00D92E1B">
      <w:pPr>
        <w:spacing w:after="0" w:line="252" w:lineRule="auto"/>
        <w:ind w:left="720"/>
        <w:contextualSpacing/>
        <w:jc w:val="both"/>
        <w:rPr>
          <w:rFonts w:ascii="Cambria" w:eastAsia="Cambria" w:hAnsi="Cambria" w:cs="Cambria"/>
        </w:rPr>
      </w:pPr>
    </w:p>
    <w:p w14:paraId="64BA5CE8" w14:textId="0F8D94A4" w:rsidR="00F715E8" w:rsidRDefault="00351256" w:rsidP="00D92E1B">
      <w:pPr>
        <w:spacing w:after="0" w:line="252" w:lineRule="auto"/>
        <w:ind w:left="720"/>
        <w:contextualSpacing/>
        <w:jc w:val="both"/>
        <w:rPr>
          <w:rFonts w:ascii="Cambria" w:eastAsia="Cambria" w:hAnsi="Cambria" w:cs="Cambria"/>
        </w:rPr>
      </w:pPr>
      <w:r w:rsidRPr="00351256">
        <w:rPr>
          <w:rFonts w:ascii="Cambria" w:eastAsia="Cambria" w:hAnsi="Cambria" w:cs="Cambria"/>
        </w:rPr>
        <w:lastRenderedPageBreak/>
        <w:t xml:space="preserve">In particular, the Circular has specific provisions on indirect investment capital accounts in foreign investment activities on the Vietnamese </w:t>
      </w:r>
      <w:r w:rsidR="00E24556">
        <w:rPr>
          <w:rFonts w:ascii="Cambria" w:eastAsia="Cambria" w:hAnsi="Cambria" w:cs="Cambria"/>
        </w:rPr>
        <w:t>stock market as follows:</w:t>
      </w:r>
    </w:p>
    <w:p w14:paraId="5D8AD040" w14:textId="77777777" w:rsidR="00E24556" w:rsidRDefault="00E24556" w:rsidP="00D92E1B">
      <w:pPr>
        <w:spacing w:after="0" w:line="252" w:lineRule="auto"/>
        <w:ind w:left="720"/>
        <w:contextualSpacing/>
        <w:jc w:val="both"/>
        <w:rPr>
          <w:rFonts w:ascii="Cambria" w:eastAsia="Cambria" w:hAnsi="Cambria" w:cs="Cambria"/>
        </w:rPr>
      </w:pPr>
    </w:p>
    <w:p w14:paraId="24F52D93" w14:textId="77777777" w:rsidR="00F715E8" w:rsidRDefault="00F715E8" w:rsidP="00D92E1B">
      <w:pPr>
        <w:pStyle w:val="ListParagraph"/>
        <w:numPr>
          <w:ilvl w:val="0"/>
          <w:numId w:val="16"/>
        </w:numPr>
        <w:spacing w:line="252" w:lineRule="auto"/>
        <w:contextualSpacing/>
        <w:jc w:val="both"/>
        <w:rPr>
          <w:rFonts w:ascii="Cambria" w:eastAsia="Cambria" w:hAnsi="Cambria" w:cs="Cambria"/>
        </w:rPr>
      </w:pPr>
      <w:r w:rsidRPr="00F715E8">
        <w:rPr>
          <w:rFonts w:ascii="Cambria" w:eastAsia="Cambria" w:hAnsi="Cambria" w:cs="Cambria"/>
        </w:rPr>
        <w:t>Foreign investors open 01 indirect investment capital account at 01 depository bank licensed to conduct foreign exchange business to carry out investment activities on the Vietnamese stock market;</w:t>
      </w:r>
    </w:p>
    <w:p w14:paraId="6581D5E7" w14:textId="77777777" w:rsidR="00E24556" w:rsidRDefault="00E24556" w:rsidP="00E24556">
      <w:pPr>
        <w:pStyle w:val="ListParagraph"/>
        <w:spacing w:line="252" w:lineRule="auto"/>
        <w:ind w:left="1440"/>
        <w:contextualSpacing/>
        <w:jc w:val="both"/>
        <w:rPr>
          <w:rFonts w:ascii="Cambria" w:eastAsia="Cambria" w:hAnsi="Cambria" w:cs="Cambria"/>
        </w:rPr>
      </w:pPr>
    </w:p>
    <w:p w14:paraId="62344E21" w14:textId="77777777" w:rsidR="00F715E8" w:rsidRDefault="00F715E8" w:rsidP="00D92E1B">
      <w:pPr>
        <w:pStyle w:val="ListParagraph"/>
        <w:numPr>
          <w:ilvl w:val="0"/>
          <w:numId w:val="16"/>
        </w:numPr>
        <w:spacing w:line="252" w:lineRule="auto"/>
        <w:contextualSpacing/>
        <w:jc w:val="both"/>
        <w:rPr>
          <w:rFonts w:ascii="Cambria" w:eastAsia="Cambria" w:hAnsi="Cambria" w:cs="Cambria"/>
        </w:rPr>
      </w:pPr>
      <w:r w:rsidRPr="00F715E8">
        <w:rPr>
          <w:rFonts w:ascii="Cambria" w:eastAsia="Cambria" w:hAnsi="Cambria" w:cs="Cambria"/>
        </w:rPr>
        <w:t>An overseas depository certificate issuer that opens an indirect investment capital account at a depository bank will be allowed to do foreign exchange business to issue or cancel depository certificates. and other related activities based on the provisions of law;</w:t>
      </w:r>
    </w:p>
    <w:p w14:paraId="40F7F588" w14:textId="77777777" w:rsidR="00E24556" w:rsidRDefault="00E24556" w:rsidP="00E24556">
      <w:pPr>
        <w:pStyle w:val="ListParagraph"/>
        <w:spacing w:line="252" w:lineRule="auto"/>
        <w:ind w:left="1440"/>
        <w:contextualSpacing/>
        <w:jc w:val="both"/>
        <w:rPr>
          <w:rFonts w:ascii="Cambria" w:eastAsia="Cambria" w:hAnsi="Cambria" w:cs="Cambria"/>
        </w:rPr>
      </w:pPr>
    </w:p>
    <w:p w14:paraId="21B103F6" w14:textId="03932A7E" w:rsidR="00F715E8" w:rsidRDefault="00F715E8" w:rsidP="00D92E1B">
      <w:pPr>
        <w:pStyle w:val="ListParagraph"/>
        <w:numPr>
          <w:ilvl w:val="0"/>
          <w:numId w:val="16"/>
        </w:numPr>
        <w:spacing w:line="252" w:lineRule="auto"/>
        <w:contextualSpacing/>
        <w:jc w:val="both"/>
        <w:rPr>
          <w:rFonts w:ascii="Cambria" w:eastAsia="Cambria" w:hAnsi="Cambria" w:cs="Cambria"/>
        </w:rPr>
      </w:pPr>
      <w:r w:rsidRPr="00F715E8">
        <w:rPr>
          <w:rFonts w:ascii="Cambria" w:eastAsia="Cambria" w:hAnsi="Cambria" w:cs="Cambria"/>
        </w:rPr>
        <w:t>In receiving entrusted capital, the securities investment fund management company, br</w:t>
      </w:r>
      <w:r w:rsidR="00D92E1B">
        <w:rPr>
          <w:rFonts w:ascii="Cambria" w:eastAsia="Cambria" w:hAnsi="Cambria" w:cs="Cambria"/>
        </w:rPr>
        <w:t>anch of foreign fund management</w:t>
      </w:r>
      <w:r w:rsidR="00E24556">
        <w:rPr>
          <w:rFonts w:ascii="Cambria" w:eastAsia="Cambria" w:hAnsi="Cambria" w:cs="Cambria"/>
        </w:rPr>
        <w:t xml:space="preserve"> </w:t>
      </w:r>
      <w:r w:rsidRPr="00F715E8">
        <w:rPr>
          <w:rFonts w:ascii="Cambria" w:eastAsia="Cambria" w:hAnsi="Cambria" w:cs="Cambria"/>
        </w:rPr>
        <w:t>company in Vietnam shall open an indirect investment capital account to receive capital from foreign investors. There is no indirect investment capital account. In this case, the indirect investment capital account will be in the name of the securities investment fund management company, branch of the foreign fund management company in Vietnam;</w:t>
      </w:r>
    </w:p>
    <w:p w14:paraId="3FD1CD36" w14:textId="77777777" w:rsidR="00E24556" w:rsidRDefault="00E24556" w:rsidP="00E24556">
      <w:pPr>
        <w:pStyle w:val="ListParagraph"/>
        <w:spacing w:line="252" w:lineRule="auto"/>
        <w:ind w:left="1440"/>
        <w:contextualSpacing/>
        <w:jc w:val="both"/>
        <w:rPr>
          <w:rFonts w:ascii="Cambria" w:eastAsia="Cambria" w:hAnsi="Cambria" w:cs="Cambria"/>
        </w:rPr>
      </w:pPr>
    </w:p>
    <w:p w14:paraId="30679002" w14:textId="77777777" w:rsidR="00F715E8" w:rsidRDefault="00F715E8" w:rsidP="00D92E1B">
      <w:pPr>
        <w:pStyle w:val="ListParagraph"/>
        <w:numPr>
          <w:ilvl w:val="0"/>
          <w:numId w:val="16"/>
        </w:numPr>
        <w:spacing w:line="252" w:lineRule="auto"/>
        <w:contextualSpacing/>
        <w:jc w:val="both"/>
        <w:rPr>
          <w:rFonts w:ascii="Cambria" w:eastAsia="Cambria" w:hAnsi="Cambria" w:cs="Cambria"/>
        </w:rPr>
      </w:pPr>
      <w:r w:rsidRPr="00F715E8">
        <w:rPr>
          <w:rFonts w:ascii="Cambria" w:eastAsia="Cambria" w:hAnsi="Cambria" w:cs="Cambria"/>
        </w:rPr>
        <w:t>In addition, all money transfers for making transactions, investments, or other payments that are related to securities investment activities of foreign investors and activities of issuers. issue depository certificates abroad; Dividend profits, receipt and use of dividends, purchase of foreign currencies to transfer abroad (if any), as well as other related transactions will all have to be done through the indirect investment capital account;</w:t>
      </w:r>
    </w:p>
    <w:p w14:paraId="6EBA5540" w14:textId="77777777" w:rsidR="00E24556" w:rsidRDefault="00E24556" w:rsidP="00E24556">
      <w:pPr>
        <w:pStyle w:val="ListParagraph"/>
        <w:spacing w:line="252" w:lineRule="auto"/>
        <w:ind w:left="1440"/>
        <w:contextualSpacing/>
        <w:jc w:val="both"/>
        <w:rPr>
          <w:rFonts w:ascii="Cambria" w:eastAsia="Cambria" w:hAnsi="Cambria" w:cs="Cambria"/>
        </w:rPr>
      </w:pPr>
    </w:p>
    <w:p w14:paraId="10FA66D7" w14:textId="100C7705" w:rsidR="00F715E8" w:rsidRDefault="00F715E8" w:rsidP="00D92E1B">
      <w:pPr>
        <w:pStyle w:val="ListParagraph"/>
        <w:numPr>
          <w:ilvl w:val="0"/>
          <w:numId w:val="16"/>
        </w:numPr>
        <w:spacing w:line="252" w:lineRule="auto"/>
        <w:contextualSpacing/>
        <w:jc w:val="both"/>
        <w:rPr>
          <w:rFonts w:ascii="Cambria" w:eastAsia="Cambria" w:hAnsi="Cambria" w:cs="Cambria"/>
        </w:rPr>
      </w:pPr>
      <w:r w:rsidRPr="00F715E8">
        <w:rPr>
          <w:rFonts w:ascii="Cambria" w:eastAsia="Cambria" w:hAnsi="Cambria" w:cs="Cambria"/>
        </w:rPr>
        <w:t>The closing, opening, use and management of the indirect investment capital account must comply with the provisions of the law on foreign exchange management.</w:t>
      </w:r>
    </w:p>
    <w:p w14:paraId="493EA992" w14:textId="77777777" w:rsidR="00F715E8" w:rsidRPr="00F715E8" w:rsidRDefault="00F715E8" w:rsidP="00D92E1B">
      <w:pPr>
        <w:pStyle w:val="ListParagraph"/>
        <w:spacing w:line="252" w:lineRule="auto"/>
        <w:ind w:left="1440"/>
        <w:contextualSpacing/>
        <w:jc w:val="both"/>
        <w:rPr>
          <w:rFonts w:ascii="Cambria" w:eastAsia="Cambria" w:hAnsi="Cambria" w:cs="Cambria"/>
        </w:rPr>
      </w:pPr>
    </w:p>
    <w:p w14:paraId="76C04006" w14:textId="77777777" w:rsidR="002B2D13" w:rsidRPr="002B2D13" w:rsidRDefault="002B2D13" w:rsidP="00D92E1B">
      <w:pPr>
        <w:spacing w:after="0" w:line="252" w:lineRule="auto"/>
        <w:ind w:left="720"/>
        <w:contextualSpacing/>
        <w:jc w:val="both"/>
        <w:rPr>
          <w:rFonts w:ascii="Cambria" w:eastAsia="Cambria" w:hAnsi="Cambria" w:cs="Cambria"/>
        </w:rPr>
      </w:pPr>
    </w:p>
    <w:p w14:paraId="48651141" w14:textId="0AF1C4C8" w:rsidR="002B2D13" w:rsidRPr="002B2D13" w:rsidRDefault="00F17BB2" w:rsidP="00D92E1B">
      <w:pPr>
        <w:spacing w:after="0" w:line="252" w:lineRule="auto"/>
        <w:contextualSpacing/>
        <w:rPr>
          <w:rFonts w:ascii="Cambria" w:eastAsia="Cambria" w:hAnsi="Cambria" w:cs="Cambria"/>
        </w:rPr>
      </w:pPr>
      <w:r w:rsidRPr="00F17BB2">
        <w:rPr>
          <w:rFonts w:ascii="Cambria" w:eastAsia="Cambria" w:hAnsi="Cambria" w:cs="Cambria"/>
        </w:rPr>
        <w:t>We hope you found this brief legal update informative.</w:t>
      </w:r>
    </w:p>
    <w:p w14:paraId="6853B3D1" w14:textId="77777777" w:rsidR="002B2D13" w:rsidRPr="002B2D13" w:rsidRDefault="002B2D13" w:rsidP="00D92E1B">
      <w:pPr>
        <w:spacing w:after="0" w:line="252" w:lineRule="auto"/>
        <w:contextualSpacing/>
      </w:pPr>
    </w:p>
    <w:p w14:paraId="6E264485" w14:textId="29703E39" w:rsidR="002B2D13" w:rsidRPr="002B2D13" w:rsidRDefault="00F17BB2" w:rsidP="00D92E1B">
      <w:pPr>
        <w:spacing w:after="0" w:line="252" w:lineRule="auto"/>
        <w:contextualSpacing/>
        <w:rPr>
          <w:rFonts w:ascii="Cambria" w:eastAsia="Cambria" w:hAnsi="Cambria" w:cs="Cambria"/>
        </w:rPr>
      </w:pPr>
      <w:r>
        <w:rPr>
          <w:rFonts w:ascii="Cambria" w:eastAsia="Cambria" w:hAnsi="Cambria" w:cs="Cambria"/>
        </w:rPr>
        <w:t>Kind Regards</w:t>
      </w:r>
      <w:r w:rsidR="002B2D13" w:rsidRPr="002B2D13">
        <w:rPr>
          <w:rFonts w:ascii="Cambria" w:eastAsia="Cambria" w:hAnsi="Cambria" w:cs="Cambria"/>
        </w:rPr>
        <w:t>.</w:t>
      </w:r>
    </w:p>
    <w:p w14:paraId="57D20783" w14:textId="77777777" w:rsidR="002B2D13" w:rsidRDefault="002B2D13" w:rsidP="00D92E1B">
      <w:pPr>
        <w:spacing w:after="0" w:line="252" w:lineRule="auto"/>
        <w:contextualSpacing/>
        <w:jc w:val="both"/>
        <w:rPr>
          <w:rFonts w:ascii="Cambria" w:eastAsia="Cambria" w:hAnsi="Cambria" w:cs="Cambria"/>
        </w:rPr>
      </w:pPr>
    </w:p>
    <w:p w14:paraId="294DE9A8" w14:textId="77777777" w:rsidR="002B2D13" w:rsidRPr="00700A71" w:rsidRDefault="002B2D13" w:rsidP="00D92E1B">
      <w:pPr>
        <w:spacing w:after="0" w:line="252" w:lineRule="auto"/>
        <w:contextualSpacing/>
        <w:jc w:val="both"/>
        <w:rPr>
          <w:sz w:val="20"/>
          <w:szCs w:val="20"/>
        </w:rPr>
      </w:pPr>
    </w:p>
    <w:p w14:paraId="33053DC6" w14:textId="77777777" w:rsidR="002B2D13" w:rsidRPr="002B2D13" w:rsidRDefault="002B2D13" w:rsidP="00D92E1B">
      <w:pPr>
        <w:spacing w:after="0" w:line="252" w:lineRule="auto"/>
        <w:contextualSpacing/>
      </w:pPr>
    </w:p>
    <w:p w14:paraId="7422612E" w14:textId="37FE45AB" w:rsidR="00D05747" w:rsidRPr="002B2D13" w:rsidRDefault="00D05747" w:rsidP="00D92E1B">
      <w:pPr>
        <w:spacing w:after="0" w:line="252" w:lineRule="auto"/>
        <w:contextualSpacing/>
      </w:pPr>
    </w:p>
    <w:p w14:paraId="65F71E51" w14:textId="77777777" w:rsidR="00D05747" w:rsidRPr="002B2D13" w:rsidRDefault="00D05747" w:rsidP="00D92E1B">
      <w:pPr>
        <w:spacing w:after="0" w:line="252" w:lineRule="auto"/>
        <w:contextualSpacing/>
      </w:pPr>
    </w:p>
    <w:p w14:paraId="72656B0B" w14:textId="5452E5F6" w:rsidR="00157F3A" w:rsidRPr="002B2D13" w:rsidRDefault="00157F3A" w:rsidP="00D92E1B">
      <w:pPr>
        <w:spacing w:after="0" w:line="252" w:lineRule="auto"/>
        <w:ind w:left="720"/>
        <w:contextualSpacing/>
        <w:jc w:val="both"/>
        <w:rPr>
          <w:rFonts w:ascii="Cambria" w:eastAsia="Cambria" w:hAnsi="Cambria" w:cs="Cambria"/>
        </w:rPr>
      </w:pPr>
    </w:p>
    <w:p w14:paraId="5356D0CB" w14:textId="58BD7255" w:rsidR="00107D7B" w:rsidRPr="002B2D13" w:rsidRDefault="00107D7B" w:rsidP="00D92E1B">
      <w:pPr>
        <w:pStyle w:val="ListParagraph"/>
        <w:spacing w:line="252" w:lineRule="auto"/>
        <w:contextualSpacing/>
        <w:rPr>
          <w:rFonts w:ascii="Cambria" w:eastAsia="Cambria" w:hAnsi="Cambria" w:cs="Cambria"/>
        </w:rPr>
      </w:pPr>
    </w:p>
    <w:tbl>
      <w:tblPr>
        <w:tblStyle w:val="TableGrid"/>
        <w:tblpPr w:leftFromText="180" w:rightFromText="180" w:vertAnchor="page" w:horzAnchor="margin" w:tblpXSpec="center" w:tblpY="3121"/>
        <w:tblW w:w="0" w:type="auto"/>
        <w:shd w:val="clear" w:color="auto" w:fill="D9E2F3" w:themeFill="accent1" w:themeFillTint="33"/>
        <w:tblLook w:val="04A0" w:firstRow="1" w:lastRow="0" w:firstColumn="1" w:lastColumn="0" w:noHBand="0" w:noVBand="1"/>
      </w:tblPr>
      <w:tblGrid>
        <w:gridCol w:w="8590"/>
      </w:tblGrid>
      <w:tr w:rsidR="00EA339C" w:rsidRPr="00BB37E8" w14:paraId="7658AA8E" w14:textId="77777777" w:rsidTr="002D0023">
        <w:tc>
          <w:tcPr>
            <w:tcW w:w="8590" w:type="dxa"/>
            <w:tcBorders>
              <w:top w:val="double" w:sz="4" w:space="0" w:color="auto"/>
              <w:left w:val="nil"/>
              <w:bottom w:val="double" w:sz="4" w:space="0" w:color="auto"/>
              <w:right w:val="nil"/>
            </w:tcBorders>
            <w:shd w:val="clear" w:color="auto" w:fill="D9E2F3" w:themeFill="accent1" w:themeFillTint="33"/>
          </w:tcPr>
          <w:p w14:paraId="1E87B834" w14:textId="77777777" w:rsidR="00EA339C" w:rsidRPr="00BB37E8" w:rsidRDefault="00EA339C" w:rsidP="002D0023">
            <w:pPr>
              <w:widowControl w:val="0"/>
              <w:autoSpaceDE w:val="0"/>
              <w:autoSpaceDN w:val="0"/>
              <w:spacing w:after="0" w:line="264" w:lineRule="auto"/>
              <w:ind w:hanging="721"/>
              <w:jc w:val="center"/>
              <w:rPr>
                <w:rFonts w:ascii="Amasis MT Pro" w:eastAsia="Times New Roman" w:hAnsi="Amasis MT Pro" w:cs="Arial"/>
                <w:b/>
                <w:bCs/>
                <w:lang w:val="vi-VN" w:eastAsia="en-GB"/>
              </w:rPr>
            </w:pPr>
          </w:p>
          <w:p w14:paraId="57B25D69" w14:textId="77777777" w:rsidR="00EA339C" w:rsidRPr="00172CA7" w:rsidRDefault="00EA339C" w:rsidP="002D0023">
            <w:pPr>
              <w:widowControl w:val="0"/>
              <w:autoSpaceDE w:val="0"/>
              <w:autoSpaceDN w:val="0"/>
              <w:spacing w:after="0" w:line="264"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This document has been only prepared for general</w:t>
            </w:r>
            <w:r w:rsidRPr="00172CA7">
              <w:rPr>
                <w:rFonts w:ascii="Cambria" w:eastAsia="Times New Roman" w:hAnsi="Cambria"/>
                <w:lang w:val="vi"/>
              </w:rPr>
              <w:t xml:space="preserve"> </w:t>
            </w:r>
            <w:r w:rsidRPr="00172CA7">
              <w:rPr>
                <w:rFonts w:ascii="Cambria" w:eastAsia="Times New Roman" w:hAnsi="Cambria" w:cs="Arial"/>
                <w:lang w:val="vi"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70B659A9" w14:textId="77777777" w:rsidR="00EA339C" w:rsidRPr="00172CA7" w:rsidRDefault="00EA339C" w:rsidP="002D0023">
            <w:pPr>
              <w:widowControl w:val="0"/>
              <w:autoSpaceDE w:val="0"/>
              <w:autoSpaceDN w:val="0"/>
              <w:spacing w:after="0" w:line="264" w:lineRule="auto"/>
              <w:ind w:left="12" w:hanging="12"/>
              <w:jc w:val="both"/>
              <w:rPr>
                <w:rFonts w:ascii="Cambria" w:eastAsia="Times New Roman" w:hAnsi="Cambria" w:cs="Arial"/>
                <w:lang w:val="vi" w:eastAsia="en-GB"/>
              </w:rPr>
            </w:pPr>
          </w:p>
          <w:p w14:paraId="1E9AA467" w14:textId="77777777" w:rsidR="00EA339C" w:rsidRPr="00172CA7" w:rsidRDefault="00EA339C" w:rsidP="002D0023">
            <w:pPr>
              <w:widowControl w:val="0"/>
              <w:autoSpaceDE w:val="0"/>
              <w:autoSpaceDN w:val="0"/>
              <w:spacing w:after="0" w:line="264"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If you have or suspect that you may have a particular problem, you should contact us or your lawyer for specific advice on the matter.</w:t>
            </w:r>
          </w:p>
          <w:p w14:paraId="2DA1CE93" w14:textId="77777777" w:rsidR="00EA339C" w:rsidRPr="00172CA7" w:rsidRDefault="00EA339C" w:rsidP="002D0023">
            <w:pPr>
              <w:widowControl w:val="0"/>
              <w:autoSpaceDE w:val="0"/>
              <w:autoSpaceDN w:val="0"/>
              <w:spacing w:after="0" w:line="264" w:lineRule="auto"/>
              <w:ind w:hanging="721"/>
              <w:rPr>
                <w:rFonts w:ascii="Cambria" w:eastAsia="Times New Roman" w:hAnsi="Cambria" w:cs="Arial"/>
                <w:lang w:val="vi-VN" w:eastAsia="en-GB"/>
              </w:rPr>
            </w:pPr>
          </w:p>
          <w:p w14:paraId="337E97FF" w14:textId="77777777" w:rsidR="00EA339C" w:rsidRPr="00172CA7" w:rsidRDefault="00EA339C" w:rsidP="002D0023">
            <w:pPr>
              <w:widowControl w:val="0"/>
              <w:autoSpaceDE w:val="0"/>
              <w:autoSpaceDN w:val="0"/>
              <w:spacing w:after="0" w:line="264" w:lineRule="auto"/>
              <w:ind w:hanging="721"/>
              <w:jc w:val="center"/>
              <w:rPr>
                <w:rFonts w:ascii="Cambria" w:eastAsia="Times New Roman" w:hAnsi="Cambria" w:cs="Arial"/>
                <w:b/>
                <w:bCs/>
                <w:lang w:val="vi" w:eastAsia="en-GB"/>
              </w:rPr>
            </w:pPr>
            <w:r w:rsidRPr="00172CA7">
              <w:rPr>
                <w:rFonts w:ascii="Cambria" w:eastAsia="Times New Roman" w:hAnsi="Cambria" w:cs="Arial"/>
                <w:b/>
                <w:bCs/>
                <w:lang w:val="vi-VN" w:eastAsia="en-GB"/>
              </w:rPr>
              <w:t>ADK</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&amp;</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 xml:space="preserve">CO </w:t>
            </w:r>
            <w:r w:rsidRPr="00172CA7">
              <w:rPr>
                <w:rFonts w:ascii="Cambria" w:eastAsia="Times New Roman" w:hAnsi="Cambria" w:cs="Arial"/>
                <w:b/>
                <w:bCs/>
                <w:lang w:val="vi" w:eastAsia="en-GB"/>
              </w:rPr>
              <w:t>VIET NAM LAWYERS</w:t>
            </w:r>
          </w:p>
          <w:p w14:paraId="1A99ED20" w14:textId="77777777" w:rsidR="00EA339C" w:rsidRPr="00172CA7" w:rsidRDefault="00EA339C" w:rsidP="002D0023">
            <w:pPr>
              <w:widowControl w:val="0"/>
              <w:autoSpaceDE w:val="0"/>
              <w:autoSpaceDN w:val="0"/>
              <w:spacing w:after="0" w:line="264" w:lineRule="auto"/>
              <w:ind w:hanging="721"/>
              <w:jc w:val="center"/>
              <w:rPr>
                <w:rFonts w:ascii="Cambria" w:eastAsia="Times New Roman" w:hAnsi="Cambria" w:cs="Arial"/>
                <w:b/>
                <w:bCs/>
                <w:lang w:val="vi-VN" w:eastAsia="en-GB"/>
              </w:rPr>
            </w:pPr>
          </w:p>
          <w:p w14:paraId="1E2AB626" w14:textId="77777777" w:rsidR="00EA339C" w:rsidRPr="00172CA7" w:rsidRDefault="00EA339C" w:rsidP="002D0023">
            <w:pPr>
              <w:widowControl w:val="0"/>
              <w:autoSpaceDE w:val="0"/>
              <w:autoSpaceDN w:val="0"/>
              <w:spacing w:after="0" w:line="264" w:lineRule="auto"/>
              <w:rPr>
                <w:rFonts w:ascii="Cambria" w:eastAsia="Times New Roman" w:hAnsi="Cambria" w:cs="Arial"/>
                <w:lang w:val="vi-VN" w:eastAsia="en-GB"/>
              </w:rPr>
            </w:pPr>
            <w:r w:rsidRPr="00172CA7">
              <w:rPr>
                <w:rFonts w:ascii="Cambria" w:eastAsia="Times New Roman" w:hAnsi="Cambria" w:cs="Arial"/>
                <w:lang w:val="vi-VN" w:eastAsia="en-GB"/>
              </w:rPr>
              <w:t xml:space="preserve">Address: G-01 Fl. HBT Tower, 456-458 Hai Ba Trung Str., Tan Dinh Ward, District 1, HCMC, VN  </w:t>
            </w:r>
          </w:p>
          <w:p w14:paraId="679A9B41" w14:textId="77777777" w:rsidR="00EA339C" w:rsidRPr="00172CA7" w:rsidRDefault="00EA339C" w:rsidP="002D0023">
            <w:pPr>
              <w:widowControl w:val="0"/>
              <w:autoSpaceDE w:val="0"/>
              <w:autoSpaceDN w:val="0"/>
              <w:spacing w:after="0" w:line="264" w:lineRule="auto"/>
              <w:ind w:left="741" w:hanging="721"/>
              <w:rPr>
                <w:rFonts w:ascii="Cambria" w:eastAsia="Times New Roman" w:hAnsi="Cambria" w:cs="Arial"/>
                <w:lang w:val="vi-VN" w:eastAsia="en-GB"/>
              </w:rPr>
            </w:pPr>
            <w:r w:rsidRPr="00172CA7">
              <w:rPr>
                <w:rFonts w:ascii="Cambria" w:eastAsia="Times New Roman" w:hAnsi="Cambria" w:cs="Arial"/>
                <w:lang w:val="vi-VN" w:eastAsia="en-GB"/>
              </w:rPr>
              <w:t>Hotline: (+84) 28 66 79 79 66</w:t>
            </w:r>
          </w:p>
          <w:p w14:paraId="31430972" w14:textId="77777777" w:rsidR="00EA339C" w:rsidRPr="00172CA7" w:rsidRDefault="00EA339C" w:rsidP="002D0023">
            <w:pPr>
              <w:widowControl w:val="0"/>
              <w:autoSpaceDE w:val="0"/>
              <w:autoSpaceDN w:val="0"/>
              <w:spacing w:after="0" w:line="264" w:lineRule="auto"/>
              <w:ind w:left="1024" w:hanging="1024"/>
              <w:rPr>
                <w:rFonts w:ascii="Cambria" w:eastAsia="Times New Roman" w:hAnsi="Cambria" w:cs="Arial"/>
                <w:color w:val="0000FF"/>
                <w:u w:val="single"/>
                <w:lang w:val="vi-VN" w:eastAsia="en-GB"/>
              </w:rPr>
            </w:pPr>
            <w:r w:rsidRPr="00172CA7">
              <w:rPr>
                <w:rFonts w:ascii="Cambria" w:eastAsia="Times New Roman" w:hAnsi="Cambria" w:cs="Arial"/>
                <w:lang w:val="vi-VN" w:eastAsia="en-GB"/>
              </w:rPr>
              <w:t xml:space="preserve">Email: </w:t>
            </w:r>
            <w:hyperlink r:id="rId7" w:history="1">
              <w:r w:rsidRPr="00172CA7">
                <w:rPr>
                  <w:rFonts w:ascii="Cambria" w:eastAsia="Times New Roman" w:hAnsi="Cambria" w:cs="Arial"/>
                  <w:color w:val="0000FF"/>
                  <w:u w:val="single"/>
                  <w:lang w:val="vi-VN" w:eastAsia="en-GB"/>
                </w:rPr>
                <w:t>info@adk-lawyers.com</w:t>
              </w:r>
            </w:hyperlink>
          </w:p>
          <w:p w14:paraId="73CE256A" w14:textId="77777777" w:rsidR="00EA339C" w:rsidRPr="00172CA7" w:rsidRDefault="00EA339C" w:rsidP="002D0023">
            <w:pPr>
              <w:widowControl w:val="0"/>
              <w:autoSpaceDE w:val="0"/>
              <w:autoSpaceDN w:val="0"/>
              <w:spacing w:after="0" w:line="264" w:lineRule="auto"/>
              <w:rPr>
                <w:rFonts w:ascii="Cambria" w:eastAsia="Times New Roman" w:hAnsi="Cambria" w:cs="Arial"/>
                <w:lang w:val="vi" w:eastAsia="en-GB"/>
              </w:rPr>
            </w:pPr>
            <w:r w:rsidRPr="00172CA7">
              <w:rPr>
                <w:rFonts w:ascii="Cambria" w:eastAsia="Times New Roman" w:hAnsi="Cambria" w:cs="Arial"/>
                <w:lang w:val="vi" w:eastAsia="en-GB"/>
              </w:rPr>
              <w:t>W</w:t>
            </w:r>
            <w:r w:rsidRPr="00172CA7">
              <w:rPr>
                <w:rFonts w:ascii="Cambria" w:eastAsia="Times New Roman" w:hAnsi="Cambria" w:cs="Arial"/>
                <w:lang w:val="vi"/>
              </w:rPr>
              <w:t xml:space="preserve">ebsite: </w:t>
            </w:r>
            <w:hyperlink r:id="rId8" w:history="1">
              <w:r w:rsidRPr="00172CA7">
                <w:rPr>
                  <w:rFonts w:ascii="Cambria" w:eastAsia="Times New Roman" w:hAnsi="Cambria" w:cs="Arial"/>
                  <w:color w:val="0000FF"/>
                  <w:u w:val="single"/>
                  <w:lang w:val="vi"/>
                </w:rPr>
                <w:t>www.adk-lawyers.com</w:t>
              </w:r>
            </w:hyperlink>
            <w:r w:rsidRPr="00172CA7">
              <w:rPr>
                <w:rFonts w:ascii="Cambria" w:eastAsia="Times New Roman" w:hAnsi="Cambria" w:cs="Arial"/>
                <w:lang w:val="vi"/>
              </w:rPr>
              <w:t xml:space="preserve">  </w:t>
            </w:r>
          </w:p>
          <w:p w14:paraId="467E4CE4" w14:textId="77777777" w:rsidR="00EA339C" w:rsidRPr="00BB37E8" w:rsidRDefault="00EA339C" w:rsidP="002D0023">
            <w:pPr>
              <w:widowControl w:val="0"/>
              <w:autoSpaceDE w:val="0"/>
              <w:autoSpaceDN w:val="0"/>
              <w:spacing w:after="0" w:line="264" w:lineRule="auto"/>
              <w:ind w:hanging="721"/>
              <w:rPr>
                <w:rFonts w:ascii="Amasis MT Pro" w:eastAsia="Times New Roman" w:hAnsi="Amasis MT Pro" w:cs="Arial"/>
                <w:lang w:val="vi-VN" w:eastAsia="en-GB"/>
              </w:rPr>
            </w:pPr>
          </w:p>
        </w:tc>
      </w:tr>
    </w:tbl>
    <w:p w14:paraId="4B114B4E" w14:textId="77777777" w:rsidR="00646482" w:rsidRPr="002B2D13" w:rsidRDefault="00646482" w:rsidP="00D92E1B">
      <w:pPr>
        <w:spacing w:after="0" w:line="252" w:lineRule="auto"/>
        <w:contextualSpacing/>
      </w:pPr>
    </w:p>
    <w:sectPr w:rsidR="00646482" w:rsidRPr="002B2D13" w:rsidSect="001B18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87BF7" w14:textId="77777777" w:rsidR="003067F7" w:rsidRDefault="003067F7">
      <w:pPr>
        <w:spacing w:after="0" w:line="240" w:lineRule="auto"/>
      </w:pPr>
      <w:r>
        <w:separator/>
      </w:r>
    </w:p>
  </w:endnote>
  <w:endnote w:type="continuationSeparator" w:id="0">
    <w:p w14:paraId="0757569F" w14:textId="77777777" w:rsidR="003067F7" w:rsidRDefault="0030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00000001" w:usb1="4000205B" w:usb2="00000000" w:usb3="00000000" w:csb0="000000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53BD" w14:textId="77777777" w:rsidR="00FF5FD6" w:rsidRDefault="00FF5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FF4A" w14:textId="77777777" w:rsidR="00233EA9" w:rsidRPr="00591F1C" w:rsidRDefault="00233EA9"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5E94B8F6" w14:textId="77777777" w:rsidR="00233EA9" w:rsidRPr="00591F1C" w:rsidRDefault="003067F7"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233EA9" w:rsidRPr="00591F1C">
        <w:rPr>
          <w:rStyle w:val="Hyperlink"/>
          <w:rFonts w:ascii="Palatino Linotype" w:hAnsi="Palatino Linotype"/>
          <w:sz w:val="18"/>
          <w:szCs w:val="18"/>
        </w:rPr>
        <w:t>www.adk</w:t>
      </w:r>
      <w:r w:rsidR="00233EA9" w:rsidRPr="005C3A0B">
        <w:rPr>
          <w:rStyle w:val="Hyperlink"/>
          <w:rFonts w:ascii="Palatino Linotype" w:hAnsi="Palatino Linotype"/>
          <w:sz w:val="18"/>
          <w:szCs w:val="18"/>
        </w:rPr>
        <w:t>-lawyers</w:t>
      </w:r>
      <w:r w:rsidR="00233EA9" w:rsidRPr="00591F1C">
        <w:rPr>
          <w:rStyle w:val="Hyperlink"/>
          <w:rFonts w:ascii="Palatino Linotype" w:hAnsi="Palatino Linotype"/>
          <w:sz w:val="18"/>
          <w:szCs w:val="18"/>
        </w:rPr>
        <w:t>.com</w:t>
      </w:r>
    </w:hyperlink>
    <w:r w:rsidR="00233EA9" w:rsidRPr="00591F1C">
      <w:rPr>
        <w:rFonts w:ascii="Palatino Linotype" w:hAnsi="Palatino Linotype"/>
        <w:b/>
        <w:sz w:val="18"/>
        <w:szCs w:val="18"/>
      </w:rPr>
      <w:tab/>
    </w:r>
    <w:r w:rsidR="00233EA9" w:rsidRPr="00591F1C">
      <w:rPr>
        <w:rFonts w:ascii="Palatino Linotype" w:hAnsi="Palatino Linotype"/>
        <w:sz w:val="18"/>
        <w:szCs w:val="18"/>
      </w:rPr>
      <w:fldChar w:fldCharType="begin"/>
    </w:r>
    <w:r w:rsidR="00233EA9" w:rsidRPr="00591F1C">
      <w:rPr>
        <w:rFonts w:ascii="Palatino Linotype" w:hAnsi="Palatino Linotype"/>
        <w:sz w:val="18"/>
        <w:szCs w:val="18"/>
      </w:rPr>
      <w:instrText xml:space="preserve"> PAGE   \* MERGEFORMAT </w:instrText>
    </w:r>
    <w:r w:rsidR="00233EA9" w:rsidRPr="00591F1C">
      <w:rPr>
        <w:rFonts w:ascii="Palatino Linotype" w:hAnsi="Palatino Linotype"/>
        <w:sz w:val="18"/>
        <w:szCs w:val="18"/>
      </w:rPr>
      <w:fldChar w:fldCharType="separate"/>
    </w:r>
    <w:r w:rsidR="00021C4F">
      <w:rPr>
        <w:rFonts w:ascii="Palatino Linotype" w:hAnsi="Palatino Linotype"/>
        <w:noProof/>
        <w:sz w:val="18"/>
        <w:szCs w:val="18"/>
      </w:rPr>
      <w:t>4</w:t>
    </w:r>
    <w:r w:rsidR="00233EA9" w:rsidRPr="00591F1C">
      <w:rPr>
        <w:rFonts w:ascii="Palatino Linotype" w:hAnsi="Palatino Linotype"/>
        <w:sz w:val="18"/>
        <w:szCs w:val="18"/>
      </w:rPr>
      <w:fldChar w:fldCharType="end"/>
    </w:r>
    <w:r w:rsidR="00233EA9" w:rsidRPr="00591F1C">
      <w:rPr>
        <w:rFonts w:ascii="Palatino Linotype" w:hAnsi="Palatino Linotype"/>
        <w:sz w:val="18"/>
        <w:szCs w:val="18"/>
      </w:rPr>
      <w:t>/</w:t>
    </w:r>
    <w:r w:rsidR="00233EA9" w:rsidRPr="00591F1C">
      <w:rPr>
        <w:rFonts w:ascii="Palatino Linotype" w:hAnsi="Palatino Linotype"/>
        <w:sz w:val="18"/>
        <w:szCs w:val="18"/>
      </w:rPr>
      <w:fldChar w:fldCharType="begin"/>
    </w:r>
    <w:r w:rsidR="00233EA9" w:rsidRPr="00591F1C">
      <w:rPr>
        <w:rFonts w:ascii="Palatino Linotype" w:hAnsi="Palatino Linotype"/>
        <w:sz w:val="18"/>
        <w:szCs w:val="18"/>
      </w:rPr>
      <w:instrText xml:space="preserve"> NUMPAGES  \* Arabic  \* MERGEFORMAT </w:instrText>
    </w:r>
    <w:r w:rsidR="00233EA9" w:rsidRPr="00591F1C">
      <w:rPr>
        <w:rFonts w:ascii="Palatino Linotype" w:hAnsi="Palatino Linotype"/>
        <w:sz w:val="18"/>
        <w:szCs w:val="18"/>
      </w:rPr>
      <w:fldChar w:fldCharType="separate"/>
    </w:r>
    <w:r w:rsidR="00021C4F">
      <w:rPr>
        <w:rFonts w:ascii="Palatino Linotype" w:hAnsi="Palatino Linotype"/>
        <w:noProof/>
        <w:sz w:val="18"/>
        <w:szCs w:val="18"/>
      </w:rPr>
      <w:t>4</w:t>
    </w:r>
    <w:r w:rsidR="00233EA9" w:rsidRPr="00591F1C">
      <w:rPr>
        <w:rFonts w:ascii="Palatino Linotype" w:hAnsi="Palatino Linotype"/>
        <w:sz w:val="18"/>
        <w:szCs w:val="18"/>
      </w:rPr>
      <w:fldChar w:fldCharType="end"/>
    </w:r>
  </w:p>
  <w:p w14:paraId="602FF406" w14:textId="40372783" w:rsidR="00B375BC" w:rsidRDefault="003067F7" w:rsidP="001B18D8">
    <w:pPr>
      <w:pStyle w:val="Footer"/>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AB3D" w14:textId="77777777" w:rsidR="00FF5FD6" w:rsidRDefault="00FF5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0A424" w14:textId="77777777" w:rsidR="003067F7" w:rsidRDefault="003067F7">
      <w:pPr>
        <w:spacing w:after="0" w:line="240" w:lineRule="auto"/>
      </w:pPr>
      <w:r>
        <w:separator/>
      </w:r>
    </w:p>
  </w:footnote>
  <w:footnote w:type="continuationSeparator" w:id="0">
    <w:p w14:paraId="7BDD2144" w14:textId="77777777" w:rsidR="003067F7" w:rsidRDefault="00306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A421" w14:textId="77777777" w:rsidR="00FF5FD6" w:rsidRDefault="00FF5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ED13" w14:textId="77777777" w:rsidR="00B375BC" w:rsidRDefault="00F3424E" w:rsidP="00B375BC">
    <w:pPr>
      <w:pStyle w:val="Header"/>
      <w:ind w:left="-1440"/>
    </w:pPr>
    <w:r>
      <w:rPr>
        <w:noProof/>
      </w:rPr>
      <w:drawing>
        <wp:inline distT="0" distB="0" distL="0" distR="0" wp14:anchorId="74AFAA75" wp14:editId="122B38F4">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2F88" w14:textId="77777777" w:rsidR="00FF5FD6" w:rsidRDefault="00FF5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F2C"/>
      </v:shape>
    </w:pict>
  </w:numPicBullet>
  <w:abstractNum w:abstractNumId="0">
    <w:nsid w:val="10A9489D"/>
    <w:multiLevelType w:val="hybridMultilevel"/>
    <w:tmpl w:val="D28858CE"/>
    <w:lvl w:ilvl="0" w:tplc="D8CA4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0183D"/>
    <w:multiLevelType w:val="hybridMultilevel"/>
    <w:tmpl w:val="9334B10E"/>
    <w:lvl w:ilvl="0" w:tplc="0BBCA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0C6B2E"/>
    <w:multiLevelType w:val="hybridMultilevel"/>
    <w:tmpl w:val="FD7C3828"/>
    <w:lvl w:ilvl="0" w:tplc="865261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07F76"/>
    <w:multiLevelType w:val="hybridMultilevel"/>
    <w:tmpl w:val="0FCE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7527E"/>
    <w:multiLevelType w:val="hybridMultilevel"/>
    <w:tmpl w:val="D91EF72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90240E7"/>
    <w:multiLevelType w:val="hybridMultilevel"/>
    <w:tmpl w:val="658E68C8"/>
    <w:lvl w:ilvl="0" w:tplc="1BB8B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B58BA"/>
    <w:multiLevelType w:val="hybridMultilevel"/>
    <w:tmpl w:val="DCF2ECD4"/>
    <w:lvl w:ilvl="0" w:tplc="42FAD260">
      <w:start w:val="2"/>
      <w:numFmt w:val="decimal"/>
      <w:lvlText w:val="%1."/>
      <w:lvlJc w:val="left"/>
    </w:lvl>
    <w:lvl w:ilvl="1" w:tplc="2586EC18">
      <w:start w:val="1"/>
      <w:numFmt w:val="lowerRoman"/>
      <w:lvlText w:val="(%2)"/>
      <w:lvlJc w:val="left"/>
    </w:lvl>
    <w:lvl w:ilvl="2" w:tplc="075231CA">
      <w:numFmt w:val="decimal"/>
      <w:lvlText w:val=""/>
      <w:lvlJc w:val="left"/>
    </w:lvl>
    <w:lvl w:ilvl="3" w:tplc="A0D0C654">
      <w:numFmt w:val="decimal"/>
      <w:lvlText w:val=""/>
      <w:lvlJc w:val="left"/>
    </w:lvl>
    <w:lvl w:ilvl="4" w:tplc="349A6EF0">
      <w:numFmt w:val="decimal"/>
      <w:lvlText w:val=""/>
      <w:lvlJc w:val="left"/>
    </w:lvl>
    <w:lvl w:ilvl="5" w:tplc="63841F52">
      <w:numFmt w:val="decimal"/>
      <w:lvlText w:val=""/>
      <w:lvlJc w:val="left"/>
    </w:lvl>
    <w:lvl w:ilvl="6" w:tplc="E0000ECC">
      <w:numFmt w:val="decimal"/>
      <w:lvlText w:val=""/>
      <w:lvlJc w:val="left"/>
    </w:lvl>
    <w:lvl w:ilvl="7" w:tplc="1500FBD6">
      <w:numFmt w:val="decimal"/>
      <w:lvlText w:val=""/>
      <w:lvlJc w:val="left"/>
    </w:lvl>
    <w:lvl w:ilvl="8" w:tplc="072A4E6E">
      <w:numFmt w:val="decimal"/>
      <w:lvlText w:val=""/>
      <w:lvlJc w:val="left"/>
    </w:lvl>
  </w:abstractNum>
  <w:abstractNum w:abstractNumId="7">
    <w:nsid w:val="44F958A5"/>
    <w:multiLevelType w:val="hybridMultilevel"/>
    <w:tmpl w:val="0ABE997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5A8756B"/>
    <w:multiLevelType w:val="hybridMultilevel"/>
    <w:tmpl w:val="17DA6430"/>
    <w:lvl w:ilvl="0" w:tplc="60A61F0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E87CCD"/>
    <w:multiLevelType w:val="hybridMultilevel"/>
    <w:tmpl w:val="2E98042C"/>
    <w:lvl w:ilvl="0" w:tplc="56822ED6">
      <w:start w:val="1"/>
      <w:numFmt w:val="decimal"/>
      <w:lvlText w:val="%1."/>
      <w:lvlJc w:val="left"/>
    </w:lvl>
    <w:lvl w:ilvl="1" w:tplc="4EF6B71A">
      <w:start w:val="1"/>
      <w:numFmt w:val="lowerRoman"/>
      <w:lvlText w:val="(%2)"/>
      <w:lvlJc w:val="left"/>
    </w:lvl>
    <w:lvl w:ilvl="2" w:tplc="D84A3B64">
      <w:numFmt w:val="decimal"/>
      <w:lvlText w:val=""/>
      <w:lvlJc w:val="left"/>
    </w:lvl>
    <w:lvl w:ilvl="3" w:tplc="C3D8BA7A">
      <w:numFmt w:val="decimal"/>
      <w:lvlText w:val=""/>
      <w:lvlJc w:val="left"/>
    </w:lvl>
    <w:lvl w:ilvl="4" w:tplc="7654EF18">
      <w:numFmt w:val="decimal"/>
      <w:lvlText w:val=""/>
      <w:lvlJc w:val="left"/>
    </w:lvl>
    <w:lvl w:ilvl="5" w:tplc="1040CF92">
      <w:numFmt w:val="decimal"/>
      <w:lvlText w:val=""/>
      <w:lvlJc w:val="left"/>
    </w:lvl>
    <w:lvl w:ilvl="6" w:tplc="C040C780">
      <w:numFmt w:val="decimal"/>
      <w:lvlText w:val=""/>
      <w:lvlJc w:val="left"/>
    </w:lvl>
    <w:lvl w:ilvl="7" w:tplc="EF76455C">
      <w:numFmt w:val="decimal"/>
      <w:lvlText w:val=""/>
      <w:lvlJc w:val="left"/>
    </w:lvl>
    <w:lvl w:ilvl="8" w:tplc="5EE27696">
      <w:numFmt w:val="decimal"/>
      <w:lvlText w:val=""/>
      <w:lvlJc w:val="left"/>
    </w:lvl>
  </w:abstractNum>
  <w:abstractNum w:abstractNumId="10">
    <w:nsid w:val="5A4D7353"/>
    <w:multiLevelType w:val="hybridMultilevel"/>
    <w:tmpl w:val="F73C6F06"/>
    <w:lvl w:ilvl="0" w:tplc="25E658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0D612B"/>
    <w:multiLevelType w:val="hybridMultilevel"/>
    <w:tmpl w:val="9818735E"/>
    <w:lvl w:ilvl="0" w:tplc="E656365A">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A879BF"/>
    <w:multiLevelType w:val="hybridMultilevel"/>
    <w:tmpl w:val="7BA4E7C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FE2C1A"/>
    <w:multiLevelType w:val="hybridMultilevel"/>
    <w:tmpl w:val="E14C9FD6"/>
    <w:lvl w:ilvl="0" w:tplc="B302D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B7594C"/>
    <w:multiLevelType w:val="hybridMultilevel"/>
    <w:tmpl w:val="67B2839A"/>
    <w:lvl w:ilvl="0" w:tplc="7C86A9E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867498"/>
    <w:multiLevelType w:val="hybridMultilevel"/>
    <w:tmpl w:val="D818B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62D7E3C"/>
    <w:multiLevelType w:val="hybridMultilevel"/>
    <w:tmpl w:val="6D688656"/>
    <w:lvl w:ilvl="0" w:tplc="ED3231AE">
      <w:start w:val="1"/>
      <w:numFmt w:val="bullet"/>
      <w:lvlText w:val="-"/>
      <w:lvlJc w:val="left"/>
      <w:pPr>
        <w:ind w:left="1800" w:hanging="360"/>
      </w:pPr>
      <w:rPr>
        <w:rFonts w:ascii="Cambria" w:eastAsia="Cambria" w:hAnsi="Cambria"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8"/>
  </w:num>
  <w:num w:numId="5">
    <w:abstractNumId w:val="7"/>
  </w:num>
  <w:num w:numId="6">
    <w:abstractNumId w:val="4"/>
  </w:num>
  <w:num w:numId="7">
    <w:abstractNumId w:val="9"/>
  </w:num>
  <w:num w:numId="8">
    <w:abstractNumId w:val="6"/>
  </w:num>
  <w:num w:numId="9">
    <w:abstractNumId w:val="12"/>
  </w:num>
  <w:num w:numId="10">
    <w:abstractNumId w:val="0"/>
  </w:num>
  <w:num w:numId="11">
    <w:abstractNumId w:val="1"/>
  </w:num>
  <w:num w:numId="12">
    <w:abstractNumId w:val="11"/>
  </w:num>
  <w:num w:numId="13">
    <w:abstractNumId w:val="3"/>
  </w:num>
  <w:num w:numId="14">
    <w:abstractNumId w:val="10"/>
  </w:num>
  <w:num w:numId="15">
    <w:abstractNumId w:val="1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4E"/>
    <w:rsid w:val="00021C4F"/>
    <w:rsid w:val="000644F5"/>
    <w:rsid w:val="000D2FE1"/>
    <w:rsid w:val="000D6052"/>
    <w:rsid w:val="000E7AB4"/>
    <w:rsid w:val="00107D7B"/>
    <w:rsid w:val="00111176"/>
    <w:rsid w:val="001418F4"/>
    <w:rsid w:val="00145DF9"/>
    <w:rsid w:val="001564E6"/>
    <w:rsid w:val="00157F3A"/>
    <w:rsid w:val="00170446"/>
    <w:rsid w:val="00170F05"/>
    <w:rsid w:val="001918FA"/>
    <w:rsid w:val="00194991"/>
    <w:rsid w:val="001C0A37"/>
    <w:rsid w:val="001D2C81"/>
    <w:rsid w:val="002232F0"/>
    <w:rsid w:val="00233EA9"/>
    <w:rsid w:val="00283333"/>
    <w:rsid w:val="00286CCE"/>
    <w:rsid w:val="00297F9E"/>
    <w:rsid w:val="002B0EB2"/>
    <w:rsid w:val="002B2D13"/>
    <w:rsid w:val="002B39DD"/>
    <w:rsid w:val="002C401B"/>
    <w:rsid w:val="002D307A"/>
    <w:rsid w:val="002F04F1"/>
    <w:rsid w:val="003005A8"/>
    <w:rsid w:val="00304B29"/>
    <w:rsid w:val="003067F7"/>
    <w:rsid w:val="003141BA"/>
    <w:rsid w:val="00317DAB"/>
    <w:rsid w:val="003313AF"/>
    <w:rsid w:val="00351256"/>
    <w:rsid w:val="003605C2"/>
    <w:rsid w:val="00361558"/>
    <w:rsid w:val="003A53C8"/>
    <w:rsid w:val="003D769D"/>
    <w:rsid w:val="003E4D92"/>
    <w:rsid w:val="00422B8C"/>
    <w:rsid w:val="004567C9"/>
    <w:rsid w:val="0048584A"/>
    <w:rsid w:val="004C0FFC"/>
    <w:rsid w:val="004E6315"/>
    <w:rsid w:val="00515DEF"/>
    <w:rsid w:val="005563A1"/>
    <w:rsid w:val="00574EF2"/>
    <w:rsid w:val="005B3024"/>
    <w:rsid w:val="00646482"/>
    <w:rsid w:val="006946BE"/>
    <w:rsid w:val="00732A4F"/>
    <w:rsid w:val="00734A8E"/>
    <w:rsid w:val="00780906"/>
    <w:rsid w:val="007A5032"/>
    <w:rsid w:val="007F4A91"/>
    <w:rsid w:val="00835C20"/>
    <w:rsid w:val="008708E4"/>
    <w:rsid w:val="008838ED"/>
    <w:rsid w:val="008B7290"/>
    <w:rsid w:val="008E5D59"/>
    <w:rsid w:val="00907F6C"/>
    <w:rsid w:val="0092414F"/>
    <w:rsid w:val="009337F1"/>
    <w:rsid w:val="009352E2"/>
    <w:rsid w:val="00942FF6"/>
    <w:rsid w:val="00961254"/>
    <w:rsid w:val="00984D8C"/>
    <w:rsid w:val="00986A1A"/>
    <w:rsid w:val="009B3819"/>
    <w:rsid w:val="00A70BBB"/>
    <w:rsid w:val="00AB1CBB"/>
    <w:rsid w:val="00AE2DA4"/>
    <w:rsid w:val="00B21D2D"/>
    <w:rsid w:val="00B35AC5"/>
    <w:rsid w:val="00B56946"/>
    <w:rsid w:val="00B74FAE"/>
    <w:rsid w:val="00B87BD8"/>
    <w:rsid w:val="00BC26C2"/>
    <w:rsid w:val="00BC318A"/>
    <w:rsid w:val="00C03A2A"/>
    <w:rsid w:val="00C17526"/>
    <w:rsid w:val="00C32B98"/>
    <w:rsid w:val="00C62972"/>
    <w:rsid w:val="00C72FDA"/>
    <w:rsid w:val="00CA6D4C"/>
    <w:rsid w:val="00CC518F"/>
    <w:rsid w:val="00D018EE"/>
    <w:rsid w:val="00D05747"/>
    <w:rsid w:val="00D77369"/>
    <w:rsid w:val="00D92E1B"/>
    <w:rsid w:val="00DA2653"/>
    <w:rsid w:val="00DD535D"/>
    <w:rsid w:val="00DE5E9A"/>
    <w:rsid w:val="00E24556"/>
    <w:rsid w:val="00E25F7A"/>
    <w:rsid w:val="00E54CCE"/>
    <w:rsid w:val="00E75595"/>
    <w:rsid w:val="00E97B53"/>
    <w:rsid w:val="00EA0829"/>
    <w:rsid w:val="00EA339C"/>
    <w:rsid w:val="00ED56ED"/>
    <w:rsid w:val="00F17BB2"/>
    <w:rsid w:val="00F3424E"/>
    <w:rsid w:val="00F715E8"/>
    <w:rsid w:val="00F87F1E"/>
    <w:rsid w:val="00F92F81"/>
    <w:rsid w:val="00FF057F"/>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4B9D"/>
  <w15:chartTrackingRefBased/>
  <w15:docId w15:val="{CBFC05FB-729B-4187-9E6D-1CBDA188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4E"/>
  </w:style>
  <w:style w:type="paragraph" w:styleId="Footer">
    <w:name w:val="footer"/>
    <w:basedOn w:val="Normal"/>
    <w:link w:val="FooterChar"/>
    <w:uiPriority w:val="99"/>
    <w:unhideWhenUsed/>
    <w:rsid w:val="00F34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4E"/>
  </w:style>
  <w:style w:type="table" w:styleId="TableGrid">
    <w:name w:val="Table Grid"/>
    <w:basedOn w:val="TableNormal"/>
    <w:uiPriority w:val="59"/>
    <w:rsid w:val="00694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87BD8"/>
    <w:pPr>
      <w:spacing w:after="0" w:line="240" w:lineRule="auto"/>
      <w:ind w:left="720"/>
    </w:pPr>
  </w:style>
  <w:style w:type="character" w:customStyle="1" w:styleId="ListParagraphChar">
    <w:name w:val="List Paragraph Char"/>
    <w:link w:val="ListParagraph"/>
    <w:uiPriority w:val="34"/>
    <w:locked/>
    <w:rsid w:val="00574EF2"/>
  </w:style>
  <w:style w:type="character" w:styleId="Hyperlink">
    <w:name w:val="Hyperlink"/>
    <w:uiPriority w:val="99"/>
    <w:unhideWhenUsed/>
    <w:rsid w:val="00233EA9"/>
    <w:rPr>
      <w:color w:val="0000FF"/>
      <w:u w:val="single"/>
    </w:rPr>
  </w:style>
  <w:style w:type="paragraph" w:styleId="FootnoteText">
    <w:name w:val="footnote text"/>
    <w:basedOn w:val="Normal"/>
    <w:link w:val="FootnoteTextChar"/>
    <w:uiPriority w:val="99"/>
    <w:unhideWhenUsed/>
    <w:rsid w:val="0048584A"/>
    <w:pPr>
      <w:spacing w:after="0" w:line="240" w:lineRule="auto"/>
      <w:jc w:val="both"/>
    </w:pPr>
    <w:rPr>
      <w:rFonts w:ascii="Times New Roman" w:eastAsiaTheme="minorEastAsia" w:hAnsi="Times New Roman"/>
      <w:sz w:val="20"/>
      <w:szCs w:val="20"/>
      <w:lang w:val="vi-VN" w:eastAsia="zh-CN"/>
    </w:rPr>
  </w:style>
  <w:style w:type="character" w:customStyle="1" w:styleId="FootnoteTextChar">
    <w:name w:val="Footnote Text Char"/>
    <w:basedOn w:val="DefaultParagraphFont"/>
    <w:link w:val="FootnoteText"/>
    <w:uiPriority w:val="99"/>
    <w:rsid w:val="0048584A"/>
    <w:rPr>
      <w:rFonts w:ascii="Times New Roman" w:eastAsiaTheme="minorEastAsia" w:hAnsi="Times New Roman" w:cs="Times New Roman"/>
      <w:sz w:val="20"/>
      <w:szCs w:val="20"/>
      <w:lang w:val="vi-VN" w:eastAsia="zh-CN"/>
    </w:rPr>
  </w:style>
  <w:style w:type="character" w:styleId="FootnoteReference">
    <w:name w:val="footnote reference"/>
    <w:basedOn w:val="DefaultParagraphFont"/>
    <w:uiPriority w:val="99"/>
    <w:unhideWhenUsed/>
    <w:rsid w:val="00485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27910">
      <w:bodyDiv w:val="1"/>
      <w:marLeft w:val="0"/>
      <w:marRight w:val="0"/>
      <w:marTop w:val="0"/>
      <w:marBottom w:val="0"/>
      <w:divBdr>
        <w:top w:val="none" w:sz="0" w:space="0" w:color="auto"/>
        <w:left w:val="none" w:sz="0" w:space="0" w:color="auto"/>
        <w:bottom w:val="none" w:sz="0" w:space="0" w:color="auto"/>
        <w:right w:val="none" w:sz="0" w:space="0" w:color="auto"/>
      </w:divBdr>
    </w:div>
    <w:div w:id="883755303">
      <w:bodyDiv w:val="1"/>
      <w:marLeft w:val="0"/>
      <w:marRight w:val="0"/>
      <w:marTop w:val="0"/>
      <w:marBottom w:val="0"/>
      <w:divBdr>
        <w:top w:val="none" w:sz="0" w:space="0" w:color="auto"/>
        <w:left w:val="none" w:sz="0" w:space="0" w:color="auto"/>
        <w:bottom w:val="none" w:sz="0" w:space="0" w:color="auto"/>
        <w:right w:val="none" w:sz="0" w:space="0" w:color="auto"/>
      </w:divBdr>
    </w:div>
    <w:div w:id="1071542973">
      <w:bodyDiv w:val="1"/>
      <w:marLeft w:val="0"/>
      <w:marRight w:val="0"/>
      <w:marTop w:val="0"/>
      <w:marBottom w:val="0"/>
      <w:divBdr>
        <w:top w:val="none" w:sz="0" w:space="0" w:color="auto"/>
        <w:left w:val="none" w:sz="0" w:space="0" w:color="auto"/>
        <w:bottom w:val="none" w:sz="0" w:space="0" w:color="auto"/>
        <w:right w:val="none" w:sz="0" w:space="0" w:color="auto"/>
      </w:divBdr>
    </w:div>
    <w:div w:id="1286422408">
      <w:bodyDiv w:val="1"/>
      <w:marLeft w:val="0"/>
      <w:marRight w:val="0"/>
      <w:marTop w:val="0"/>
      <w:marBottom w:val="0"/>
      <w:divBdr>
        <w:top w:val="none" w:sz="0" w:space="0" w:color="auto"/>
        <w:left w:val="none" w:sz="0" w:space="0" w:color="auto"/>
        <w:bottom w:val="none" w:sz="0" w:space="0" w:color="auto"/>
        <w:right w:val="none" w:sz="0" w:space="0" w:color="auto"/>
      </w:divBdr>
      <w:divsChild>
        <w:div w:id="504829140">
          <w:marLeft w:val="0"/>
          <w:marRight w:val="0"/>
          <w:marTop w:val="0"/>
          <w:marBottom w:val="0"/>
          <w:divBdr>
            <w:top w:val="none" w:sz="0" w:space="0" w:color="auto"/>
            <w:left w:val="none" w:sz="0" w:space="0" w:color="auto"/>
            <w:bottom w:val="none" w:sz="0" w:space="0" w:color="auto"/>
            <w:right w:val="none" w:sz="0" w:space="0" w:color="auto"/>
          </w:divBdr>
          <w:divsChild>
            <w:div w:id="1012875920">
              <w:marLeft w:val="0"/>
              <w:marRight w:val="0"/>
              <w:marTop w:val="0"/>
              <w:marBottom w:val="0"/>
              <w:divBdr>
                <w:top w:val="none" w:sz="0" w:space="0" w:color="auto"/>
                <w:left w:val="none" w:sz="0" w:space="0" w:color="auto"/>
                <w:bottom w:val="none" w:sz="0" w:space="0" w:color="auto"/>
                <w:right w:val="none" w:sz="0" w:space="0" w:color="auto"/>
              </w:divBdr>
              <w:divsChild>
                <w:div w:id="1210997164">
                  <w:marLeft w:val="0"/>
                  <w:marRight w:val="0"/>
                  <w:marTop w:val="0"/>
                  <w:marBottom w:val="0"/>
                  <w:divBdr>
                    <w:top w:val="none" w:sz="0" w:space="0" w:color="auto"/>
                    <w:left w:val="none" w:sz="0" w:space="0" w:color="auto"/>
                    <w:bottom w:val="none" w:sz="0" w:space="0" w:color="auto"/>
                    <w:right w:val="none" w:sz="0" w:space="0" w:color="auto"/>
                  </w:divBdr>
                  <w:divsChild>
                    <w:div w:id="1399864763">
                      <w:marLeft w:val="0"/>
                      <w:marRight w:val="0"/>
                      <w:marTop w:val="0"/>
                      <w:marBottom w:val="0"/>
                      <w:divBdr>
                        <w:top w:val="none" w:sz="0" w:space="0" w:color="auto"/>
                        <w:left w:val="none" w:sz="0" w:space="0" w:color="auto"/>
                        <w:bottom w:val="none" w:sz="0" w:space="0" w:color="auto"/>
                        <w:right w:val="none" w:sz="0" w:space="0" w:color="auto"/>
                      </w:divBdr>
                      <w:divsChild>
                        <w:div w:id="226457644">
                          <w:marLeft w:val="0"/>
                          <w:marRight w:val="0"/>
                          <w:marTop w:val="0"/>
                          <w:marBottom w:val="0"/>
                          <w:divBdr>
                            <w:top w:val="none" w:sz="0" w:space="0" w:color="auto"/>
                            <w:left w:val="none" w:sz="0" w:space="0" w:color="auto"/>
                            <w:bottom w:val="none" w:sz="0" w:space="0" w:color="auto"/>
                            <w:right w:val="none" w:sz="0" w:space="0" w:color="auto"/>
                          </w:divBdr>
                          <w:divsChild>
                            <w:div w:id="1440875761">
                              <w:marLeft w:val="0"/>
                              <w:marRight w:val="0"/>
                              <w:marTop w:val="0"/>
                              <w:marBottom w:val="0"/>
                              <w:divBdr>
                                <w:top w:val="none" w:sz="0" w:space="0" w:color="auto"/>
                                <w:left w:val="none" w:sz="0" w:space="0" w:color="auto"/>
                                <w:bottom w:val="none" w:sz="0" w:space="0" w:color="auto"/>
                                <w:right w:val="none" w:sz="0" w:space="0" w:color="auto"/>
                              </w:divBdr>
                              <w:divsChild>
                                <w:div w:id="1295863812">
                                  <w:marLeft w:val="0"/>
                                  <w:marRight w:val="0"/>
                                  <w:marTop w:val="0"/>
                                  <w:marBottom w:val="0"/>
                                  <w:divBdr>
                                    <w:top w:val="none" w:sz="0" w:space="0" w:color="auto"/>
                                    <w:left w:val="none" w:sz="0" w:space="0" w:color="auto"/>
                                    <w:bottom w:val="none" w:sz="0" w:space="0" w:color="auto"/>
                                    <w:right w:val="none" w:sz="0" w:space="0" w:color="auto"/>
                                  </w:divBdr>
                                  <w:divsChild>
                                    <w:div w:id="1640190907">
                                      <w:marLeft w:val="0"/>
                                      <w:marRight w:val="0"/>
                                      <w:marTop w:val="0"/>
                                      <w:marBottom w:val="0"/>
                                      <w:divBdr>
                                        <w:top w:val="none" w:sz="0" w:space="0" w:color="auto"/>
                                        <w:left w:val="none" w:sz="0" w:space="0" w:color="auto"/>
                                        <w:bottom w:val="none" w:sz="0" w:space="0" w:color="auto"/>
                                        <w:right w:val="none" w:sz="0" w:space="0" w:color="auto"/>
                                      </w:divBdr>
                                      <w:divsChild>
                                        <w:div w:id="821316255">
                                          <w:marLeft w:val="0"/>
                                          <w:marRight w:val="0"/>
                                          <w:marTop w:val="0"/>
                                          <w:marBottom w:val="0"/>
                                          <w:divBdr>
                                            <w:top w:val="none" w:sz="0" w:space="0" w:color="auto"/>
                                            <w:left w:val="none" w:sz="0" w:space="0" w:color="auto"/>
                                            <w:bottom w:val="none" w:sz="0" w:space="0" w:color="auto"/>
                                            <w:right w:val="none" w:sz="0" w:space="0" w:color="auto"/>
                                          </w:divBdr>
                                          <w:divsChild>
                                            <w:div w:id="1852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8768">
                              <w:marLeft w:val="0"/>
                              <w:marRight w:val="0"/>
                              <w:marTop w:val="0"/>
                              <w:marBottom w:val="0"/>
                              <w:divBdr>
                                <w:top w:val="none" w:sz="0" w:space="0" w:color="auto"/>
                                <w:left w:val="none" w:sz="0" w:space="0" w:color="auto"/>
                                <w:bottom w:val="none" w:sz="0" w:space="0" w:color="auto"/>
                                <w:right w:val="none" w:sz="0" w:space="0" w:color="auto"/>
                              </w:divBdr>
                              <w:divsChild>
                                <w:div w:id="1009790428">
                                  <w:marLeft w:val="30"/>
                                  <w:marRight w:val="30"/>
                                  <w:marTop w:val="30"/>
                                  <w:marBottom w:val="30"/>
                                  <w:divBdr>
                                    <w:top w:val="none" w:sz="0" w:space="0" w:color="auto"/>
                                    <w:left w:val="none" w:sz="0" w:space="0" w:color="auto"/>
                                    <w:bottom w:val="none" w:sz="0" w:space="0" w:color="auto"/>
                                    <w:right w:val="none" w:sz="0" w:space="0" w:color="auto"/>
                                  </w:divBdr>
                                  <w:divsChild>
                                    <w:div w:id="37244248">
                                      <w:marLeft w:val="0"/>
                                      <w:marRight w:val="0"/>
                                      <w:marTop w:val="0"/>
                                      <w:marBottom w:val="0"/>
                                      <w:divBdr>
                                        <w:top w:val="none" w:sz="0" w:space="0" w:color="auto"/>
                                        <w:left w:val="none" w:sz="0" w:space="0" w:color="auto"/>
                                        <w:bottom w:val="none" w:sz="0" w:space="0" w:color="auto"/>
                                        <w:right w:val="none" w:sz="0" w:space="0" w:color="auto"/>
                                      </w:divBdr>
                                      <w:divsChild>
                                        <w:div w:id="288904011">
                                          <w:marLeft w:val="0"/>
                                          <w:marRight w:val="0"/>
                                          <w:marTop w:val="0"/>
                                          <w:marBottom w:val="0"/>
                                          <w:divBdr>
                                            <w:top w:val="none" w:sz="0" w:space="0" w:color="auto"/>
                                            <w:left w:val="none" w:sz="0" w:space="0" w:color="auto"/>
                                            <w:bottom w:val="none" w:sz="0" w:space="0" w:color="auto"/>
                                            <w:right w:val="none" w:sz="0" w:space="0" w:color="auto"/>
                                          </w:divBdr>
                                          <w:divsChild>
                                            <w:div w:id="1424642821">
                                              <w:marLeft w:val="0"/>
                                              <w:marRight w:val="0"/>
                                              <w:marTop w:val="0"/>
                                              <w:marBottom w:val="0"/>
                                              <w:divBdr>
                                                <w:top w:val="none" w:sz="0" w:space="0" w:color="auto"/>
                                                <w:left w:val="none" w:sz="0" w:space="0" w:color="auto"/>
                                                <w:bottom w:val="none" w:sz="0" w:space="0" w:color="auto"/>
                                                <w:right w:val="none" w:sz="0" w:space="0" w:color="auto"/>
                                              </w:divBdr>
                                              <w:divsChild>
                                                <w:div w:id="6579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73823">
          <w:marLeft w:val="0"/>
          <w:marRight w:val="0"/>
          <w:marTop w:val="0"/>
          <w:marBottom w:val="0"/>
          <w:divBdr>
            <w:top w:val="none" w:sz="0" w:space="0" w:color="auto"/>
            <w:left w:val="none" w:sz="0" w:space="0" w:color="auto"/>
            <w:bottom w:val="none" w:sz="0" w:space="0" w:color="auto"/>
            <w:right w:val="none" w:sz="0" w:space="0" w:color="auto"/>
          </w:divBdr>
          <w:divsChild>
            <w:div w:id="983046291">
              <w:marLeft w:val="0"/>
              <w:marRight w:val="0"/>
              <w:marTop w:val="0"/>
              <w:marBottom w:val="0"/>
              <w:divBdr>
                <w:top w:val="none" w:sz="0" w:space="0" w:color="auto"/>
                <w:left w:val="none" w:sz="0" w:space="0" w:color="auto"/>
                <w:bottom w:val="none" w:sz="0" w:space="0" w:color="auto"/>
                <w:right w:val="none" w:sz="0" w:space="0" w:color="auto"/>
              </w:divBdr>
              <w:divsChild>
                <w:div w:id="94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8826">
          <w:marLeft w:val="0"/>
          <w:marRight w:val="0"/>
          <w:marTop w:val="100"/>
          <w:marBottom w:val="0"/>
          <w:divBdr>
            <w:top w:val="none" w:sz="0" w:space="0" w:color="auto"/>
            <w:left w:val="none" w:sz="0" w:space="0" w:color="auto"/>
            <w:bottom w:val="none" w:sz="0" w:space="0" w:color="auto"/>
            <w:right w:val="none" w:sz="0" w:space="0" w:color="auto"/>
          </w:divBdr>
          <w:divsChild>
            <w:div w:id="749809047">
              <w:marLeft w:val="0"/>
              <w:marRight w:val="0"/>
              <w:marTop w:val="0"/>
              <w:marBottom w:val="0"/>
              <w:divBdr>
                <w:top w:val="none" w:sz="0" w:space="0" w:color="auto"/>
                <w:left w:val="none" w:sz="0" w:space="0" w:color="auto"/>
                <w:bottom w:val="none" w:sz="0" w:space="0" w:color="auto"/>
                <w:right w:val="none" w:sz="0" w:space="0" w:color="auto"/>
              </w:divBdr>
              <w:divsChild>
                <w:div w:id="1272738104">
                  <w:marLeft w:val="0"/>
                  <w:marRight w:val="0"/>
                  <w:marTop w:val="0"/>
                  <w:marBottom w:val="0"/>
                  <w:divBdr>
                    <w:top w:val="none" w:sz="0" w:space="0" w:color="auto"/>
                    <w:left w:val="none" w:sz="0" w:space="0" w:color="auto"/>
                    <w:bottom w:val="none" w:sz="0" w:space="0" w:color="auto"/>
                    <w:right w:val="none" w:sz="0" w:space="0" w:color="auto"/>
                  </w:divBdr>
                  <w:divsChild>
                    <w:div w:id="1130591048">
                      <w:marLeft w:val="0"/>
                      <w:marRight w:val="0"/>
                      <w:marTop w:val="0"/>
                      <w:marBottom w:val="0"/>
                      <w:divBdr>
                        <w:top w:val="none" w:sz="0" w:space="0" w:color="auto"/>
                        <w:left w:val="none" w:sz="0" w:space="0" w:color="auto"/>
                        <w:bottom w:val="none" w:sz="0" w:space="0" w:color="auto"/>
                        <w:right w:val="none" w:sz="0" w:space="0" w:color="auto"/>
                      </w:divBdr>
                      <w:divsChild>
                        <w:div w:id="12732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1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Windows User</cp:lastModifiedBy>
  <cp:revision>77</cp:revision>
  <dcterms:created xsi:type="dcterms:W3CDTF">2021-05-21T01:59:00Z</dcterms:created>
  <dcterms:modified xsi:type="dcterms:W3CDTF">2021-08-17T14:51:00Z</dcterms:modified>
</cp:coreProperties>
</file>