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884FF" w14:textId="77777777" w:rsidR="006D0A93" w:rsidRPr="00BB37E8" w:rsidRDefault="006D0A93" w:rsidP="00CE6AC8">
      <w:pPr>
        <w:spacing w:after="0" w:line="264" w:lineRule="auto"/>
        <w:jc w:val="right"/>
        <w:rPr>
          <w:rFonts w:ascii="Cambria" w:hAnsi="Cambria"/>
          <w:b/>
          <w:bCs/>
        </w:rPr>
      </w:pPr>
      <w:r w:rsidRPr="00BB37E8">
        <w:rPr>
          <w:rFonts w:ascii="Cambria" w:hAnsi="Cambria"/>
          <w:b/>
          <w:bCs/>
        </w:rPr>
        <w:t>LEGAL UPDATES</w:t>
      </w:r>
    </w:p>
    <w:p w14:paraId="3B72D0C7" w14:textId="77777777" w:rsidR="006D0A93" w:rsidRPr="00BB37E8" w:rsidRDefault="006D0A93" w:rsidP="00CE6AC8">
      <w:pPr>
        <w:spacing w:after="0" w:line="264" w:lineRule="auto"/>
        <w:jc w:val="right"/>
        <w:rPr>
          <w:rFonts w:ascii="Cambria" w:hAnsi="Cambria"/>
        </w:rPr>
      </w:pPr>
      <w:r w:rsidRPr="00BB37E8">
        <w:rPr>
          <w:rFonts w:ascii="Cambria" w:hAnsi="Cambria"/>
        </w:rPr>
        <w:t>August 2021</w:t>
      </w:r>
    </w:p>
    <w:p w14:paraId="3EC0273A" w14:textId="77777777" w:rsidR="006D0A93" w:rsidRPr="00BB37E8" w:rsidRDefault="006D0A93" w:rsidP="00CE6AC8">
      <w:pPr>
        <w:spacing w:after="0" w:line="264" w:lineRule="auto"/>
        <w:jc w:val="both"/>
        <w:rPr>
          <w:rFonts w:ascii="Cambria" w:hAnsi="Cambria"/>
        </w:rPr>
      </w:pPr>
    </w:p>
    <w:p w14:paraId="6CADBA1A" w14:textId="4EC38FD7" w:rsidR="006D0A93" w:rsidRDefault="006D0A93" w:rsidP="00CE6AC8">
      <w:pPr>
        <w:spacing w:after="0" w:line="264" w:lineRule="auto"/>
        <w:jc w:val="both"/>
        <w:rPr>
          <w:rFonts w:ascii="Cambria" w:hAnsi="Cambria"/>
          <w:b/>
          <w:bCs/>
        </w:rPr>
      </w:pPr>
      <w:r w:rsidRPr="00BB37E8">
        <w:rPr>
          <w:rFonts w:ascii="Cambria" w:hAnsi="Cambria"/>
          <w:b/>
          <w:bCs/>
        </w:rPr>
        <w:t>Dear Valued Clients and Partners,</w:t>
      </w:r>
    </w:p>
    <w:p w14:paraId="3F721C3F" w14:textId="77777777" w:rsidR="006D0A93" w:rsidRPr="00BB37E8" w:rsidRDefault="006D0A93" w:rsidP="00CE6AC8">
      <w:pPr>
        <w:spacing w:after="0" w:line="264" w:lineRule="auto"/>
        <w:jc w:val="both"/>
        <w:rPr>
          <w:rFonts w:ascii="Cambria" w:hAnsi="Cambria"/>
          <w:b/>
          <w:bCs/>
        </w:rPr>
      </w:pPr>
    </w:p>
    <w:p w14:paraId="5FC97613" w14:textId="4EBBC0EB" w:rsidR="006D0A93" w:rsidRDefault="006D0A93" w:rsidP="00CE6AC8">
      <w:pPr>
        <w:spacing w:after="0" w:line="264" w:lineRule="auto"/>
        <w:jc w:val="both"/>
        <w:rPr>
          <w:rFonts w:ascii="Cambria" w:hAnsi="Cambria"/>
        </w:rPr>
      </w:pPr>
      <w:r w:rsidRPr="00BB37E8">
        <w:rPr>
          <w:rFonts w:ascii="Cambria" w:hAnsi="Cambria"/>
        </w:rPr>
        <w:t xml:space="preserve">ADK </w:t>
      </w:r>
      <w:r>
        <w:rPr>
          <w:rFonts w:ascii="Cambria" w:hAnsi="Cambria"/>
        </w:rPr>
        <w:t>Lawyers</w:t>
      </w:r>
      <w:r w:rsidRPr="00BB37E8">
        <w:rPr>
          <w:rFonts w:ascii="Cambria" w:hAnsi="Cambria"/>
        </w:rPr>
        <w:t xml:space="preserve"> would like to introduce to you the Legal Updates, </w:t>
      </w:r>
      <w:proofErr w:type="spellStart"/>
      <w:r w:rsidRPr="00BB37E8">
        <w:rPr>
          <w:rFonts w:ascii="Cambria" w:hAnsi="Cambria"/>
        </w:rPr>
        <w:t>Vol</w:t>
      </w:r>
      <w:proofErr w:type="spellEnd"/>
      <w:r w:rsidRPr="00BB37E8">
        <w:rPr>
          <w:rFonts w:ascii="Cambria" w:hAnsi="Cambria"/>
        </w:rPr>
        <w:t xml:space="preserve"> 12 August 2021 with new legal provisions, which have notable contents as follows:</w:t>
      </w:r>
    </w:p>
    <w:p w14:paraId="13E4CF0A" w14:textId="4BE77A0A" w:rsidR="006D0A93" w:rsidRDefault="006D0A93" w:rsidP="00CE6AC8">
      <w:pPr>
        <w:spacing w:after="0" w:line="264" w:lineRule="auto"/>
        <w:jc w:val="both"/>
        <w:rPr>
          <w:rFonts w:ascii="Cambria" w:hAnsi="Cambria"/>
        </w:rPr>
      </w:pPr>
    </w:p>
    <w:p w14:paraId="4CBD8AB6" w14:textId="67578A5E" w:rsidR="003B5799" w:rsidRDefault="003B5799" w:rsidP="00CE6AC8">
      <w:pPr>
        <w:pStyle w:val="ListParagraph"/>
        <w:numPr>
          <w:ilvl w:val="0"/>
          <w:numId w:val="1"/>
        </w:numPr>
        <w:spacing w:after="0" w:line="264" w:lineRule="auto"/>
        <w:ind w:hanging="720"/>
        <w:jc w:val="both"/>
        <w:rPr>
          <w:rFonts w:ascii="Cambria" w:hAnsi="Cambria"/>
          <w:b/>
          <w:bCs/>
        </w:rPr>
      </w:pPr>
      <w:r w:rsidRPr="003B5799">
        <w:rPr>
          <w:rFonts w:ascii="Cambria" w:hAnsi="Cambria"/>
          <w:b/>
          <w:bCs/>
        </w:rPr>
        <w:t>Principles of financial handling and enterprise valuation when converting State-owned enterprises and one-member limited liability companies with 100% charter capital invested by State-owned enterprises into joint-stock companies</w:t>
      </w:r>
    </w:p>
    <w:p w14:paraId="634D0030" w14:textId="42CA65ED" w:rsidR="006D0A93" w:rsidRDefault="006D0A93" w:rsidP="00CE6AC8">
      <w:pPr>
        <w:spacing w:after="0" w:line="264" w:lineRule="auto"/>
        <w:jc w:val="both"/>
        <w:rPr>
          <w:rFonts w:ascii="Cambria" w:hAnsi="Cambria"/>
          <w:b/>
          <w:bCs/>
        </w:rPr>
      </w:pPr>
    </w:p>
    <w:p w14:paraId="10AEE7BA" w14:textId="05BEC76C" w:rsidR="00A552EF" w:rsidRDefault="006D0A93" w:rsidP="00CE6AC8">
      <w:pPr>
        <w:pStyle w:val="ListParagraph"/>
        <w:spacing w:after="0" w:line="264" w:lineRule="auto"/>
        <w:jc w:val="both"/>
        <w:rPr>
          <w:rFonts w:ascii="Cambria" w:hAnsi="Cambria"/>
          <w:b/>
          <w:bCs/>
        </w:rPr>
      </w:pPr>
      <w:r>
        <w:rPr>
          <w:rFonts w:ascii="Cambria" w:hAnsi="Cambria"/>
        </w:rPr>
        <w:t>On June 23, 2021</w:t>
      </w:r>
      <w:r w:rsidRPr="00BB37E8">
        <w:rPr>
          <w:rFonts w:ascii="Cambria" w:hAnsi="Cambria"/>
        </w:rPr>
        <w:t>, the Ministry of Finance has issued Circular 46/2021/TT-BTC, officially taking effect on August 7, 2021</w:t>
      </w:r>
      <w:r w:rsidR="00CF7541">
        <w:rPr>
          <w:rFonts w:ascii="Cambria" w:hAnsi="Cambria"/>
        </w:rPr>
        <w:t xml:space="preserve">, </w:t>
      </w:r>
      <w:r w:rsidR="00CF7541" w:rsidRPr="00CF7541">
        <w:rPr>
          <w:rFonts w:ascii="Cambria" w:hAnsi="Cambria"/>
        </w:rPr>
        <w:t>on guiding the contents of financial handling and enterprise valuation</w:t>
      </w:r>
      <w:r w:rsidR="00A552EF">
        <w:rPr>
          <w:rFonts w:ascii="Cambria" w:hAnsi="Cambria"/>
        </w:rPr>
        <w:t xml:space="preserve"> </w:t>
      </w:r>
      <w:r w:rsidR="00A552EF" w:rsidRPr="00CE6AC8">
        <w:rPr>
          <w:rFonts w:ascii="Cambria" w:hAnsi="Cambria"/>
        </w:rPr>
        <w:t>when converting State-owned enterprises and one-member limited liability companies with 100% charter capital invested by State-owned enterprises into joint-stock companies</w:t>
      </w:r>
      <w:r w:rsidR="00927963">
        <w:rPr>
          <w:rFonts w:ascii="Cambria" w:hAnsi="Cambria"/>
        </w:rPr>
        <w:t>.</w:t>
      </w:r>
    </w:p>
    <w:p w14:paraId="0E07C287" w14:textId="77777777" w:rsidR="008B60E9" w:rsidRDefault="008B60E9" w:rsidP="00CE6AC8">
      <w:pPr>
        <w:spacing w:after="0" w:line="264" w:lineRule="auto"/>
        <w:ind w:left="720"/>
        <w:jc w:val="both"/>
        <w:rPr>
          <w:rFonts w:ascii="Cambria" w:hAnsi="Cambria"/>
        </w:rPr>
      </w:pPr>
    </w:p>
    <w:p w14:paraId="3254B012" w14:textId="77777777" w:rsidR="008B60E9" w:rsidRDefault="008B60E9" w:rsidP="00CE6AC8">
      <w:pPr>
        <w:spacing w:after="0" w:line="264" w:lineRule="auto"/>
        <w:ind w:left="720"/>
        <w:jc w:val="both"/>
        <w:rPr>
          <w:rFonts w:ascii="Cambria" w:hAnsi="Cambria"/>
        </w:rPr>
      </w:pPr>
      <w:r w:rsidRPr="008B60E9">
        <w:rPr>
          <w:rFonts w:ascii="Cambria" w:hAnsi="Cambria"/>
        </w:rPr>
        <w:t xml:space="preserve">According to this Circular, there are a number of financial handling principles that need to be followed when carrying out </w:t>
      </w:r>
      <w:proofErr w:type="spellStart"/>
      <w:r w:rsidRPr="008B60E9">
        <w:rPr>
          <w:rFonts w:ascii="Cambria" w:hAnsi="Cambria"/>
        </w:rPr>
        <w:t>equitization</w:t>
      </w:r>
      <w:proofErr w:type="spellEnd"/>
      <w:r w:rsidRPr="008B60E9">
        <w:rPr>
          <w:rFonts w:ascii="Cambria" w:hAnsi="Cambria"/>
        </w:rPr>
        <w:t>, including:</w:t>
      </w:r>
    </w:p>
    <w:p w14:paraId="7C50BD76" w14:textId="5B090AC0" w:rsidR="008B60E9" w:rsidRDefault="008B60E9" w:rsidP="00CE6AC8">
      <w:pPr>
        <w:spacing w:after="0" w:line="264" w:lineRule="auto"/>
        <w:ind w:left="720"/>
        <w:jc w:val="both"/>
        <w:rPr>
          <w:rFonts w:ascii="Cambria" w:hAnsi="Cambria"/>
        </w:rPr>
      </w:pPr>
    </w:p>
    <w:p w14:paraId="04EE3F58" w14:textId="07088D21" w:rsidR="00902243" w:rsidRPr="00CE6AC8" w:rsidRDefault="00902243" w:rsidP="00CE6AC8">
      <w:pPr>
        <w:pStyle w:val="ListParagraph"/>
        <w:numPr>
          <w:ilvl w:val="0"/>
          <w:numId w:val="12"/>
        </w:numPr>
        <w:spacing w:after="0" w:line="264" w:lineRule="auto"/>
        <w:ind w:left="1440" w:hanging="720"/>
        <w:jc w:val="both"/>
        <w:rPr>
          <w:rFonts w:ascii="Cambria" w:hAnsi="Cambria"/>
        </w:rPr>
      </w:pPr>
      <w:r w:rsidRPr="00902243">
        <w:rPr>
          <w:rFonts w:ascii="Cambria" w:hAnsi="Cambria"/>
        </w:rPr>
        <w:t xml:space="preserve">Upon receiving the decision on </w:t>
      </w:r>
      <w:proofErr w:type="spellStart"/>
      <w:r w:rsidRPr="00902243">
        <w:rPr>
          <w:rFonts w:ascii="Cambria" w:hAnsi="Cambria"/>
        </w:rPr>
        <w:t>equitization</w:t>
      </w:r>
      <w:proofErr w:type="spellEnd"/>
      <w:r w:rsidRPr="00902243">
        <w:rPr>
          <w:rFonts w:ascii="Cambria" w:hAnsi="Cambria"/>
        </w:rPr>
        <w:t xml:space="preserve"> from the competent authority,</w:t>
      </w:r>
      <w:r w:rsidR="00911244">
        <w:rPr>
          <w:rFonts w:ascii="Cambria" w:hAnsi="Cambria"/>
        </w:rPr>
        <w:t xml:space="preserve"> e</w:t>
      </w:r>
      <w:r w:rsidR="00911244" w:rsidRPr="00911244">
        <w:rPr>
          <w:rFonts w:ascii="Cambria" w:hAnsi="Cambria"/>
        </w:rPr>
        <w:t>nterprises are responsible for organizing the inventory, classification of assets, capital sources and funds the enterprise is managing, using, comparing and certifying debts according to the provisio</w:t>
      </w:r>
      <w:r w:rsidR="000E2995">
        <w:rPr>
          <w:rFonts w:ascii="Cambria" w:hAnsi="Cambria"/>
        </w:rPr>
        <w:t>ns of Decree No. 126/2017/ND-CP</w:t>
      </w:r>
      <w:bookmarkStart w:id="0" w:name="_GoBack"/>
      <w:bookmarkEnd w:id="0"/>
      <w:r w:rsidR="00911244" w:rsidRPr="00911244">
        <w:rPr>
          <w:rFonts w:ascii="Cambria" w:hAnsi="Cambria"/>
        </w:rPr>
        <w:t xml:space="preserve">, Decree No. 140/2020/ND-CP and instructions in this Circular as the basis for determining the actual value of enterprises for </w:t>
      </w:r>
      <w:proofErr w:type="spellStart"/>
      <w:r w:rsidR="00911244" w:rsidRPr="00911244">
        <w:rPr>
          <w:rFonts w:ascii="Cambria" w:hAnsi="Cambria"/>
        </w:rPr>
        <w:t>equitization</w:t>
      </w:r>
      <w:proofErr w:type="spellEnd"/>
      <w:r w:rsidR="00911244" w:rsidRPr="00911244">
        <w:rPr>
          <w:rFonts w:ascii="Cambria" w:hAnsi="Cambria"/>
        </w:rPr>
        <w:t>.</w:t>
      </w:r>
    </w:p>
    <w:p w14:paraId="7F678FFB" w14:textId="2DA28996" w:rsidR="006D0A93" w:rsidRDefault="006D0A93" w:rsidP="00CE6AC8">
      <w:pPr>
        <w:spacing w:after="0" w:line="264" w:lineRule="auto"/>
        <w:ind w:left="720"/>
        <w:jc w:val="both"/>
        <w:rPr>
          <w:rFonts w:ascii="Cambria" w:hAnsi="Cambria"/>
        </w:rPr>
      </w:pPr>
    </w:p>
    <w:p w14:paraId="24339CB4" w14:textId="66152ADF" w:rsidR="006D0A93" w:rsidRDefault="005115A5" w:rsidP="00CE6AC8">
      <w:pPr>
        <w:pStyle w:val="ListParagraph"/>
        <w:numPr>
          <w:ilvl w:val="0"/>
          <w:numId w:val="12"/>
        </w:numPr>
        <w:spacing w:after="0" w:line="264" w:lineRule="auto"/>
        <w:ind w:left="1440" w:hanging="720"/>
        <w:jc w:val="both"/>
        <w:rPr>
          <w:rFonts w:ascii="Cambria" w:hAnsi="Cambria"/>
        </w:rPr>
      </w:pPr>
      <w:r w:rsidRPr="005115A5">
        <w:rPr>
          <w:rFonts w:ascii="Cambria" w:hAnsi="Cambria"/>
        </w:rPr>
        <w:t>For the land area that the enterprise is not allowed to continue to use according to the real estate rearrangement and disposal plan, but in fact the enterprise is still monitoring and using it and the competent authorities have not yet had a plan to collect the land</w:t>
      </w:r>
      <w:r>
        <w:rPr>
          <w:rFonts w:ascii="Cambria" w:hAnsi="Cambria"/>
        </w:rPr>
        <w:t xml:space="preserve">, </w:t>
      </w:r>
      <w:r w:rsidRPr="005115A5">
        <w:rPr>
          <w:rFonts w:ascii="Cambria" w:hAnsi="Cambria"/>
        </w:rPr>
        <w:t>equitized enterprises must have reports and explanations to serve as a basis for handing over to competent authorities when the enterprise officially changes to operate under the joint stock company model.</w:t>
      </w:r>
    </w:p>
    <w:p w14:paraId="4851D3BA" w14:textId="77777777" w:rsidR="00D70A7D" w:rsidRPr="00CE6AC8" w:rsidRDefault="00D70A7D" w:rsidP="00CE6AC8">
      <w:pPr>
        <w:pStyle w:val="ListParagraph"/>
        <w:spacing w:after="0" w:line="264" w:lineRule="auto"/>
        <w:rPr>
          <w:rFonts w:ascii="Cambria" w:hAnsi="Cambria"/>
        </w:rPr>
      </w:pPr>
    </w:p>
    <w:p w14:paraId="551AA3FF" w14:textId="3C06C68B" w:rsidR="00D70A7D" w:rsidRDefault="00D70A7D" w:rsidP="00CE6AC8">
      <w:pPr>
        <w:pStyle w:val="ListParagraph"/>
        <w:numPr>
          <w:ilvl w:val="0"/>
          <w:numId w:val="12"/>
        </w:numPr>
        <w:spacing w:after="0" w:line="264" w:lineRule="auto"/>
        <w:ind w:left="1440" w:hanging="720"/>
        <w:jc w:val="both"/>
        <w:rPr>
          <w:rFonts w:ascii="Cambria" w:hAnsi="Cambria"/>
        </w:rPr>
      </w:pPr>
      <w:r w:rsidRPr="00D70A7D">
        <w:rPr>
          <w:rFonts w:ascii="Cambria" w:hAnsi="Cambria"/>
        </w:rPr>
        <w:t>The equitized enterprise does not adjust the figures in the accounting books and financial statements at the time of enterprise valuation according to the enterprise valuation results decided and published by the owner's representative agency</w:t>
      </w:r>
      <w:r>
        <w:rPr>
          <w:rFonts w:ascii="Cambria" w:hAnsi="Cambria"/>
        </w:rPr>
        <w:t>.</w:t>
      </w:r>
    </w:p>
    <w:p w14:paraId="11737C72" w14:textId="77777777" w:rsidR="00D70A7D" w:rsidRPr="00CE6AC8" w:rsidRDefault="00D70A7D" w:rsidP="00CE6AC8">
      <w:pPr>
        <w:pStyle w:val="ListParagraph"/>
        <w:spacing w:after="0" w:line="264" w:lineRule="auto"/>
        <w:rPr>
          <w:rFonts w:ascii="Cambria" w:hAnsi="Cambria"/>
        </w:rPr>
      </w:pPr>
    </w:p>
    <w:p w14:paraId="6AFB8DDF" w14:textId="20F8EF03" w:rsidR="00D70A7D" w:rsidRDefault="00D70A7D" w:rsidP="00CE6AC8">
      <w:pPr>
        <w:pStyle w:val="ListParagraph"/>
        <w:numPr>
          <w:ilvl w:val="0"/>
          <w:numId w:val="12"/>
        </w:numPr>
        <w:spacing w:after="0" w:line="264" w:lineRule="auto"/>
        <w:ind w:left="1440" w:hanging="720"/>
        <w:jc w:val="both"/>
        <w:rPr>
          <w:rFonts w:ascii="Cambria" w:hAnsi="Cambria"/>
        </w:rPr>
      </w:pPr>
      <w:r w:rsidRPr="00D70A7D">
        <w:rPr>
          <w:rFonts w:ascii="Cambria" w:hAnsi="Cambria"/>
        </w:rPr>
        <w:t>The process of financial handling and valuation of equitized enterprises must comply with market principles, publicity, transparency, closeness, and compliance with the State's regulations.</w:t>
      </w:r>
    </w:p>
    <w:p w14:paraId="4500E999" w14:textId="77777777" w:rsidR="00C1766B" w:rsidRDefault="00C1766B" w:rsidP="00CE6AC8">
      <w:pPr>
        <w:spacing w:after="0" w:line="264" w:lineRule="auto"/>
        <w:ind w:left="2160"/>
        <w:jc w:val="both"/>
        <w:rPr>
          <w:rFonts w:ascii="Cambria" w:hAnsi="Cambria"/>
        </w:rPr>
      </w:pPr>
    </w:p>
    <w:p w14:paraId="447E0BFF" w14:textId="3BE5AD8B" w:rsidR="00C1766B" w:rsidRDefault="00C1766B" w:rsidP="00CE6AC8">
      <w:pPr>
        <w:pStyle w:val="ListParagraph"/>
        <w:numPr>
          <w:ilvl w:val="0"/>
          <w:numId w:val="12"/>
        </w:numPr>
        <w:spacing w:after="0" w:line="264" w:lineRule="auto"/>
        <w:ind w:left="1440" w:hanging="720"/>
        <w:jc w:val="both"/>
        <w:rPr>
          <w:rFonts w:ascii="Cambria" w:hAnsi="Cambria"/>
        </w:rPr>
      </w:pPr>
      <w:r w:rsidRPr="00C1766B">
        <w:rPr>
          <w:rFonts w:ascii="Cambria" w:hAnsi="Cambria"/>
        </w:rPr>
        <w:t xml:space="preserve">Equitized enterprises must explain and provide information to investors in the </w:t>
      </w:r>
      <w:proofErr w:type="spellStart"/>
      <w:r w:rsidRPr="00C1766B">
        <w:rPr>
          <w:rFonts w:ascii="Cambria" w:hAnsi="Cambria"/>
        </w:rPr>
        <w:t>equitization</w:t>
      </w:r>
      <w:proofErr w:type="spellEnd"/>
      <w:r w:rsidRPr="00C1766B">
        <w:rPr>
          <w:rFonts w:ascii="Cambria" w:hAnsi="Cambria"/>
        </w:rPr>
        <w:t xml:space="preserve"> plan and prospectus of information on existing assets at the enterprise</w:t>
      </w:r>
      <w:r>
        <w:rPr>
          <w:rFonts w:ascii="Cambria" w:hAnsi="Cambria"/>
        </w:rPr>
        <w:t xml:space="preserve"> </w:t>
      </w:r>
      <w:r w:rsidRPr="00C1766B">
        <w:rPr>
          <w:rFonts w:ascii="Cambria" w:hAnsi="Cambria"/>
        </w:rPr>
        <w:t>(infrastructure assets; other assets under management and use; assets being investment works in progress) invested with public investment capital and identified as public assets.</w:t>
      </w:r>
    </w:p>
    <w:p w14:paraId="1CD3D61D" w14:textId="77777777" w:rsidR="00C1766B" w:rsidRPr="00CE6AC8" w:rsidRDefault="00C1766B" w:rsidP="00CE6AC8">
      <w:pPr>
        <w:pStyle w:val="ListParagraph"/>
        <w:spacing w:after="0" w:line="264" w:lineRule="auto"/>
        <w:rPr>
          <w:rFonts w:ascii="Cambria" w:hAnsi="Cambria"/>
        </w:rPr>
      </w:pPr>
    </w:p>
    <w:p w14:paraId="753F7EF1" w14:textId="7EFE5B8B" w:rsidR="00C1766B" w:rsidRPr="00CE6AC8" w:rsidRDefault="00C1766B" w:rsidP="00CE6AC8">
      <w:pPr>
        <w:pStyle w:val="ListParagraph"/>
        <w:spacing w:after="0" w:line="264" w:lineRule="auto"/>
        <w:ind w:left="1440"/>
        <w:jc w:val="both"/>
        <w:rPr>
          <w:rFonts w:ascii="Cambria" w:hAnsi="Cambria"/>
        </w:rPr>
      </w:pPr>
      <w:r w:rsidRPr="00C1766B">
        <w:rPr>
          <w:rFonts w:ascii="Cambria" w:hAnsi="Cambria"/>
        </w:rPr>
        <w:t xml:space="preserve">In case these assets are assigned by the State to the enterprise for management and use and are included in the state capital component of the enterprise, </w:t>
      </w:r>
      <w:r w:rsidR="00FC466C" w:rsidRPr="00FC466C">
        <w:rPr>
          <w:rFonts w:ascii="Cambria" w:hAnsi="Cambria"/>
        </w:rPr>
        <w:t>but have not yet been approved for the settlement of investment projects to form assets at the time of enterprise valuation,</w:t>
      </w:r>
      <w:r w:rsidR="008634EC">
        <w:rPr>
          <w:rFonts w:ascii="Cambria" w:hAnsi="Cambria"/>
        </w:rPr>
        <w:t xml:space="preserve"> </w:t>
      </w:r>
      <w:r w:rsidR="008634EC" w:rsidRPr="008634EC">
        <w:rPr>
          <w:rFonts w:ascii="Cambria" w:hAnsi="Cambria"/>
        </w:rPr>
        <w:t xml:space="preserve">then, when approving the </w:t>
      </w:r>
      <w:proofErr w:type="spellStart"/>
      <w:r w:rsidR="008634EC" w:rsidRPr="008634EC">
        <w:rPr>
          <w:rFonts w:ascii="Cambria" w:hAnsi="Cambria"/>
        </w:rPr>
        <w:t>equitization</w:t>
      </w:r>
      <w:proofErr w:type="spellEnd"/>
      <w:r w:rsidR="008634EC" w:rsidRPr="008634EC">
        <w:rPr>
          <w:rFonts w:ascii="Cambria" w:hAnsi="Cambria"/>
        </w:rPr>
        <w:t xml:space="preserve"> plan, the owner's representative agency must include the handling contents in the </w:t>
      </w:r>
      <w:proofErr w:type="spellStart"/>
      <w:r w:rsidR="008634EC" w:rsidRPr="008634EC">
        <w:rPr>
          <w:rFonts w:ascii="Cambria" w:hAnsi="Cambria"/>
        </w:rPr>
        <w:t>equitization</w:t>
      </w:r>
      <w:proofErr w:type="spellEnd"/>
      <w:r w:rsidR="008634EC" w:rsidRPr="008634EC">
        <w:rPr>
          <w:rFonts w:ascii="Cambria" w:hAnsi="Cambria"/>
        </w:rPr>
        <w:t xml:space="preserve"> plan when the settlement of this asset-forming investment project has been ap</w:t>
      </w:r>
      <w:r w:rsidR="008634EC">
        <w:rPr>
          <w:rFonts w:ascii="Cambria" w:hAnsi="Cambria"/>
        </w:rPr>
        <w:t>proved by a competent authority</w:t>
      </w:r>
      <w:r w:rsidR="008634EC" w:rsidRPr="008634EC">
        <w:rPr>
          <w:rFonts w:ascii="Cambria" w:hAnsi="Cambria"/>
        </w:rPr>
        <w:t xml:space="preserve"> to ensure compliance with the form of enterprise </w:t>
      </w:r>
      <w:proofErr w:type="spellStart"/>
      <w:r w:rsidR="008634EC" w:rsidRPr="008634EC">
        <w:rPr>
          <w:rFonts w:ascii="Cambria" w:hAnsi="Cambria"/>
        </w:rPr>
        <w:t>equitization</w:t>
      </w:r>
      <w:proofErr w:type="spellEnd"/>
      <w:r w:rsidR="008634EC" w:rsidRPr="008634EC">
        <w:rPr>
          <w:rFonts w:ascii="Cambria" w:hAnsi="Cambria"/>
        </w:rPr>
        <w:t xml:space="preserve"> according to the approved plan</w:t>
      </w:r>
      <w:r w:rsidR="008634EC">
        <w:rPr>
          <w:rFonts w:ascii="Cambria" w:hAnsi="Cambria"/>
        </w:rPr>
        <w:t xml:space="preserve">, </w:t>
      </w:r>
      <w:r w:rsidR="008634EC" w:rsidRPr="008634EC">
        <w:rPr>
          <w:rFonts w:ascii="Cambria" w:hAnsi="Cambria"/>
        </w:rPr>
        <w:t>at the same time, publicize this handling information when conducting the initial auction of corporate shares to investors</w:t>
      </w:r>
      <w:r w:rsidR="004969EC">
        <w:rPr>
          <w:rFonts w:ascii="Cambria" w:hAnsi="Cambria"/>
        </w:rPr>
        <w:t xml:space="preserve"> </w:t>
      </w:r>
      <w:r w:rsidR="004969EC" w:rsidRPr="004969EC">
        <w:rPr>
          <w:rFonts w:ascii="Cambria" w:hAnsi="Cambria"/>
        </w:rPr>
        <w:t xml:space="preserve">for investors and post-conversion enterprises to know and follow the approved </w:t>
      </w:r>
      <w:proofErr w:type="spellStart"/>
      <w:r w:rsidR="004969EC" w:rsidRPr="004969EC">
        <w:rPr>
          <w:rFonts w:ascii="Cambria" w:hAnsi="Cambria"/>
        </w:rPr>
        <w:t>equitization</w:t>
      </w:r>
      <w:proofErr w:type="spellEnd"/>
      <w:r w:rsidR="004969EC" w:rsidRPr="004969EC">
        <w:rPr>
          <w:rFonts w:ascii="Cambria" w:hAnsi="Cambria"/>
        </w:rPr>
        <w:t xml:space="preserve"> plan.</w:t>
      </w:r>
    </w:p>
    <w:p w14:paraId="6BC28625" w14:textId="0FF9F7A6" w:rsidR="006D0A93" w:rsidRPr="00371288" w:rsidRDefault="006D0A93" w:rsidP="00CE6AC8">
      <w:pPr>
        <w:spacing w:after="0" w:line="264" w:lineRule="auto"/>
        <w:ind w:left="2160"/>
        <w:jc w:val="both"/>
        <w:rPr>
          <w:rFonts w:ascii="Cambria" w:hAnsi="Cambria"/>
          <w:b/>
          <w:bCs/>
        </w:rPr>
      </w:pPr>
    </w:p>
    <w:p w14:paraId="44314B39" w14:textId="1FD3F647" w:rsidR="00172CA7" w:rsidRDefault="00172CA7" w:rsidP="00CE6AC8">
      <w:pPr>
        <w:pStyle w:val="ListParagraph"/>
        <w:numPr>
          <w:ilvl w:val="0"/>
          <w:numId w:val="1"/>
        </w:numPr>
        <w:spacing w:after="0" w:line="264" w:lineRule="auto"/>
        <w:ind w:hanging="720"/>
        <w:jc w:val="both"/>
        <w:rPr>
          <w:rFonts w:ascii="Cambria" w:hAnsi="Cambria"/>
          <w:b/>
          <w:bCs/>
        </w:rPr>
      </w:pPr>
      <w:r w:rsidRPr="00172CA7">
        <w:rPr>
          <w:rFonts w:ascii="Cambria" w:hAnsi="Cambria"/>
          <w:b/>
          <w:bCs/>
        </w:rPr>
        <w:t>Providing guidelines on forms of reports on disbursement of official development assistance (</w:t>
      </w:r>
      <w:r w:rsidRPr="00172CA7">
        <w:rPr>
          <w:rFonts w:ascii="Cambria" w:hAnsi="Cambria"/>
          <w:b/>
          <w:bCs/>
          <w:caps/>
        </w:rPr>
        <w:t>oda</w:t>
      </w:r>
      <w:r w:rsidRPr="00172CA7">
        <w:rPr>
          <w:rFonts w:ascii="Cambria" w:hAnsi="Cambria"/>
          <w:b/>
          <w:bCs/>
        </w:rPr>
        <w:t>) and concessional loans granted by foreign donors</w:t>
      </w:r>
    </w:p>
    <w:p w14:paraId="219BB9B1" w14:textId="7DF11518" w:rsidR="00172CA7" w:rsidRDefault="00172CA7" w:rsidP="00CE6AC8">
      <w:pPr>
        <w:spacing w:after="0" w:line="264" w:lineRule="auto"/>
        <w:jc w:val="both"/>
        <w:rPr>
          <w:rFonts w:ascii="Cambria" w:hAnsi="Cambria"/>
          <w:b/>
          <w:bCs/>
        </w:rPr>
      </w:pPr>
    </w:p>
    <w:p w14:paraId="7A0E29E0" w14:textId="2B188979" w:rsidR="000B3E44" w:rsidRDefault="00172CA7" w:rsidP="00CE6AC8">
      <w:pPr>
        <w:spacing w:after="0" w:line="264" w:lineRule="auto"/>
        <w:ind w:left="720"/>
        <w:rPr>
          <w:rFonts w:ascii="Cambria" w:hAnsi="Cambria"/>
        </w:rPr>
      </w:pPr>
      <w:r w:rsidRPr="00172CA7">
        <w:rPr>
          <w:rFonts w:ascii="Cambria" w:hAnsi="Cambria"/>
        </w:rPr>
        <w:t>On June 28, 2021, the Ministry of Finance issued Circular 48/2021/TT-BTC</w:t>
      </w:r>
      <w:r w:rsidR="00DB1B99">
        <w:rPr>
          <w:rFonts w:ascii="Cambria" w:hAnsi="Cambria"/>
        </w:rPr>
        <w:t xml:space="preserve">, </w:t>
      </w:r>
      <w:r w:rsidR="00DB1B99" w:rsidRPr="00172CA7">
        <w:rPr>
          <w:rFonts w:ascii="Cambria" w:hAnsi="Cambria"/>
        </w:rPr>
        <w:t>officially</w:t>
      </w:r>
      <w:r w:rsidR="00DB1B99">
        <w:rPr>
          <w:rFonts w:ascii="Cambria" w:hAnsi="Cambria"/>
        </w:rPr>
        <w:t xml:space="preserve"> take effect on August 15, 2021, on</w:t>
      </w:r>
      <w:r w:rsidRPr="00172CA7">
        <w:rPr>
          <w:rFonts w:ascii="Cambria" w:hAnsi="Cambria"/>
        </w:rPr>
        <w:t xml:space="preserve"> guiding project owners/project management boards,</w:t>
      </w:r>
      <w:r w:rsidR="00DB1B99" w:rsidRPr="00DB1B99">
        <w:rPr>
          <w:rFonts w:ascii="Cambria" w:hAnsi="Cambria"/>
        </w:rPr>
        <w:t xml:space="preserve"> governing bodies</w:t>
      </w:r>
      <w:r w:rsidR="00DB1B99">
        <w:rPr>
          <w:rFonts w:ascii="Cambria" w:hAnsi="Cambria"/>
        </w:rPr>
        <w:t xml:space="preserve"> </w:t>
      </w:r>
      <w:r w:rsidRPr="00172CA7">
        <w:rPr>
          <w:rFonts w:ascii="Cambria" w:hAnsi="Cambria"/>
        </w:rPr>
        <w:t xml:space="preserve">on the content of the report form on disbursement of official development assistance (ODA) and concessional loans from foreign donors. </w:t>
      </w:r>
    </w:p>
    <w:p w14:paraId="72420F65" w14:textId="77777777" w:rsidR="00E156BF" w:rsidRDefault="00E156BF" w:rsidP="00CE6AC8">
      <w:pPr>
        <w:spacing w:after="0" w:line="264" w:lineRule="auto"/>
        <w:ind w:left="720"/>
        <w:rPr>
          <w:rFonts w:ascii="Cambria" w:hAnsi="Cambria"/>
        </w:rPr>
      </w:pPr>
    </w:p>
    <w:p w14:paraId="6879183E" w14:textId="2A827D73" w:rsidR="00014912" w:rsidRDefault="000B3E44" w:rsidP="00CE6AC8">
      <w:pPr>
        <w:spacing w:after="0" w:line="264" w:lineRule="auto"/>
        <w:ind w:left="720"/>
        <w:jc w:val="both"/>
        <w:rPr>
          <w:rFonts w:ascii="Cambria" w:hAnsi="Cambria"/>
        </w:rPr>
      </w:pPr>
      <w:r>
        <w:rPr>
          <w:rFonts w:ascii="Cambria" w:hAnsi="Cambria"/>
        </w:rPr>
        <w:t xml:space="preserve">The Circular promulgating the capital disbursement report forms and the appendix guiding the preparation of report form includes:  </w:t>
      </w:r>
      <w:r w:rsidRPr="000B3E44">
        <w:rPr>
          <w:rFonts w:ascii="Cambria" w:hAnsi="Cambria"/>
        </w:rPr>
        <w:t>Report on disbursement plan for implementation of program/project, plan on supplementing or adjusting (if any) foreign capital sources;</w:t>
      </w:r>
      <w:r>
        <w:rPr>
          <w:rFonts w:ascii="Cambria" w:hAnsi="Cambria"/>
        </w:rPr>
        <w:t xml:space="preserve"> </w:t>
      </w:r>
      <w:r w:rsidRPr="000B3E44">
        <w:rPr>
          <w:rFonts w:ascii="Cambria" w:hAnsi="Cambria"/>
        </w:rPr>
        <w:t>Periodic reports on disbursement of foreign capital sources;</w:t>
      </w:r>
      <w:r>
        <w:rPr>
          <w:rFonts w:ascii="Cambria" w:hAnsi="Cambria"/>
        </w:rPr>
        <w:t xml:space="preserve"> </w:t>
      </w:r>
      <w:r w:rsidRPr="000B3E44">
        <w:rPr>
          <w:rFonts w:ascii="Cambria" w:hAnsi="Cambria"/>
        </w:rPr>
        <w:t>Annual report on accounting, recording of foreign capital sources' revenues and expenditures;</w:t>
      </w:r>
      <w:r>
        <w:rPr>
          <w:rFonts w:ascii="Cambria" w:hAnsi="Cambria"/>
        </w:rPr>
        <w:t xml:space="preserve"> </w:t>
      </w:r>
      <w:r w:rsidRPr="000B3E44">
        <w:rPr>
          <w:rFonts w:ascii="Cambria" w:hAnsi="Cambria"/>
        </w:rPr>
        <w:t>Final report on disbursement of foreign capital loans.</w:t>
      </w:r>
    </w:p>
    <w:p w14:paraId="2705580D" w14:textId="77777777" w:rsidR="00172CA7" w:rsidRPr="00172CA7" w:rsidRDefault="00172CA7" w:rsidP="00CE6AC8">
      <w:pPr>
        <w:pStyle w:val="ListParagraph"/>
        <w:spacing w:after="0" w:line="264" w:lineRule="auto"/>
        <w:rPr>
          <w:rFonts w:ascii="Cambria" w:hAnsi="Cambria"/>
        </w:rPr>
      </w:pPr>
    </w:p>
    <w:p w14:paraId="6E6E00F1" w14:textId="77777777" w:rsidR="00172CA7" w:rsidRPr="00572236" w:rsidRDefault="00172CA7" w:rsidP="00CE6AC8">
      <w:pPr>
        <w:spacing w:after="0" w:line="264" w:lineRule="auto"/>
        <w:jc w:val="both"/>
        <w:rPr>
          <w:rFonts w:ascii="Cambria" w:hAnsi="Cambria"/>
        </w:rPr>
      </w:pPr>
      <w:r w:rsidRPr="00572236">
        <w:rPr>
          <w:rFonts w:ascii="Cambria" w:hAnsi="Cambria"/>
          <w:lang w:val="en"/>
        </w:rPr>
        <w:t xml:space="preserve">We hope this </w:t>
      </w:r>
      <w:r>
        <w:rPr>
          <w:rFonts w:ascii="Cambria" w:hAnsi="Cambria"/>
          <w:lang w:val="en"/>
        </w:rPr>
        <w:t>L</w:t>
      </w:r>
      <w:r w:rsidRPr="00572236">
        <w:rPr>
          <w:rFonts w:ascii="Cambria" w:hAnsi="Cambria"/>
          <w:lang w:val="en"/>
        </w:rPr>
        <w:t xml:space="preserve">egal </w:t>
      </w:r>
      <w:r>
        <w:rPr>
          <w:rFonts w:ascii="Cambria" w:hAnsi="Cambria"/>
          <w:lang w:val="en"/>
        </w:rPr>
        <w:t xml:space="preserve">Newsletter </w:t>
      </w:r>
      <w:r w:rsidRPr="00572236">
        <w:rPr>
          <w:rFonts w:ascii="Cambria" w:hAnsi="Cambria"/>
          <w:lang w:val="en"/>
        </w:rPr>
        <w:t>has a lot of useful information.</w:t>
      </w:r>
    </w:p>
    <w:p w14:paraId="0D272074" w14:textId="77777777" w:rsidR="00172CA7" w:rsidRPr="00572236" w:rsidRDefault="00172CA7" w:rsidP="00CE6AC8">
      <w:pPr>
        <w:spacing w:after="0" w:line="264" w:lineRule="auto"/>
        <w:jc w:val="both"/>
        <w:rPr>
          <w:rFonts w:ascii="Cambria" w:hAnsi="Cambria"/>
        </w:rPr>
      </w:pPr>
    </w:p>
    <w:p w14:paraId="3114C235" w14:textId="77777777" w:rsidR="00172CA7" w:rsidRDefault="00172CA7" w:rsidP="00CE6AC8">
      <w:pPr>
        <w:spacing w:after="0" w:line="264" w:lineRule="auto"/>
        <w:rPr>
          <w:rFonts w:ascii="Cambria" w:hAnsi="Cambria"/>
          <w:lang w:val="en"/>
        </w:rPr>
      </w:pPr>
      <w:r>
        <w:rPr>
          <w:rFonts w:ascii="Cambria" w:hAnsi="Cambria"/>
          <w:lang w:val="en"/>
        </w:rPr>
        <w:t>Best Regards.</w:t>
      </w:r>
    </w:p>
    <w:p w14:paraId="046B2A59" w14:textId="77777777" w:rsidR="00172CA7" w:rsidRPr="00572236" w:rsidRDefault="00172CA7" w:rsidP="00CE6AC8">
      <w:pPr>
        <w:spacing w:after="0" w:line="264" w:lineRule="auto"/>
        <w:rPr>
          <w:rFonts w:ascii="Cambria" w:hAnsi="Cambria"/>
        </w:rPr>
      </w:pPr>
    </w:p>
    <w:tbl>
      <w:tblPr>
        <w:tblStyle w:val="TableGrid"/>
        <w:tblpPr w:leftFromText="180" w:rightFromText="180" w:vertAnchor="page" w:horzAnchor="margin" w:tblpXSpec="center" w:tblpY="3121"/>
        <w:tblW w:w="0" w:type="auto"/>
        <w:shd w:val="clear" w:color="auto" w:fill="D9E2F3" w:themeFill="accent1" w:themeFillTint="33"/>
        <w:tblLook w:val="04A0" w:firstRow="1" w:lastRow="0" w:firstColumn="1" w:lastColumn="0" w:noHBand="0" w:noVBand="1"/>
      </w:tblPr>
      <w:tblGrid>
        <w:gridCol w:w="8590"/>
      </w:tblGrid>
      <w:tr w:rsidR="00172CA7" w:rsidRPr="00BB37E8" w14:paraId="3ECC1583" w14:textId="77777777" w:rsidTr="00172CA7">
        <w:tc>
          <w:tcPr>
            <w:tcW w:w="8590" w:type="dxa"/>
            <w:tcBorders>
              <w:top w:val="double" w:sz="4" w:space="0" w:color="auto"/>
              <w:left w:val="nil"/>
              <w:bottom w:val="double" w:sz="4" w:space="0" w:color="auto"/>
              <w:right w:val="nil"/>
            </w:tcBorders>
            <w:shd w:val="clear" w:color="auto" w:fill="D9E2F3" w:themeFill="accent1" w:themeFillTint="33"/>
          </w:tcPr>
          <w:p w14:paraId="1E444990" w14:textId="77777777" w:rsidR="00172CA7" w:rsidRPr="00BB37E8" w:rsidRDefault="00172CA7" w:rsidP="00CE6AC8">
            <w:pPr>
              <w:widowControl w:val="0"/>
              <w:autoSpaceDE w:val="0"/>
              <w:autoSpaceDN w:val="0"/>
              <w:spacing w:after="0" w:line="264" w:lineRule="auto"/>
              <w:ind w:hanging="721"/>
              <w:jc w:val="center"/>
              <w:rPr>
                <w:rFonts w:ascii="Amasis MT Pro" w:eastAsia="Times New Roman" w:hAnsi="Amasis MT Pro" w:cs="Arial"/>
                <w:b/>
                <w:bCs/>
                <w:lang w:val="vi-VN" w:eastAsia="en-GB"/>
              </w:rPr>
            </w:pPr>
          </w:p>
          <w:p w14:paraId="3CC6D9C0" w14:textId="77777777" w:rsidR="00172CA7" w:rsidRPr="00172CA7" w:rsidRDefault="00172CA7" w:rsidP="00CE6AC8">
            <w:pPr>
              <w:widowControl w:val="0"/>
              <w:autoSpaceDE w:val="0"/>
              <w:autoSpaceDN w:val="0"/>
              <w:spacing w:after="0" w:line="264" w:lineRule="auto"/>
              <w:ind w:left="12" w:hanging="12"/>
              <w:jc w:val="both"/>
              <w:rPr>
                <w:rFonts w:ascii="Cambria" w:eastAsia="Times New Roman" w:hAnsi="Cambria" w:cs="Arial"/>
                <w:lang w:val="vi" w:eastAsia="en-GB"/>
              </w:rPr>
            </w:pPr>
            <w:r w:rsidRPr="00172CA7">
              <w:rPr>
                <w:rFonts w:ascii="Cambria" w:eastAsia="Times New Roman" w:hAnsi="Cambria" w:cs="Arial"/>
                <w:lang w:val="vi" w:eastAsia="en-GB"/>
              </w:rPr>
              <w:t>This document has been only prepared for general</w:t>
            </w:r>
            <w:r w:rsidRPr="00172CA7">
              <w:rPr>
                <w:rFonts w:ascii="Cambria" w:eastAsia="Times New Roman" w:hAnsi="Cambria"/>
                <w:lang w:val="vi"/>
              </w:rPr>
              <w:t xml:space="preserve"> </w:t>
            </w:r>
            <w:r w:rsidRPr="00172CA7">
              <w:rPr>
                <w:rFonts w:ascii="Cambria" w:eastAsia="Times New Roman" w:hAnsi="Cambria" w:cs="Arial"/>
                <w:lang w:val="vi"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339C7CAF" w14:textId="77777777" w:rsidR="00172CA7" w:rsidRPr="00172CA7" w:rsidRDefault="00172CA7" w:rsidP="00CE6AC8">
            <w:pPr>
              <w:widowControl w:val="0"/>
              <w:autoSpaceDE w:val="0"/>
              <w:autoSpaceDN w:val="0"/>
              <w:spacing w:after="0" w:line="264" w:lineRule="auto"/>
              <w:ind w:left="12" w:hanging="12"/>
              <w:jc w:val="both"/>
              <w:rPr>
                <w:rFonts w:ascii="Cambria" w:eastAsia="Times New Roman" w:hAnsi="Cambria" w:cs="Arial"/>
                <w:lang w:val="vi" w:eastAsia="en-GB"/>
              </w:rPr>
            </w:pPr>
          </w:p>
          <w:p w14:paraId="15680890" w14:textId="77777777" w:rsidR="00172CA7" w:rsidRPr="00172CA7" w:rsidRDefault="00172CA7" w:rsidP="00CE6AC8">
            <w:pPr>
              <w:widowControl w:val="0"/>
              <w:autoSpaceDE w:val="0"/>
              <w:autoSpaceDN w:val="0"/>
              <w:spacing w:after="0" w:line="264" w:lineRule="auto"/>
              <w:ind w:left="12" w:hanging="12"/>
              <w:jc w:val="both"/>
              <w:rPr>
                <w:rFonts w:ascii="Cambria" w:eastAsia="Times New Roman" w:hAnsi="Cambria" w:cs="Arial"/>
                <w:lang w:val="vi" w:eastAsia="en-GB"/>
              </w:rPr>
            </w:pPr>
            <w:r w:rsidRPr="00172CA7">
              <w:rPr>
                <w:rFonts w:ascii="Cambria" w:eastAsia="Times New Roman" w:hAnsi="Cambria" w:cs="Arial"/>
                <w:lang w:val="vi" w:eastAsia="en-GB"/>
              </w:rPr>
              <w:t>If you have or suspect that you may have a particular problem, you should contact us or your lawyer for specific advice on the matter.</w:t>
            </w:r>
          </w:p>
          <w:p w14:paraId="531D3EA0" w14:textId="77777777" w:rsidR="00172CA7" w:rsidRPr="00172CA7" w:rsidRDefault="00172CA7" w:rsidP="00CE6AC8">
            <w:pPr>
              <w:widowControl w:val="0"/>
              <w:autoSpaceDE w:val="0"/>
              <w:autoSpaceDN w:val="0"/>
              <w:spacing w:after="0" w:line="264" w:lineRule="auto"/>
              <w:ind w:hanging="721"/>
              <w:rPr>
                <w:rFonts w:ascii="Cambria" w:eastAsia="Times New Roman" w:hAnsi="Cambria" w:cs="Arial"/>
                <w:lang w:val="vi-VN" w:eastAsia="en-GB"/>
              </w:rPr>
            </w:pPr>
          </w:p>
          <w:p w14:paraId="23F85073" w14:textId="77777777" w:rsidR="00172CA7" w:rsidRPr="00172CA7" w:rsidRDefault="00172CA7" w:rsidP="00CE6AC8">
            <w:pPr>
              <w:widowControl w:val="0"/>
              <w:autoSpaceDE w:val="0"/>
              <w:autoSpaceDN w:val="0"/>
              <w:spacing w:after="0" w:line="264" w:lineRule="auto"/>
              <w:ind w:hanging="721"/>
              <w:jc w:val="center"/>
              <w:rPr>
                <w:rFonts w:ascii="Cambria" w:eastAsia="Times New Roman" w:hAnsi="Cambria" w:cs="Arial"/>
                <w:b/>
                <w:bCs/>
                <w:lang w:val="vi" w:eastAsia="en-GB"/>
              </w:rPr>
            </w:pPr>
            <w:r w:rsidRPr="00172CA7">
              <w:rPr>
                <w:rFonts w:ascii="Cambria" w:eastAsia="Times New Roman" w:hAnsi="Cambria" w:cs="Arial"/>
                <w:b/>
                <w:bCs/>
                <w:lang w:val="vi-VN" w:eastAsia="en-GB"/>
              </w:rPr>
              <w:t>ADK</w:t>
            </w:r>
            <w:r w:rsidRPr="00172CA7">
              <w:rPr>
                <w:rFonts w:ascii="Cambria" w:eastAsia="Times New Roman" w:hAnsi="Cambria" w:cs="Arial"/>
                <w:b/>
                <w:bCs/>
                <w:lang w:eastAsia="en-GB"/>
              </w:rPr>
              <w:t xml:space="preserve"> </w:t>
            </w:r>
            <w:r w:rsidRPr="00172CA7">
              <w:rPr>
                <w:rFonts w:ascii="Cambria" w:eastAsia="Times New Roman" w:hAnsi="Cambria" w:cs="Arial"/>
                <w:b/>
                <w:bCs/>
                <w:lang w:val="vi-VN" w:eastAsia="en-GB"/>
              </w:rPr>
              <w:t>&amp;</w:t>
            </w:r>
            <w:r w:rsidRPr="00172CA7">
              <w:rPr>
                <w:rFonts w:ascii="Cambria" w:eastAsia="Times New Roman" w:hAnsi="Cambria" w:cs="Arial"/>
                <w:b/>
                <w:bCs/>
                <w:lang w:eastAsia="en-GB"/>
              </w:rPr>
              <w:t xml:space="preserve"> </w:t>
            </w:r>
            <w:r w:rsidRPr="00172CA7">
              <w:rPr>
                <w:rFonts w:ascii="Cambria" w:eastAsia="Times New Roman" w:hAnsi="Cambria" w:cs="Arial"/>
                <w:b/>
                <w:bCs/>
                <w:lang w:val="vi-VN" w:eastAsia="en-GB"/>
              </w:rPr>
              <w:t xml:space="preserve">CO </w:t>
            </w:r>
            <w:r w:rsidRPr="00172CA7">
              <w:rPr>
                <w:rFonts w:ascii="Cambria" w:eastAsia="Times New Roman" w:hAnsi="Cambria" w:cs="Arial"/>
                <w:b/>
                <w:bCs/>
                <w:lang w:val="vi" w:eastAsia="en-GB"/>
              </w:rPr>
              <w:t>VIET NAM LAWYERS</w:t>
            </w:r>
          </w:p>
          <w:p w14:paraId="08331AD5" w14:textId="77777777" w:rsidR="00172CA7" w:rsidRPr="00172CA7" w:rsidRDefault="00172CA7" w:rsidP="00CE6AC8">
            <w:pPr>
              <w:widowControl w:val="0"/>
              <w:autoSpaceDE w:val="0"/>
              <w:autoSpaceDN w:val="0"/>
              <w:spacing w:after="0" w:line="264" w:lineRule="auto"/>
              <w:ind w:hanging="721"/>
              <w:jc w:val="center"/>
              <w:rPr>
                <w:rFonts w:ascii="Cambria" w:eastAsia="Times New Roman" w:hAnsi="Cambria" w:cs="Arial"/>
                <w:b/>
                <w:bCs/>
                <w:lang w:val="vi-VN" w:eastAsia="en-GB"/>
              </w:rPr>
            </w:pPr>
          </w:p>
          <w:p w14:paraId="2B9902B2" w14:textId="77777777" w:rsidR="00172CA7" w:rsidRPr="00172CA7" w:rsidRDefault="00172CA7" w:rsidP="00CE6AC8">
            <w:pPr>
              <w:widowControl w:val="0"/>
              <w:autoSpaceDE w:val="0"/>
              <w:autoSpaceDN w:val="0"/>
              <w:spacing w:after="0" w:line="264" w:lineRule="auto"/>
              <w:rPr>
                <w:rFonts w:ascii="Cambria" w:eastAsia="Times New Roman" w:hAnsi="Cambria" w:cs="Arial"/>
                <w:lang w:val="vi-VN" w:eastAsia="en-GB"/>
              </w:rPr>
            </w:pPr>
            <w:r w:rsidRPr="00172CA7">
              <w:rPr>
                <w:rFonts w:ascii="Cambria" w:eastAsia="Times New Roman" w:hAnsi="Cambria" w:cs="Arial"/>
                <w:lang w:val="vi-VN" w:eastAsia="en-GB"/>
              </w:rPr>
              <w:t xml:space="preserve">Address: G-01 Fl. HBT Tower, 456-458 Hai Ba Trung Str., Tan Dinh Ward, District 1, HCMC, VN  </w:t>
            </w:r>
          </w:p>
          <w:p w14:paraId="28092BAD" w14:textId="77777777" w:rsidR="00172CA7" w:rsidRPr="00172CA7" w:rsidRDefault="00172CA7" w:rsidP="00CE6AC8">
            <w:pPr>
              <w:widowControl w:val="0"/>
              <w:autoSpaceDE w:val="0"/>
              <w:autoSpaceDN w:val="0"/>
              <w:spacing w:after="0" w:line="264" w:lineRule="auto"/>
              <w:ind w:left="741" w:hanging="721"/>
              <w:rPr>
                <w:rFonts w:ascii="Cambria" w:eastAsia="Times New Roman" w:hAnsi="Cambria" w:cs="Arial"/>
                <w:lang w:val="vi-VN" w:eastAsia="en-GB"/>
              </w:rPr>
            </w:pPr>
            <w:r w:rsidRPr="00172CA7">
              <w:rPr>
                <w:rFonts w:ascii="Cambria" w:eastAsia="Times New Roman" w:hAnsi="Cambria" w:cs="Arial"/>
                <w:lang w:val="vi-VN" w:eastAsia="en-GB"/>
              </w:rPr>
              <w:t>Hotline: (+84) 28 66 79 79 66</w:t>
            </w:r>
          </w:p>
          <w:p w14:paraId="02DD4A7E" w14:textId="77777777" w:rsidR="00172CA7" w:rsidRPr="00172CA7" w:rsidRDefault="00172CA7" w:rsidP="00CE6AC8">
            <w:pPr>
              <w:widowControl w:val="0"/>
              <w:autoSpaceDE w:val="0"/>
              <w:autoSpaceDN w:val="0"/>
              <w:spacing w:after="0" w:line="264" w:lineRule="auto"/>
              <w:ind w:left="1024" w:hanging="1024"/>
              <w:rPr>
                <w:rFonts w:ascii="Cambria" w:eastAsia="Times New Roman" w:hAnsi="Cambria" w:cs="Arial"/>
                <w:color w:val="0000FF"/>
                <w:u w:val="single"/>
                <w:lang w:val="vi-VN" w:eastAsia="en-GB"/>
              </w:rPr>
            </w:pPr>
            <w:r w:rsidRPr="00172CA7">
              <w:rPr>
                <w:rFonts w:ascii="Cambria" w:eastAsia="Times New Roman" w:hAnsi="Cambria" w:cs="Arial"/>
                <w:lang w:val="vi-VN" w:eastAsia="en-GB"/>
              </w:rPr>
              <w:t xml:space="preserve">Email: </w:t>
            </w:r>
            <w:hyperlink r:id="rId10" w:history="1">
              <w:r w:rsidRPr="00172CA7">
                <w:rPr>
                  <w:rFonts w:ascii="Cambria" w:eastAsia="Times New Roman" w:hAnsi="Cambria" w:cs="Arial"/>
                  <w:color w:val="0000FF"/>
                  <w:u w:val="single"/>
                  <w:lang w:val="vi-VN" w:eastAsia="en-GB"/>
                </w:rPr>
                <w:t>info@adk-lawyers.com</w:t>
              </w:r>
            </w:hyperlink>
          </w:p>
          <w:p w14:paraId="7E7F718D" w14:textId="77777777" w:rsidR="00172CA7" w:rsidRPr="00172CA7" w:rsidRDefault="00172CA7" w:rsidP="00CE6AC8">
            <w:pPr>
              <w:widowControl w:val="0"/>
              <w:autoSpaceDE w:val="0"/>
              <w:autoSpaceDN w:val="0"/>
              <w:spacing w:after="0" w:line="264" w:lineRule="auto"/>
              <w:rPr>
                <w:rFonts w:ascii="Cambria" w:eastAsia="Times New Roman" w:hAnsi="Cambria" w:cs="Arial"/>
                <w:lang w:val="vi" w:eastAsia="en-GB"/>
              </w:rPr>
            </w:pPr>
            <w:r w:rsidRPr="00172CA7">
              <w:rPr>
                <w:rFonts w:ascii="Cambria" w:eastAsia="Times New Roman" w:hAnsi="Cambria" w:cs="Arial"/>
                <w:lang w:val="vi" w:eastAsia="en-GB"/>
              </w:rPr>
              <w:t>W</w:t>
            </w:r>
            <w:r w:rsidRPr="00172CA7">
              <w:rPr>
                <w:rFonts w:ascii="Cambria" w:eastAsia="Times New Roman" w:hAnsi="Cambria" w:cs="Arial"/>
                <w:lang w:val="vi"/>
              </w:rPr>
              <w:t xml:space="preserve">ebsite: </w:t>
            </w:r>
            <w:hyperlink r:id="rId11" w:history="1">
              <w:r w:rsidRPr="00172CA7">
                <w:rPr>
                  <w:rFonts w:ascii="Cambria" w:eastAsia="Times New Roman" w:hAnsi="Cambria" w:cs="Arial"/>
                  <w:color w:val="0000FF"/>
                  <w:u w:val="single"/>
                  <w:lang w:val="vi"/>
                </w:rPr>
                <w:t>www.adk-lawyers.com</w:t>
              </w:r>
            </w:hyperlink>
            <w:r w:rsidRPr="00172CA7">
              <w:rPr>
                <w:rFonts w:ascii="Cambria" w:eastAsia="Times New Roman" w:hAnsi="Cambria" w:cs="Arial"/>
                <w:lang w:val="vi"/>
              </w:rPr>
              <w:t xml:space="preserve">  </w:t>
            </w:r>
          </w:p>
          <w:p w14:paraId="7A342DC0" w14:textId="77777777" w:rsidR="00172CA7" w:rsidRPr="00BB37E8" w:rsidRDefault="00172CA7" w:rsidP="00CE6AC8">
            <w:pPr>
              <w:widowControl w:val="0"/>
              <w:autoSpaceDE w:val="0"/>
              <w:autoSpaceDN w:val="0"/>
              <w:spacing w:after="0" w:line="264" w:lineRule="auto"/>
              <w:ind w:hanging="721"/>
              <w:rPr>
                <w:rFonts w:ascii="Amasis MT Pro" w:eastAsia="Times New Roman" w:hAnsi="Amasis MT Pro" w:cs="Arial"/>
                <w:lang w:val="vi-VN" w:eastAsia="en-GB"/>
              </w:rPr>
            </w:pPr>
          </w:p>
        </w:tc>
      </w:tr>
    </w:tbl>
    <w:p w14:paraId="3AF368B9" w14:textId="77777777" w:rsidR="00172CA7" w:rsidRPr="00172CA7" w:rsidRDefault="00172CA7" w:rsidP="00CE6AC8">
      <w:pPr>
        <w:spacing w:after="0" w:line="264" w:lineRule="auto"/>
        <w:jc w:val="both"/>
        <w:rPr>
          <w:rFonts w:ascii="Cambria" w:hAnsi="Cambria"/>
        </w:rPr>
      </w:pPr>
    </w:p>
    <w:p w14:paraId="383F21C1" w14:textId="77777777" w:rsidR="00172CA7" w:rsidRPr="00172CA7" w:rsidRDefault="00172CA7" w:rsidP="00CE6AC8">
      <w:pPr>
        <w:spacing w:after="0" w:line="264" w:lineRule="auto"/>
        <w:ind w:left="720"/>
        <w:jc w:val="both"/>
        <w:rPr>
          <w:rFonts w:ascii="Cambria" w:hAnsi="Cambria"/>
        </w:rPr>
      </w:pPr>
    </w:p>
    <w:p w14:paraId="24C33CFF" w14:textId="77777777" w:rsidR="00172CA7" w:rsidRPr="00172CA7" w:rsidRDefault="00172CA7" w:rsidP="00CE6AC8">
      <w:pPr>
        <w:spacing w:after="0" w:line="264" w:lineRule="auto"/>
        <w:ind w:left="720"/>
        <w:jc w:val="both"/>
        <w:rPr>
          <w:rFonts w:ascii="Cambria" w:hAnsi="Cambria"/>
          <w:b/>
          <w:bCs/>
        </w:rPr>
      </w:pPr>
    </w:p>
    <w:p w14:paraId="2CB095EC" w14:textId="77777777" w:rsidR="00172CA7" w:rsidRPr="00172CA7" w:rsidRDefault="00172CA7" w:rsidP="00CE6AC8">
      <w:pPr>
        <w:spacing w:after="0" w:line="264" w:lineRule="auto"/>
        <w:jc w:val="both"/>
        <w:rPr>
          <w:rFonts w:ascii="Cambria" w:hAnsi="Cambria"/>
        </w:rPr>
      </w:pPr>
    </w:p>
    <w:p w14:paraId="1110D5D0" w14:textId="77777777" w:rsidR="006D0A93" w:rsidRPr="006D0A93" w:rsidRDefault="006D0A93" w:rsidP="00CE6AC8">
      <w:pPr>
        <w:spacing w:after="0" w:line="264" w:lineRule="auto"/>
        <w:ind w:left="2160"/>
        <w:jc w:val="both"/>
        <w:rPr>
          <w:rFonts w:ascii="Cambria" w:hAnsi="Cambria"/>
        </w:rPr>
      </w:pPr>
    </w:p>
    <w:p w14:paraId="69B506B1" w14:textId="77777777" w:rsidR="006D0A93" w:rsidRPr="006D0A93" w:rsidRDefault="006D0A93" w:rsidP="00CE6AC8">
      <w:pPr>
        <w:spacing w:after="0" w:line="264" w:lineRule="auto"/>
        <w:ind w:left="2160" w:hanging="720"/>
        <w:jc w:val="both"/>
        <w:rPr>
          <w:rFonts w:ascii="Cambria" w:hAnsi="Cambria"/>
          <w:b/>
          <w:bCs/>
        </w:rPr>
      </w:pPr>
    </w:p>
    <w:p w14:paraId="4FD21BD6" w14:textId="77777777" w:rsidR="00343436" w:rsidRDefault="00343436" w:rsidP="00CE6AC8">
      <w:pPr>
        <w:spacing w:after="0" w:line="264" w:lineRule="auto"/>
        <w:ind w:left="2160"/>
      </w:pPr>
    </w:p>
    <w:sectPr w:rsidR="00343436" w:rsidSect="001B18D8">
      <w:headerReference w:type="default" r:id="rId12"/>
      <w:footerReference w:type="defaul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B1B3" w14:textId="77777777" w:rsidR="006816EE" w:rsidRDefault="006816EE">
      <w:pPr>
        <w:spacing w:after="0" w:line="240" w:lineRule="auto"/>
      </w:pPr>
      <w:r>
        <w:separator/>
      </w:r>
    </w:p>
  </w:endnote>
  <w:endnote w:type="continuationSeparator" w:id="0">
    <w:p w14:paraId="027098D5" w14:textId="77777777" w:rsidR="006816EE" w:rsidRDefault="0068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19AE" w14:textId="77777777" w:rsidR="00233EA9" w:rsidRPr="00591F1C" w:rsidRDefault="00A22FE8"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1292ED86" w14:textId="13DD0B89" w:rsidR="00233EA9" w:rsidRPr="00591F1C" w:rsidRDefault="006816EE"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A22FE8" w:rsidRPr="00591F1C">
        <w:rPr>
          <w:rStyle w:val="Hyperlink"/>
          <w:rFonts w:ascii="Palatino Linotype" w:hAnsi="Palatino Linotype"/>
          <w:sz w:val="18"/>
          <w:szCs w:val="18"/>
        </w:rPr>
        <w:t>www.adk</w:t>
      </w:r>
      <w:r w:rsidR="00A22FE8" w:rsidRPr="005C3A0B">
        <w:rPr>
          <w:rStyle w:val="Hyperlink"/>
          <w:rFonts w:ascii="Palatino Linotype" w:hAnsi="Palatino Linotype"/>
          <w:sz w:val="18"/>
          <w:szCs w:val="18"/>
        </w:rPr>
        <w:t>-lawyers</w:t>
      </w:r>
      <w:r w:rsidR="00A22FE8" w:rsidRPr="00591F1C">
        <w:rPr>
          <w:rStyle w:val="Hyperlink"/>
          <w:rFonts w:ascii="Palatino Linotype" w:hAnsi="Palatino Linotype"/>
          <w:sz w:val="18"/>
          <w:szCs w:val="18"/>
        </w:rPr>
        <w:t>.com</w:t>
      </w:r>
    </w:hyperlink>
    <w:r w:rsidR="00A22FE8" w:rsidRPr="00591F1C">
      <w:rPr>
        <w:rFonts w:ascii="Palatino Linotype" w:hAnsi="Palatino Linotype"/>
        <w:b/>
        <w:sz w:val="18"/>
        <w:szCs w:val="18"/>
      </w:rPr>
      <w:tab/>
    </w:r>
    <w:r w:rsidR="00A22FE8" w:rsidRPr="00591F1C">
      <w:rPr>
        <w:rFonts w:ascii="Palatino Linotype" w:hAnsi="Palatino Linotype"/>
        <w:sz w:val="18"/>
        <w:szCs w:val="18"/>
      </w:rPr>
      <w:fldChar w:fldCharType="begin"/>
    </w:r>
    <w:r w:rsidR="00A22FE8" w:rsidRPr="00591F1C">
      <w:rPr>
        <w:rFonts w:ascii="Palatino Linotype" w:hAnsi="Palatino Linotype"/>
        <w:sz w:val="18"/>
        <w:szCs w:val="18"/>
      </w:rPr>
      <w:instrText xml:space="preserve"> PAGE   \* MERGEFORMAT </w:instrText>
    </w:r>
    <w:r w:rsidR="00A22FE8" w:rsidRPr="00591F1C">
      <w:rPr>
        <w:rFonts w:ascii="Palatino Linotype" w:hAnsi="Palatino Linotype"/>
        <w:sz w:val="18"/>
        <w:szCs w:val="18"/>
      </w:rPr>
      <w:fldChar w:fldCharType="separate"/>
    </w:r>
    <w:r w:rsidR="000E2995">
      <w:rPr>
        <w:rFonts w:ascii="Palatino Linotype" w:hAnsi="Palatino Linotype"/>
        <w:noProof/>
        <w:sz w:val="18"/>
        <w:szCs w:val="18"/>
      </w:rPr>
      <w:t>3</w:t>
    </w:r>
    <w:r w:rsidR="00A22FE8" w:rsidRPr="00591F1C">
      <w:rPr>
        <w:rFonts w:ascii="Palatino Linotype" w:hAnsi="Palatino Linotype"/>
        <w:sz w:val="18"/>
        <w:szCs w:val="18"/>
      </w:rPr>
      <w:fldChar w:fldCharType="end"/>
    </w:r>
    <w:r w:rsidR="00A22FE8" w:rsidRPr="00591F1C">
      <w:rPr>
        <w:rFonts w:ascii="Palatino Linotype" w:hAnsi="Palatino Linotype"/>
        <w:sz w:val="18"/>
        <w:szCs w:val="18"/>
      </w:rPr>
      <w:t>/</w:t>
    </w:r>
    <w:r w:rsidR="00A22FE8" w:rsidRPr="00591F1C">
      <w:rPr>
        <w:rFonts w:ascii="Palatino Linotype" w:hAnsi="Palatino Linotype"/>
        <w:sz w:val="18"/>
        <w:szCs w:val="18"/>
      </w:rPr>
      <w:fldChar w:fldCharType="begin"/>
    </w:r>
    <w:r w:rsidR="00A22FE8" w:rsidRPr="00591F1C">
      <w:rPr>
        <w:rFonts w:ascii="Palatino Linotype" w:hAnsi="Palatino Linotype"/>
        <w:sz w:val="18"/>
        <w:szCs w:val="18"/>
      </w:rPr>
      <w:instrText xml:space="preserve"> NUMPAGES  \* Arabic  \* MERGEFORMAT </w:instrText>
    </w:r>
    <w:r w:rsidR="00A22FE8" w:rsidRPr="00591F1C">
      <w:rPr>
        <w:rFonts w:ascii="Palatino Linotype" w:hAnsi="Palatino Linotype"/>
        <w:sz w:val="18"/>
        <w:szCs w:val="18"/>
      </w:rPr>
      <w:fldChar w:fldCharType="separate"/>
    </w:r>
    <w:r w:rsidR="000E2995">
      <w:rPr>
        <w:rFonts w:ascii="Palatino Linotype" w:hAnsi="Palatino Linotype"/>
        <w:noProof/>
        <w:sz w:val="18"/>
        <w:szCs w:val="18"/>
      </w:rPr>
      <w:t>3</w:t>
    </w:r>
    <w:r w:rsidR="00A22FE8" w:rsidRPr="00591F1C">
      <w:rPr>
        <w:rFonts w:ascii="Palatino Linotype" w:hAnsi="Palatino Linotype"/>
        <w:sz w:val="18"/>
        <w:szCs w:val="18"/>
      </w:rPr>
      <w:fldChar w:fldCharType="end"/>
    </w:r>
  </w:p>
  <w:p w14:paraId="29AEE1D5" w14:textId="77777777" w:rsidR="00B375BC" w:rsidRDefault="006816EE" w:rsidP="001B18D8">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1303" w14:textId="77777777" w:rsidR="006816EE" w:rsidRDefault="006816EE">
      <w:pPr>
        <w:spacing w:after="0" w:line="240" w:lineRule="auto"/>
      </w:pPr>
      <w:r>
        <w:separator/>
      </w:r>
    </w:p>
  </w:footnote>
  <w:footnote w:type="continuationSeparator" w:id="0">
    <w:p w14:paraId="2F3E975E" w14:textId="77777777" w:rsidR="006816EE" w:rsidRDefault="00681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38F7" w14:textId="77777777" w:rsidR="00B375BC" w:rsidRDefault="00A22FE8" w:rsidP="00B375BC">
    <w:pPr>
      <w:pStyle w:val="Header"/>
      <w:ind w:left="-1440"/>
    </w:pPr>
    <w:r>
      <w:rPr>
        <w:noProof/>
      </w:rPr>
      <w:drawing>
        <wp:inline distT="0" distB="0" distL="0" distR="0" wp14:anchorId="025A468C" wp14:editId="5C5111FE">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55B1"/>
    <w:multiLevelType w:val="hybridMultilevel"/>
    <w:tmpl w:val="5CC2D4E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B6A52"/>
    <w:multiLevelType w:val="hybridMultilevel"/>
    <w:tmpl w:val="012C5402"/>
    <w:lvl w:ilvl="0" w:tplc="9BF0B19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B4137"/>
    <w:multiLevelType w:val="hybridMultilevel"/>
    <w:tmpl w:val="391C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92627"/>
    <w:multiLevelType w:val="hybridMultilevel"/>
    <w:tmpl w:val="D0143330"/>
    <w:lvl w:ilvl="0" w:tplc="16C021DA">
      <w:start w:val="1"/>
      <w:numFmt w:val="bullet"/>
      <w:lvlText w:val="-"/>
      <w:lvlJc w:val="left"/>
      <w:pPr>
        <w:ind w:left="1080" w:hanging="72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1590D"/>
    <w:multiLevelType w:val="hybridMultilevel"/>
    <w:tmpl w:val="3FF8A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2C6ECC"/>
    <w:multiLevelType w:val="hybridMultilevel"/>
    <w:tmpl w:val="CF0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3186C"/>
    <w:multiLevelType w:val="hybridMultilevel"/>
    <w:tmpl w:val="9BC686D4"/>
    <w:lvl w:ilvl="0" w:tplc="DF020C78">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8072FD"/>
    <w:multiLevelType w:val="hybridMultilevel"/>
    <w:tmpl w:val="D8EE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622A1"/>
    <w:multiLevelType w:val="hybridMultilevel"/>
    <w:tmpl w:val="727C91CE"/>
    <w:lvl w:ilvl="0" w:tplc="16C021D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772D6"/>
    <w:multiLevelType w:val="hybridMultilevel"/>
    <w:tmpl w:val="D3424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2C54C2"/>
    <w:multiLevelType w:val="hybridMultilevel"/>
    <w:tmpl w:val="DC4287A0"/>
    <w:lvl w:ilvl="0" w:tplc="16C021DA">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F859E2"/>
    <w:multiLevelType w:val="hybridMultilevel"/>
    <w:tmpl w:val="3E8A907E"/>
    <w:lvl w:ilvl="0" w:tplc="92741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1"/>
  </w:num>
  <w:num w:numId="5">
    <w:abstractNumId w:val="0"/>
  </w:num>
  <w:num w:numId="6">
    <w:abstractNumId w:val="10"/>
  </w:num>
  <w:num w:numId="7">
    <w:abstractNumId w:val="1"/>
  </w:num>
  <w:num w:numId="8">
    <w:abstractNumId w:val="8"/>
  </w:num>
  <w:num w:numId="9">
    <w:abstractNumId w:val="3"/>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93"/>
    <w:rsid w:val="000016F4"/>
    <w:rsid w:val="00014912"/>
    <w:rsid w:val="000B0191"/>
    <w:rsid w:val="000B3E44"/>
    <w:rsid w:val="000E2995"/>
    <w:rsid w:val="00172CA7"/>
    <w:rsid w:val="00281F50"/>
    <w:rsid w:val="00343436"/>
    <w:rsid w:val="00371288"/>
    <w:rsid w:val="003B5799"/>
    <w:rsid w:val="004969EC"/>
    <w:rsid w:val="005115A5"/>
    <w:rsid w:val="00543347"/>
    <w:rsid w:val="006643F0"/>
    <w:rsid w:val="006816EE"/>
    <w:rsid w:val="006D0A93"/>
    <w:rsid w:val="008634EC"/>
    <w:rsid w:val="008B60E9"/>
    <w:rsid w:val="00902243"/>
    <w:rsid w:val="00911244"/>
    <w:rsid w:val="00927963"/>
    <w:rsid w:val="00A22FE8"/>
    <w:rsid w:val="00A552EF"/>
    <w:rsid w:val="00A90241"/>
    <w:rsid w:val="00A934BB"/>
    <w:rsid w:val="00AC524E"/>
    <w:rsid w:val="00C1766B"/>
    <w:rsid w:val="00C71025"/>
    <w:rsid w:val="00CE6AC8"/>
    <w:rsid w:val="00CF7541"/>
    <w:rsid w:val="00D70A7D"/>
    <w:rsid w:val="00DB1B99"/>
    <w:rsid w:val="00E156BF"/>
    <w:rsid w:val="00E3140F"/>
    <w:rsid w:val="00FC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E256"/>
  <w15:chartTrackingRefBased/>
  <w15:docId w15:val="{AA742F87-F6E5-49FE-BC3E-54643D21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A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A93"/>
    <w:rPr>
      <w:rFonts w:ascii="Calibri" w:eastAsia="Calibri" w:hAnsi="Calibri" w:cs="Times New Roman"/>
    </w:rPr>
  </w:style>
  <w:style w:type="paragraph" w:styleId="Footer">
    <w:name w:val="footer"/>
    <w:basedOn w:val="Normal"/>
    <w:link w:val="FooterChar"/>
    <w:uiPriority w:val="99"/>
    <w:unhideWhenUsed/>
    <w:rsid w:val="006D0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93"/>
    <w:rPr>
      <w:rFonts w:ascii="Calibri" w:eastAsia="Calibri" w:hAnsi="Calibri" w:cs="Times New Roman"/>
    </w:rPr>
  </w:style>
  <w:style w:type="character" w:styleId="Hyperlink">
    <w:name w:val="Hyperlink"/>
    <w:uiPriority w:val="99"/>
    <w:unhideWhenUsed/>
    <w:rsid w:val="006D0A93"/>
    <w:rPr>
      <w:color w:val="0000FF"/>
      <w:u w:val="single"/>
    </w:rPr>
  </w:style>
  <w:style w:type="paragraph" w:styleId="ListParagraph">
    <w:name w:val="List Paragraph"/>
    <w:basedOn w:val="Normal"/>
    <w:uiPriority w:val="34"/>
    <w:qFormat/>
    <w:rsid w:val="006D0A93"/>
    <w:pPr>
      <w:ind w:left="720"/>
      <w:contextualSpacing/>
    </w:pPr>
  </w:style>
  <w:style w:type="table" w:styleId="TableGrid">
    <w:name w:val="Table Grid"/>
    <w:basedOn w:val="TableNormal"/>
    <w:uiPriority w:val="59"/>
    <w:rsid w:val="0017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k-lawye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dk-lawy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91878-8890-49E0-AAD8-DF217DF13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A1BD1-5210-46B6-9223-54E99F893403}">
  <ds:schemaRefs>
    <ds:schemaRef ds:uri="http://schemas.microsoft.com/sharepoint/v3/contenttype/forms"/>
  </ds:schemaRefs>
</ds:datastoreItem>
</file>

<file path=customXml/itemProps3.xml><?xml version="1.0" encoding="utf-8"?>
<ds:datastoreItem xmlns:ds="http://schemas.openxmlformats.org/officeDocument/2006/customXml" ds:itemID="{94D944D4-7324-486F-9711-62307CC12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Windows User</cp:lastModifiedBy>
  <cp:revision>5</cp:revision>
  <cp:lastPrinted>2021-08-10T03:37:00Z</cp:lastPrinted>
  <dcterms:created xsi:type="dcterms:W3CDTF">2021-08-10T03:37:00Z</dcterms:created>
  <dcterms:modified xsi:type="dcterms:W3CDTF">2021-08-11T02:50:00Z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