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58DA2" w14:textId="77777777" w:rsidR="00963419" w:rsidRPr="00184155" w:rsidRDefault="00963419" w:rsidP="00B81394">
      <w:pPr>
        <w:spacing w:after="0" w:line="252" w:lineRule="auto"/>
        <w:contextualSpacing/>
        <w:jc w:val="both"/>
        <w:rPr>
          <w:rFonts w:ascii="Cambria" w:hAnsi="Cambria"/>
          <w:b/>
          <w:bCs/>
        </w:rPr>
      </w:pPr>
    </w:p>
    <w:p w14:paraId="65474D07" w14:textId="6C67D781" w:rsidR="00963419" w:rsidRPr="00184155" w:rsidRDefault="00102321" w:rsidP="00B81394">
      <w:pPr>
        <w:spacing w:after="0" w:line="252" w:lineRule="auto"/>
        <w:contextualSpacing/>
        <w:jc w:val="right"/>
        <w:rPr>
          <w:rFonts w:ascii="Cambria" w:hAnsi="Cambria" w:cs="Arial"/>
          <w:b/>
          <w:bCs/>
        </w:rPr>
      </w:pPr>
      <w:r>
        <w:rPr>
          <w:rFonts w:ascii="Cambria" w:hAnsi="Cambria" w:cs="Arial"/>
          <w:b/>
          <w:bCs/>
        </w:rPr>
        <w:t>LEGAL UPDATES VOL.</w:t>
      </w:r>
      <w:r w:rsidR="00963419" w:rsidRPr="00184155">
        <w:rPr>
          <w:rFonts w:ascii="Cambria" w:hAnsi="Cambria" w:cs="Arial"/>
          <w:b/>
          <w:bCs/>
        </w:rPr>
        <w:t>11</w:t>
      </w:r>
    </w:p>
    <w:p w14:paraId="7B62E2D3" w14:textId="751881F7" w:rsidR="00963419" w:rsidRPr="00184155" w:rsidRDefault="00102321" w:rsidP="00B81394">
      <w:pPr>
        <w:spacing w:after="0" w:line="252" w:lineRule="auto"/>
        <w:contextualSpacing/>
        <w:jc w:val="right"/>
        <w:rPr>
          <w:rFonts w:ascii="Cambria" w:hAnsi="Cambria" w:cs="Arial"/>
          <w:b/>
          <w:bCs/>
        </w:rPr>
      </w:pPr>
      <w:r>
        <w:rPr>
          <w:rFonts w:ascii="Cambria" w:hAnsi="Cambria" w:cs="Arial"/>
          <w:b/>
          <w:bCs/>
        </w:rPr>
        <w:t>AUGUST</w:t>
      </w:r>
      <w:r w:rsidR="00963419" w:rsidRPr="00184155">
        <w:rPr>
          <w:rFonts w:ascii="Cambria" w:hAnsi="Cambria" w:cs="Arial"/>
          <w:b/>
          <w:bCs/>
        </w:rPr>
        <w:t>, 2021</w:t>
      </w:r>
    </w:p>
    <w:p w14:paraId="1BA4BE54" w14:textId="77777777" w:rsidR="00963419" w:rsidRPr="00184155" w:rsidRDefault="00963419" w:rsidP="00B81394">
      <w:pPr>
        <w:spacing w:after="0" w:line="252" w:lineRule="auto"/>
        <w:contextualSpacing/>
        <w:jc w:val="both"/>
        <w:rPr>
          <w:rFonts w:ascii="Cambria" w:hAnsi="Cambria"/>
          <w:b/>
          <w:bCs/>
        </w:rPr>
      </w:pPr>
    </w:p>
    <w:p w14:paraId="67ADBA43" w14:textId="59FDED37" w:rsidR="00102321" w:rsidRPr="00102321" w:rsidRDefault="005858AB" w:rsidP="00B81394">
      <w:pPr>
        <w:spacing w:after="0" w:line="252" w:lineRule="auto"/>
        <w:contextualSpacing/>
        <w:jc w:val="both"/>
        <w:rPr>
          <w:rFonts w:ascii="Cambria" w:hAnsi="Cambria"/>
          <w:b/>
          <w:bCs/>
        </w:rPr>
      </w:pPr>
      <w:r>
        <w:rPr>
          <w:rFonts w:ascii="Cambria" w:hAnsi="Cambria"/>
          <w:b/>
          <w:bCs/>
        </w:rPr>
        <w:t>Dear Valued Client</w:t>
      </w:r>
      <w:r w:rsidR="00102321" w:rsidRPr="00102321">
        <w:rPr>
          <w:rFonts w:ascii="Cambria" w:hAnsi="Cambria"/>
          <w:b/>
          <w:bCs/>
        </w:rPr>
        <w:t>s and Partners,</w:t>
      </w:r>
    </w:p>
    <w:p w14:paraId="4B1C91D7" w14:textId="77777777" w:rsidR="00963419" w:rsidRPr="00184155" w:rsidRDefault="00963419" w:rsidP="00B81394">
      <w:pPr>
        <w:spacing w:after="0" w:line="252" w:lineRule="auto"/>
        <w:contextualSpacing/>
        <w:jc w:val="both"/>
        <w:rPr>
          <w:rFonts w:ascii="Cambria" w:hAnsi="Cambria"/>
        </w:rPr>
      </w:pPr>
      <w:r w:rsidRPr="00184155">
        <w:rPr>
          <w:rFonts w:ascii="Cambria" w:hAnsi="Cambria"/>
        </w:rPr>
        <w:t> </w:t>
      </w:r>
    </w:p>
    <w:p w14:paraId="30AC7289" w14:textId="5EFA8F91" w:rsidR="00102321" w:rsidRPr="00102321" w:rsidRDefault="00102321" w:rsidP="00B81394">
      <w:pPr>
        <w:spacing w:after="0" w:line="252" w:lineRule="auto"/>
        <w:contextualSpacing/>
        <w:jc w:val="both"/>
        <w:rPr>
          <w:rFonts w:ascii="Cambria" w:hAnsi="Cambria"/>
        </w:rPr>
      </w:pPr>
      <w:r w:rsidRPr="00102321">
        <w:rPr>
          <w:rFonts w:ascii="Cambria" w:hAnsi="Cambria"/>
        </w:rPr>
        <w:t>ADK Lawyers Law Firm would like to introduc</w:t>
      </w:r>
      <w:r w:rsidR="005858AB">
        <w:rPr>
          <w:rFonts w:ascii="Cambria" w:hAnsi="Cambria"/>
        </w:rPr>
        <w:t xml:space="preserve">e to you the Legal Updates, Vol. </w:t>
      </w:r>
      <w:r>
        <w:rPr>
          <w:rFonts w:ascii="Cambria" w:hAnsi="Cambria"/>
        </w:rPr>
        <w:t>11</w:t>
      </w:r>
      <w:r w:rsidRPr="00102321">
        <w:rPr>
          <w:rFonts w:ascii="Cambria" w:hAnsi="Cambria"/>
        </w:rPr>
        <w:t xml:space="preserve"> of </w:t>
      </w:r>
      <w:r>
        <w:rPr>
          <w:rFonts w:ascii="Cambria" w:hAnsi="Cambria"/>
        </w:rPr>
        <w:t>August</w:t>
      </w:r>
      <w:r w:rsidRPr="00102321">
        <w:rPr>
          <w:rFonts w:ascii="Cambria" w:hAnsi="Cambria"/>
        </w:rPr>
        <w:t xml:space="preserve"> 2021, with notable contents as follows:</w:t>
      </w:r>
    </w:p>
    <w:p w14:paraId="6CECC06D" w14:textId="77777777" w:rsidR="00963419" w:rsidRPr="00184155" w:rsidRDefault="00963419" w:rsidP="00B81394">
      <w:pPr>
        <w:spacing w:after="0" w:line="252" w:lineRule="auto"/>
        <w:contextualSpacing/>
        <w:jc w:val="both"/>
        <w:rPr>
          <w:rFonts w:ascii="Cambria" w:hAnsi="Cambria"/>
        </w:rPr>
      </w:pPr>
    </w:p>
    <w:p w14:paraId="59751FD2" w14:textId="3229C8D9" w:rsidR="00BD2D6D" w:rsidRPr="009B6A32" w:rsidRDefault="0086474A" w:rsidP="00D82060">
      <w:pPr>
        <w:pStyle w:val="ListParagraph"/>
        <w:numPr>
          <w:ilvl w:val="0"/>
          <w:numId w:val="16"/>
        </w:numPr>
        <w:spacing w:after="0" w:line="252" w:lineRule="auto"/>
        <w:ind w:hanging="720"/>
        <w:jc w:val="both"/>
        <w:rPr>
          <w:rFonts w:ascii="Cambria" w:hAnsi="Cambria"/>
          <w:b/>
          <w:bCs/>
          <w:spacing w:val="-6"/>
        </w:rPr>
      </w:pPr>
      <w:r w:rsidRPr="009B6A32">
        <w:rPr>
          <w:rFonts w:ascii="Cambria" w:hAnsi="Cambria"/>
          <w:b/>
          <w:bCs/>
          <w:spacing w:val="-6"/>
        </w:rPr>
        <w:t>Clarifying regulations on childbirth allowances for male employees</w:t>
      </w:r>
      <w:r w:rsidR="00C13A5F" w:rsidRPr="009B6A32">
        <w:rPr>
          <w:rFonts w:ascii="Cambria" w:hAnsi="Cambria"/>
          <w:b/>
          <w:bCs/>
          <w:spacing w:val="-6"/>
        </w:rPr>
        <w:t xml:space="preserve"> and </w:t>
      </w:r>
      <w:r w:rsidR="00D82060" w:rsidRPr="009B6A32">
        <w:rPr>
          <w:rFonts w:ascii="Cambria" w:hAnsi="Cambria"/>
          <w:b/>
          <w:bCs/>
          <w:spacing w:val="-6"/>
        </w:rPr>
        <w:t>supplementing incomes for which compulsory social insurance contribut</w:t>
      </w:r>
      <w:bookmarkStart w:id="0" w:name="_GoBack"/>
      <w:bookmarkEnd w:id="0"/>
      <w:r w:rsidR="00D82060" w:rsidRPr="009B6A32">
        <w:rPr>
          <w:rFonts w:ascii="Cambria" w:hAnsi="Cambria"/>
          <w:b/>
          <w:bCs/>
          <w:spacing w:val="-6"/>
        </w:rPr>
        <w:t>ions and contributions are excluded.</w:t>
      </w:r>
    </w:p>
    <w:p w14:paraId="54655FF4" w14:textId="77777777" w:rsidR="00250DC9" w:rsidRPr="00184155" w:rsidRDefault="00250DC9" w:rsidP="00B81394">
      <w:pPr>
        <w:spacing w:after="0" w:line="252" w:lineRule="auto"/>
        <w:contextualSpacing/>
        <w:jc w:val="both"/>
        <w:rPr>
          <w:rFonts w:ascii="Cambria" w:hAnsi="Cambria"/>
        </w:rPr>
      </w:pPr>
    </w:p>
    <w:p w14:paraId="1114C63A" w14:textId="3BD6A2ED" w:rsidR="006F70B7" w:rsidRPr="00184155" w:rsidRDefault="00A20841" w:rsidP="00B81394">
      <w:pPr>
        <w:spacing w:after="0" w:line="252" w:lineRule="auto"/>
        <w:ind w:left="720"/>
        <w:contextualSpacing/>
        <w:jc w:val="both"/>
        <w:rPr>
          <w:rFonts w:ascii="Cambria" w:hAnsi="Cambria"/>
        </w:rPr>
      </w:pPr>
      <w:r w:rsidRPr="00A20841">
        <w:rPr>
          <w:rFonts w:ascii="Cambria" w:hAnsi="Cambria"/>
        </w:rPr>
        <w:t>On July 7, 2021, Ministry of Labor, War Invalids and Social Affairs</w:t>
      </w:r>
      <w:r w:rsidR="00901DD9">
        <w:rPr>
          <w:rFonts w:ascii="Cambria" w:hAnsi="Cambria"/>
        </w:rPr>
        <w:t xml:space="preserve"> (MOLISA)</w:t>
      </w:r>
      <w:r w:rsidRPr="00A20841">
        <w:rPr>
          <w:rFonts w:ascii="Cambria" w:hAnsi="Cambria"/>
        </w:rPr>
        <w:t xml:space="preserve"> issued Circular 06/2021/TT-BLDTBXH amending and supplementing Circular 59/2015/TT-BLDTBXH, effective from September </w:t>
      </w:r>
      <w:r>
        <w:rPr>
          <w:rFonts w:ascii="Cambria" w:hAnsi="Cambria"/>
        </w:rPr>
        <w:t>0</w:t>
      </w:r>
      <w:r w:rsidRPr="00A20841">
        <w:rPr>
          <w:rFonts w:ascii="Cambria" w:hAnsi="Cambria"/>
        </w:rPr>
        <w:t xml:space="preserve">1, 2021. </w:t>
      </w:r>
      <w:r w:rsidR="003C4A8A">
        <w:rPr>
          <w:rFonts w:ascii="Cambria" w:hAnsi="Cambria"/>
        </w:rPr>
        <w:t>Of which,</w:t>
      </w:r>
    </w:p>
    <w:p w14:paraId="3862859D" w14:textId="77777777" w:rsidR="006F70B7" w:rsidRPr="00184155" w:rsidRDefault="006F70B7" w:rsidP="00B81394">
      <w:pPr>
        <w:spacing w:after="0" w:line="252" w:lineRule="auto"/>
        <w:ind w:left="720"/>
        <w:contextualSpacing/>
        <w:jc w:val="both"/>
        <w:rPr>
          <w:rFonts w:ascii="Cambria" w:hAnsi="Cambria"/>
        </w:rPr>
      </w:pPr>
    </w:p>
    <w:p w14:paraId="59B6BBB3" w14:textId="1938F9CA" w:rsidR="009B75B8" w:rsidRDefault="00F14F1F" w:rsidP="00F14F1F">
      <w:pPr>
        <w:pStyle w:val="ListParagraph"/>
        <w:numPr>
          <w:ilvl w:val="0"/>
          <w:numId w:val="25"/>
        </w:numPr>
        <w:spacing w:after="0" w:line="252" w:lineRule="auto"/>
        <w:ind w:left="1440" w:hanging="720"/>
        <w:jc w:val="both"/>
        <w:rPr>
          <w:rFonts w:ascii="Cambria" w:hAnsi="Cambria"/>
        </w:rPr>
      </w:pPr>
      <w:r w:rsidRPr="00F14F1F">
        <w:rPr>
          <w:rFonts w:ascii="Cambria" w:hAnsi="Cambria"/>
        </w:rPr>
        <w:t xml:space="preserve">Article 1.5 Circular 06/2021/TT-BLDTBXH, supplementing Article 9.2 (c) Circular 59/2015/TT-BLDTBXH providing for the case of </w:t>
      </w:r>
      <w:r>
        <w:rPr>
          <w:rFonts w:ascii="Cambria" w:hAnsi="Cambria"/>
        </w:rPr>
        <w:t>child</w:t>
      </w:r>
      <w:r w:rsidRPr="00F14F1F">
        <w:rPr>
          <w:rFonts w:ascii="Cambria" w:hAnsi="Cambria"/>
        </w:rPr>
        <w:t>birth allowance for male employees, specifically, In case the mother participates in social insurance but is not eligible for maternity benefits upon giving birth, and the father meets the conditions specified in Article 9.2 (a) Circular 59/2015/TT-BLDTBXH, the father is entitled to Childbirth allowance according to Article 38 of the Law on Social Insurance</w:t>
      </w:r>
      <w:r w:rsidR="006F52A3">
        <w:rPr>
          <w:rFonts w:ascii="Cambria" w:hAnsi="Cambria"/>
        </w:rPr>
        <w:t xml:space="preserve"> (LSI)</w:t>
      </w:r>
      <w:r w:rsidRPr="00F14F1F">
        <w:rPr>
          <w:rFonts w:ascii="Cambria" w:hAnsi="Cambria"/>
        </w:rPr>
        <w:t xml:space="preserve">. The addition of this provision is intended to clarify the provisions on the </w:t>
      </w:r>
      <w:r w:rsidR="006F52A3">
        <w:rPr>
          <w:rFonts w:ascii="Cambria" w:hAnsi="Cambria"/>
        </w:rPr>
        <w:t>childbirth</w:t>
      </w:r>
      <w:r w:rsidR="006F52A3" w:rsidRPr="00F14F1F">
        <w:rPr>
          <w:rFonts w:ascii="Cambria" w:hAnsi="Cambria"/>
        </w:rPr>
        <w:t xml:space="preserve"> </w:t>
      </w:r>
      <w:r w:rsidR="006F52A3">
        <w:rPr>
          <w:rFonts w:ascii="Cambria" w:hAnsi="Cambria"/>
        </w:rPr>
        <w:t>allowance in Article 38 of LSI</w:t>
      </w:r>
      <w:r w:rsidRPr="00F14F1F">
        <w:rPr>
          <w:rFonts w:ascii="Cambria" w:hAnsi="Cambria"/>
        </w:rPr>
        <w:t>.</w:t>
      </w:r>
    </w:p>
    <w:p w14:paraId="39D38C0E" w14:textId="03B0CE7B" w:rsidR="006F52A3" w:rsidRDefault="006F52A3" w:rsidP="006F52A3">
      <w:pPr>
        <w:pStyle w:val="ListParagraph"/>
        <w:spacing w:after="0" w:line="252" w:lineRule="auto"/>
        <w:ind w:left="1440"/>
        <w:jc w:val="both"/>
        <w:rPr>
          <w:rFonts w:ascii="Cambria" w:hAnsi="Cambria"/>
        </w:rPr>
      </w:pPr>
    </w:p>
    <w:p w14:paraId="30EDEC8C" w14:textId="03C4C9F4" w:rsidR="006F52A3" w:rsidRDefault="006F52A3" w:rsidP="006F52A3">
      <w:pPr>
        <w:pStyle w:val="ListParagraph"/>
        <w:spacing w:after="0" w:line="252" w:lineRule="auto"/>
        <w:ind w:left="1440"/>
        <w:jc w:val="both"/>
        <w:rPr>
          <w:rFonts w:ascii="Cambria" w:hAnsi="Cambria"/>
        </w:rPr>
      </w:pPr>
      <w:r w:rsidRPr="006F52A3">
        <w:rPr>
          <w:rFonts w:ascii="Cambria" w:hAnsi="Cambria"/>
        </w:rPr>
        <w:t xml:space="preserve">Thus, in case both husband and wife participate in social insurance and the wife is not eligible for maternity benefits, the husband who has paid social insurance contributions for full 06 months in the 12 months before giving birth will be entitled to a </w:t>
      </w:r>
      <w:r>
        <w:rPr>
          <w:rFonts w:ascii="Cambria" w:hAnsi="Cambria"/>
        </w:rPr>
        <w:t>child</w:t>
      </w:r>
      <w:r w:rsidRPr="006F52A3">
        <w:rPr>
          <w:rFonts w:ascii="Cambria" w:hAnsi="Cambria"/>
        </w:rPr>
        <w:t>birth allowance</w:t>
      </w:r>
      <w:r>
        <w:rPr>
          <w:rFonts w:ascii="Cambria" w:hAnsi="Cambria"/>
        </w:rPr>
        <w:t xml:space="preserve"> </w:t>
      </w:r>
      <w:r w:rsidRPr="006F52A3">
        <w:rPr>
          <w:rFonts w:ascii="Cambria" w:hAnsi="Cambria"/>
        </w:rPr>
        <w:t>will be entitled to a birth allowance equal to 2 months' basic salary in the month of childbirth for each child.</w:t>
      </w:r>
    </w:p>
    <w:p w14:paraId="2F843E07" w14:textId="7F4C68B5" w:rsidR="00D85D4A" w:rsidRDefault="00D85D4A" w:rsidP="006F52A3">
      <w:pPr>
        <w:pStyle w:val="ListParagraph"/>
        <w:spacing w:after="0" w:line="252" w:lineRule="auto"/>
        <w:ind w:left="1440"/>
        <w:jc w:val="both"/>
        <w:rPr>
          <w:rFonts w:ascii="Cambria" w:hAnsi="Cambria"/>
        </w:rPr>
      </w:pPr>
    </w:p>
    <w:p w14:paraId="3159E39D" w14:textId="365FACF7" w:rsidR="00D85D4A" w:rsidRDefault="00D85D4A" w:rsidP="006F52A3">
      <w:pPr>
        <w:pStyle w:val="ListParagraph"/>
        <w:spacing w:after="0" w:line="252" w:lineRule="auto"/>
        <w:ind w:left="1440"/>
        <w:jc w:val="both"/>
        <w:rPr>
          <w:rFonts w:ascii="Cambria" w:hAnsi="Cambria"/>
        </w:rPr>
      </w:pPr>
      <w:r w:rsidRPr="00D85D4A">
        <w:rPr>
          <w:rFonts w:ascii="Cambria" w:hAnsi="Cambria"/>
        </w:rPr>
        <w:t>In addition, the determination of 12 months before childbirth for male employees and the husband of the mother who asks for surrogacy benefits when the wife gives birth shall comply with the provisions of 9 Circular 59/2015/TT-</w:t>
      </w:r>
      <w:proofErr w:type="spellStart"/>
      <w:r w:rsidRPr="00D85D4A">
        <w:rPr>
          <w:rFonts w:ascii="Cambria" w:hAnsi="Cambria"/>
        </w:rPr>
        <w:t>TTg</w:t>
      </w:r>
      <w:proofErr w:type="spellEnd"/>
      <w:r w:rsidRPr="00D85D4A">
        <w:rPr>
          <w:rFonts w:ascii="Cambria" w:hAnsi="Cambria"/>
        </w:rPr>
        <w:t>. BLDTBXH.</w:t>
      </w:r>
    </w:p>
    <w:p w14:paraId="2D976D9B" w14:textId="77777777" w:rsidR="00F14F1F" w:rsidRPr="00184155" w:rsidRDefault="00F14F1F" w:rsidP="00B81394">
      <w:pPr>
        <w:pStyle w:val="ListParagraph"/>
        <w:spacing w:after="0" w:line="252" w:lineRule="auto"/>
        <w:ind w:left="2127"/>
        <w:jc w:val="both"/>
        <w:rPr>
          <w:rFonts w:ascii="Cambria" w:hAnsi="Cambria"/>
        </w:rPr>
      </w:pPr>
    </w:p>
    <w:p w14:paraId="0609CF74" w14:textId="5AD57817" w:rsidR="009D4D5C" w:rsidRPr="009B6A32" w:rsidRDefault="004302A6" w:rsidP="00B81394">
      <w:pPr>
        <w:pStyle w:val="ListParagraph"/>
        <w:numPr>
          <w:ilvl w:val="0"/>
          <w:numId w:val="25"/>
        </w:numPr>
        <w:spacing w:after="0" w:line="252" w:lineRule="auto"/>
        <w:ind w:left="1418" w:hanging="709"/>
        <w:jc w:val="both"/>
        <w:rPr>
          <w:rFonts w:ascii="Cambria" w:hAnsi="Cambria"/>
        </w:rPr>
      </w:pPr>
      <w:r w:rsidRPr="009B6A32">
        <w:rPr>
          <w:rFonts w:ascii="Cambria" w:hAnsi="Cambria"/>
        </w:rPr>
        <w:t xml:space="preserve">The incomes </w:t>
      </w:r>
      <w:r w:rsidR="008E59C0" w:rsidRPr="009B6A32">
        <w:rPr>
          <w:rFonts w:ascii="Cambria" w:hAnsi="Cambria"/>
        </w:rPr>
        <w:t xml:space="preserve">for </w:t>
      </w:r>
      <w:r w:rsidRPr="009B6A32">
        <w:rPr>
          <w:rFonts w:ascii="Cambria" w:hAnsi="Cambria"/>
        </w:rPr>
        <w:t>calculat</w:t>
      </w:r>
      <w:r w:rsidR="008E59C0" w:rsidRPr="009B6A32">
        <w:rPr>
          <w:rFonts w:ascii="Cambria" w:hAnsi="Cambria"/>
        </w:rPr>
        <w:t>ing</w:t>
      </w:r>
      <w:r w:rsidRPr="009B6A32">
        <w:rPr>
          <w:rFonts w:ascii="Cambria" w:hAnsi="Cambria"/>
        </w:rPr>
        <w:t xml:space="preserve"> and excluded from the SI </w:t>
      </w:r>
      <w:r w:rsidR="008E59C0" w:rsidRPr="009B6A32">
        <w:rPr>
          <w:rFonts w:ascii="Cambria" w:hAnsi="Cambria"/>
        </w:rPr>
        <w:t>contribution</w:t>
      </w:r>
    </w:p>
    <w:p w14:paraId="37CE9EB6" w14:textId="2A3D997C" w:rsidR="009B75B8" w:rsidRPr="009B6A32" w:rsidRDefault="009B75B8" w:rsidP="00B81394">
      <w:pPr>
        <w:pStyle w:val="ListParagraph"/>
        <w:spacing w:after="0" w:line="252" w:lineRule="auto"/>
        <w:ind w:left="1418"/>
        <w:jc w:val="both"/>
        <w:rPr>
          <w:rFonts w:ascii="Cambria" w:hAnsi="Cambria"/>
        </w:rPr>
      </w:pPr>
    </w:p>
    <w:p w14:paraId="1879424E" w14:textId="2B421FFB" w:rsidR="009D4D5C" w:rsidRPr="009B6A32" w:rsidRDefault="004302A6" w:rsidP="00B81394">
      <w:pPr>
        <w:pStyle w:val="ListParagraph"/>
        <w:numPr>
          <w:ilvl w:val="0"/>
          <w:numId w:val="27"/>
        </w:numPr>
        <w:spacing w:after="0" w:line="252" w:lineRule="auto"/>
        <w:ind w:hanging="720"/>
        <w:jc w:val="both"/>
        <w:rPr>
          <w:rFonts w:ascii="Cambria" w:hAnsi="Cambria"/>
        </w:rPr>
      </w:pPr>
      <w:r w:rsidRPr="009B6A32">
        <w:rPr>
          <w:rFonts w:ascii="Cambria" w:hAnsi="Cambria"/>
        </w:rPr>
        <w:t xml:space="preserve">The incomes </w:t>
      </w:r>
      <w:r w:rsidR="008E59C0" w:rsidRPr="009B6A32">
        <w:rPr>
          <w:rFonts w:ascii="Cambria" w:hAnsi="Cambria"/>
        </w:rPr>
        <w:t xml:space="preserve">for </w:t>
      </w:r>
      <w:r w:rsidRPr="009B6A32">
        <w:rPr>
          <w:rFonts w:ascii="Cambria" w:hAnsi="Cambria"/>
        </w:rPr>
        <w:t>calculat</w:t>
      </w:r>
      <w:r w:rsidR="008E59C0" w:rsidRPr="009B6A32">
        <w:rPr>
          <w:rFonts w:ascii="Cambria" w:hAnsi="Cambria"/>
        </w:rPr>
        <w:t>ing the SI contribution</w:t>
      </w:r>
      <w:r w:rsidR="0088356A" w:rsidRPr="009B6A32">
        <w:rPr>
          <w:rFonts w:ascii="Cambria" w:hAnsi="Cambria"/>
        </w:rPr>
        <w:t>:</w:t>
      </w:r>
    </w:p>
    <w:p w14:paraId="62A27FF0" w14:textId="76508EF0" w:rsidR="009B75B8" w:rsidRPr="009B6A32" w:rsidRDefault="009B75B8" w:rsidP="00B81394">
      <w:pPr>
        <w:pStyle w:val="ListParagraph"/>
        <w:spacing w:after="0" w:line="252" w:lineRule="auto"/>
        <w:ind w:left="2138"/>
        <w:jc w:val="both"/>
        <w:rPr>
          <w:rFonts w:ascii="Cambria" w:hAnsi="Cambria"/>
        </w:rPr>
      </w:pPr>
    </w:p>
    <w:p w14:paraId="258B731A" w14:textId="202C859E" w:rsidR="00761EB1" w:rsidRPr="009B6A32" w:rsidRDefault="00761EB1" w:rsidP="00761EB1">
      <w:pPr>
        <w:pStyle w:val="ListParagraph"/>
        <w:spacing w:after="0" w:line="252" w:lineRule="auto"/>
        <w:ind w:left="2160"/>
        <w:jc w:val="both"/>
        <w:rPr>
          <w:rFonts w:ascii="Cambria" w:hAnsi="Cambria"/>
        </w:rPr>
      </w:pPr>
      <w:r w:rsidRPr="009B6A32">
        <w:rPr>
          <w:rFonts w:ascii="Cambria" w:hAnsi="Cambria"/>
        </w:rPr>
        <w:t>From January 1, 2021 onward, the monthly salary on which social insurance premiums are based is the salary, salary allowance and other additional amounts specified at Point a, Item b1 Point b and Item c1 Article 3.5 (c) of Circular 10/2020/TT-BLDTBXH. Specifically,</w:t>
      </w:r>
    </w:p>
    <w:p w14:paraId="0B889616" w14:textId="77777777" w:rsidR="00761EB1" w:rsidRPr="009B6A32" w:rsidRDefault="00761EB1" w:rsidP="00B81394">
      <w:pPr>
        <w:pStyle w:val="ListParagraph"/>
        <w:spacing w:after="0" w:line="252" w:lineRule="auto"/>
        <w:ind w:left="2138"/>
        <w:jc w:val="both"/>
        <w:rPr>
          <w:rFonts w:ascii="Cambria" w:hAnsi="Cambria"/>
        </w:rPr>
      </w:pPr>
    </w:p>
    <w:p w14:paraId="0B40A888" w14:textId="3386FD60" w:rsidR="009B75B8" w:rsidRPr="009B6A32" w:rsidRDefault="008E59C0" w:rsidP="00B81394">
      <w:pPr>
        <w:pStyle w:val="ListParagraph"/>
        <w:numPr>
          <w:ilvl w:val="0"/>
          <w:numId w:val="28"/>
        </w:numPr>
        <w:spacing w:after="0" w:line="252" w:lineRule="auto"/>
        <w:ind w:left="2835" w:hanging="708"/>
        <w:jc w:val="both"/>
        <w:rPr>
          <w:rFonts w:ascii="Cambria" w:hAnsi="Cambria"/>
        </w:rPr>
      </w:pPr>
      <w:r w:rsidRPr="009B6A32">
        <w:rPr>
          <w:rFonts w:ascii="Cambria" w:hAnsi="Cambria"/>
        </w:rPr>
        <w:t>Salary for job or job title</w:t>
      </w:r>
      <w:r w:rsidR="009B75B8" w:rsidRPr="009B6A32">
        <w:rPr>
          <w:rFonts w:ascii="Cambria" w:hAnsi="Cambria"/>
        </w:rPr>
        <w:t>;</w:t>
      </w:r>
    </w:p>
    <w:p w14:paraId="0F12FB11" w14:textId="77777777" w:rsidR="009B75B8" w:rsidRPr="009B6A32" w:rsidRDefault="009B75B8" w:rsidP="00B81394">
      <w:pPr>
        <w:pStyle w:val="ListParagraph"/>
        <w:spacing w:after="0" w:line="252" w:lineRule="auto"/>
        <w:ind w:left="2835"/>
        <w:jc w:val="both"/>
        <w:rPr>
          <w:rFonts w:ascii="Cambria" w:hAnsi="Cambria"/>
        </w:rPr>
      </w:pPr>
    </w:p>
    <w:p w14:paraId="738A329B" w14:textId="514D75DB" w:rsidR="009B75B8" w:rsidRPr="009B6A32" w:rsidRDefault="008E59C0" w:rsidP="00B81394">
      <w:pPr>
        <w:pStyle w:val="ListParagraph"/>
        <w:numPr>
          <w:ilvl w:val="0"/>
          <w:numId w:val="28"/>
        </w:numPr>
        <w:spacing w:after="0" w:line="252" w:lineRule="auto"/>
        <w:ind w:left="2835" w:hanging="708"/>
        <w:jc w:val="both"/>
        <w:rPr>
          <w:rFonts w:ascii="Cambria" w:hAnsi="Cambria"/>
        </w:rPr>
      </w:pPr>
      <w:r w:rsidRPr="009B6A32">
        <w:rPr>
          <w:rFonts w:ascii="Cambria" w:hAnsi="Cambria"/>
        </w:rPr>
        <w:t xml:space="preserve">Salary allowance under bilateral agreement: </w:t>
      </w:r>
      <w:r w:rsidR="00D605C5" w:rsidRPr="009B6A32">
        <w:rPr>
          <w:rFonts w:ascii="Cambria" w:hAnsi="Cambria"/>
        </w:rPr>
        <w:t>The s</w:t>
      </w:r>
      <w:r w:rsidRPr="009B6A32">
        <w:rPr>
          <w:rFonts w:ascii="Cambria" w:hAnsi="Cambria"/>
        </w:rPr>
        <w:t xml:space="preserve">alary allowances </w:t>
      </w:r>
      <w:r w:rsidR="00D605C5" w:rsidRPr="009B6A32">
        <w:rPr>
          <w:rFonts w:ascii="Cambria" w:hAnsi="Cambria"/>
        </w:rPr>
        <w:t>for c</w:t>
      </w:r>
      <w:r w:rsidRPr="009B6A32">
        <w:rPr>
          <w:rFonts w:ascii="Cambria" w:hAnsi="Cambria"/>
        </w:rPr>
        <w:t>ompensat</w:t>
      </w:r>
      <w:r w:rsidR="00D605C5" w:rsidRPr="009B6A32">
        <w:rPr>
          <w:rFonts w:ascii="Cambria" w:hAnsi="Cambria"/>
        </w:rPr>
        <w:t xml:space="preserve">ion </w:t>
      </w:r>
      <w:r w:rsidRPr="009B6A32">
        <w:rPr>
          <w:rFonts w:ascii="Cambria" w:hAnsi="Cambria"/>
        </w:rPr>
        <w:t xml:space="preserve">of working conditions, work complexity, living conditions, and level of labor attraction that the </w:t>
      </w:r>
      <w:r w:rsidR="00D605C5" w:rsidRPr="009B6A32">
        <w:rPr>
          <w:rFonts w:ascii="Cambria" w:hAnsi="Cambria"/>
        </w:rPr>
        <w:t xml:space="preserve">agreed </w:t>
      </w:r>
      <w:r w:rsidRPr="009B6A32">
        <w:rPr>
          <w:rFonts w:ascii="Cambria" w:hAnsi="Cambria"/>
        </w:rPr>
        <w:t xml:space="preserve">salary in the labor contract has not been </w:t>
      </w:r>
      <w:r w:rsidR="00D605C5" w:rsidRPr="009B6A32">
        <w:rPr>
          <w:rFonts w:ascii="Cambria" w:hAnsi="Cambria"/>
        </w:rPr>
        <w:t xml:space="preserve">accounted or </w:t>
      </w:r>
      <w:r w:rsidRPr="009B6A32">
        <w:rPr>
          <w:rFonts w:ascii="Cambria" w:hAnsi="Cambria"/>
        </w:rPr>
        <w:t>incomplete</w:t>
      </w:r>
      <w:r w:rsidR="00D605C5" w:rsidRPr="009B6A32">
        <w:rPr>
          <w:rFonts w:ascii="Cambria" w:hAnsi="Cambria"/>
        </w:rPr>
        <w:t>ly accounted</w:t>
      </w:r>
      <w:r w:rsidR="009B75B8" w:rsidRPr="009B6A32">
        <w:rPr>
          <w:rFonts w:ascii="Cambria" w:hAnsi="Cambria"/>
        </w:rPr>
        <w:t>;</w:t>
      </w:r>
    </w:p>
    <w:p w14:paraId="66367C96" w14:textId="77777777" w:rsidR="009B75B8" w:rsidRPr="009B6A32" w:rsidRDefault="009B75B8" w:rsidP="00B81394">
      <w:pPr>
        <w:pStyle w:val="ListParagraph"/>
        <w:spacing w:after="0" w:line="252" w:lineRule="auto"/>
        <w:ind w:left="2835"/>
        <w:jc w:val="both"/>
        <w:rPr>
          <w:rFonts w:ascii="Cambria" w:hAnsi="Cambria"/>
        </w:rPr>
      </w:pPr>
    </w:p>
    <w:p w14:paraId="38F272DA" w14:textId="32F65B92" w:rsidR="009B75B8" w:rsidRPr="009B6A32" w:rsidRDefault="00D605C5" w:rsidP="00B81394">
      <w:pPr>
        <w:pStyle w:val="ListParagraph"/>
        <w:numPr>
          <w:ilvl w:val="0"/>
          <w:numId w:val="28"/>
        </w:numPr>
        <w:spacing w:after="0" w:line="252" w:lineRule="auto"/>
        <w:ind w:left="2835" w:hanging="708"/>
        <w:jc w:val="both"/>
        <w:rPr>
          <w:rFonts w:ascii="Cambria" w:hAnsi="Cambria"/>
        </w:rPr>
      </w:pPr>
      <w:r w:rsidRPr="009B6A32">
        <w:rPr>
          <w:rFonts w:ascii="Cambria" w:hAnsi="Cambria"/>
        </w:rPr>
        <w:t>Other additional amounts under the bilateral agreement: The additional amounts are defined with a specific money amount along with the agreed salary in the labor contract and regularly paid in each payment period</w:t>
      </w:r>
      <w:r w:rsidR="0088356A" w:rsidRPr="009B6A32">
        <w:rPr>
          <w:rFonts w:ascii="Cambria" w:hAnsi="Cambria"/>
        </w:rPr>
        <w:t>.</w:t>
      </w:r>
    </w:p>
    <w:p w14:paraId="53567649" w14:textId="77777777" w:rsidR="009B75B8" w:rsidRPr="009B6A32" w:rsidRDefault="009B75B8" w:rsidP="00B81394">
      <w:pPr>
        <w:pStyle w:val="ListParagraph"/>
        <w:spacing w:after="0" w:line="252" w:lineRule="auto"/>
        <w:ind w:left="2835"/>
        <w:jc w:val="both"/>
        <w:rPr>
          <w:rFonts w:ascii="Cambria" w:hAnsi="Cambria"/>
        </w:rPr>
      </w:pPr>
    </w:p>
    <w:p w14:paraId="321FB01A" w14:textId="79B53502" w:rsidR="0088356A" w:rsidRPr="009B6A32" w:rsidRDefault="008E59C0" w:rsidP="00B81394">
      <w:pPr>
        <w:pStyle w:val="ListParagraph"/>
        <w:numPr>
          <w:ilvl w:val="0"/>
          <w:numId w:val="27"/>
        </w:numPr>
        <w:spacing w:after="0" w:line="252" w:lineRule="auto"/>
        <w:ind w:left="2127" w:hanging="708"/>
        <w:jc w:val="both"/>
        <w:rPr>
          <w:rFonts w:ascii="Cambria" w:hAnsi="Cambria"/>
        </w:rPr>
      </w:pPr>
      <w:r w:rsidRPr="009B6A32">
        <w:rPr>
          <w:rFonts w:ascii="Cambria" w:hAnsi="Cambria"/>
        </w:rPr>
        <w:t>The incomes excluded from the SI contribution:</w:t>
      </w:r>
    </w:p>
    <w:p w14:paraId="3704A8A9" w14:textId="77777777" w:rsidR="009B75B8" w:rsidRPr="009B6A32" w:rsidRDefault="009B75B8" w:rsidP="00B81394">
      <w:pPr>
        <w:pStyle w:val="ListParagraph"/>
        <w:spacing w:after="0" w:line="252" w:lineRule="auto"/>
        <w:ind w:left="2127"/>
        <w:jc w:val="both"/>
        <w:rPr>
          <w:rFonts w:ascii="Cambria" w:hAnsi="Cambria"/>
        </w:rPr>
      </w:pPr>
    </w:p>
    <w:p w14:paraId="675076B3" w14:textId="53C58C86" w:rsidR="009B75B8" w:rsidRPr="009B6A32" w:rsidRDefault="00D605C5" w:rsidP="00B81394">
      <w:pPr>
        <w:pStyle w:val="ListParagraph"/>
        <w:numPr>
          <w:ilvl w:val="0"/>
          <w:numId w:val="29"/>
        </w:numPr>
        <w:spacing w:after="0" w:line="252" w:lineRule="auto"/>
        <w:ind w:left="2835" w:hanging="708"/>
        <w:jc w:val="both"/>
        <w:rPr>
          <w:rFonts w:ascii="Cambria" w:hAnsi="Cambria"/>
        </w:rPr>
      </w:pPr>
      <w:r w:rsidRPr="009B6A32">
        <w:rPr>
          <w:rFonts w:ascii="Cambria" w:hAnsi="Cambria"/>
        </w:rPr>
        <w:t>Bonus under regulation of Article 104 Labor Code</w:t>
      </w:r>
      <w:r w:rsidR="003A7CAA" w:rsidRPr="009B6A32">
        <w:rPr>
          <w:rFonts w:ascii="Cambria" w:hAnsi="Cambria"/>
        </w:rPr>
        <w:t>;</w:t>
      </w:r>
    </w:p>
    <w:p w14:paraId="6D39037F" w14:textId="77777777" w:rsidR="009B75B8" w:rsidRPr="009B6A32" w:rsidRDefault="009B75B8" w:rsidP="00B81394">
      <w:pPr>
        <w:pStyle w:val="ListParagraph"/>
        <w:spacing w:after="0" w:line="252" w:lineRule="auto"/>
        <w:ind w:left="2835"/>
        <w:jc w:val="both"/>
        <w:rPr>
          <w:rFonts w:ascii="Cambria" w:hAnsi="Cambria"/>
        </w:rPr>
      </w:pPr>
    </w:p>
    <w:p w14:paraId="249A754F" w14:textId="4F8F3109" w:rsidR="009B75B8" w:rsidRPr="009B6A32" w:rsidRDefault="00D605C5" w:rsidP="00B81394">
      <w:pPr>
        <w:pStyle w:val="ListParagraph"/>
        <w:numPr>
          <w:ilvl w:val="0"/>
          <w:numId w:val="29"/>
        </w:numPr>
        <w:spacing w:after="0" w:line="252" w:lineRule="auto"/>
        <w:ind w:left="2835" w:hanging="708"/>
        <w:jc w:val="both"/>
        <w:rPr>
          <w:rFonts w:ascii="Cambria" w:hAnsi="Cambria"/>
        </w:rPr>
      </w:pPr>
      <w:r w:rsidRPr="009B6A32">
        <w:rPr>
          <w:rFonts w:ascii="Cambria" w:hAnsi="Cambria"/>
        </w:rPr>
        <w:t>Initiative Bonus</w:t>
      </w:r>
      <w:r w:rsidR="003A7CAA" w:rsidRPr="009B6A32">
        <w:rPr>
          <w:rFonts w:ascii="Cambria" w:hAnsi="Cambria"/>
        </w:rPr>
        <w:t>;</w:t>
      </w:r>
    </w:p>
    <w:p w14:paraId="461106A4" w14:textId="77777777" w:rsidR="009B75B8" w:rsidRPr="009B6A32" w:rsidRDefault="009B75B8" w:rsidP="00B81394">
      <w:pPr>
        <w:pStyle w:val="ListParagraph"/>
        <w:spacing w:after="0" w:line="252" w:lineRule="auto"/>
        <w:ind w:left="2835"/>
        <w:jc w:val="both"/>
        <w:rPr>
          <w:rFonts w:ascii="Cambria" w:hAnsi="Cambria"/>
        </w:rPr>
      </w:pPr>
    </w:p>
    <w:p w14:paraId="3A04690D" w14:textId="501C97B3" w:rsidR="009B75B8" w:rsidRPr="009B6A32" w:rsidRDefault="00606C55" w:rsidP="00B81394">
      <w:pPr>
        <w:pStyle w:val="ListParagraph"/>
        <w:numPr>
          <w:ilvl w:val="0"/>
          <w:numId w:val="29"/>
        </w:numPr>
        <w:spacing w:after="0" w:line="252" w:lineRule="auto"/>
        <w:ind w:left="2835" w:hanging="708"/>
        <w:jc w:val="both"/>
        <w:rPr>
          <w:rFonts w:ascii="Cambria" w:hAnsi="Cambria"/>
        </w:rPr>
      </w:pPr>
      <w:r w:rsidRPr="009B6A32">
        <w:rPr>
          <w:rFonts w:ascii="Cambria" w:hAnsi="Cambria"/>
        </w:rPr>
        <w:t>Mid-shift meal</w:t>
      </w:r>
      <w:r w:rsidR="003A7CAA" w:rsidRPr="009B6A32">
        <w:rPr>
          <w:rFonts w:ascii="Cambria" w:hAnsi="Cambria"/>
        </w:rPr>
        <w:t>;</w:t>
      </w:r>
    </w:p>
    <w:p w14:paraId="1638A78F" w14:textId="77777777" w:rsidR="009B75B8" w:rsidRPr="009B6A32" w:rsidRDefault="009B75B8" w:rsidP="00B81394">
      <w:pPr>
        <w:pStyle w:val="ListParagraph"/>
        <w:spacing w:after="0" w:line="252" w:lineRule="auto"/>
        <w:ind w:left="2835"/>
        <w:jc w:val="both"/>
        <w:rPr>
          <w:rFonts w:ascii="Cambria" w:hAnsi="Cambria"/>
        </w:rPr>
      </w:pPr>
    </w:p>
    <w:p w14:paraId="4927D4C5" w14:textId="7C537245" w:rsidR="009B75B8" w:rsidRPr="009B6A32" w:rsidRDefault="00606C55" w:rsidP="00B81394">
      <w:pPr>
        <w:pStyle w:val="ListParagraph"/>
        <w:numPr>
          <w:ilvl w:val="0"/>
          <w:numId w:val="29"/>
        </w:numPr>
        <w:spacing w:after="0" w:line="252" w:lineRule="auto"/>
        <w:ind w:left="2835" w:hanging="708"/>
        <w:jc w:val="both"/>
        <w:rPr>
          <w:rFonts w:ascii="Cambria" w:hAnsi="Cambria"/>
        </w:rPr>
      </w:pPr>
      <w:r w:rsidRPr="009B6A32">
        <w:rPr>
          <w:rFonts w:ascii="Cambria" w:hAnsi="Cambria"/>
        </w:rPr>
        <w:t>Support such as: petrol, phone, travel expenses, housing, babysitting or child care</w:t>
      </w:r>
      <w:r w:rsidR="009B75B8" w:rsidRPr="009B6A32">
        <w:rPr>
          <w:rFonts w:ascii="Cambria" w:hAnsi="Cambria"/>
        </w:rPr>
        <w:t>;</w:t>
      </w:r>
    </w:p>
    <w:p w14:paraId="47086297" w14:textId="77777777" w:rsidR="009B75B8" w:rsidRPr="009B6A32" w:rsidRDefault="009B75B8" w:rsidP="00B81394">
      <w:pPr>
        <w:pStyle w:val="ListParagraph"/>
        <w:spacing w:after="0" w:line="252" w:lineRule="auto"/>
        <w:ind w:left="2835"/>
        <w:jc w:val="both"/>
        <w:rPr>
          <w:rFonts w:ascii="Cambria" w:hAnsi="Cambria"/>
        </w:rPr>
      </w:pPr>
    </w:p>
    <w:p w14:paraId="310D7032" w14:textId="425384D3" w:rsidR="009B75B8" w:rsidRPr="009B6A32" w:rsidRDefault="00606C55" w:rsidP="00B81394">
      <w:pPr>
        <w:pStyle w:val="ListParagraph"/>
        <w:numPr>
          <w:ilvl w:val="0"/>
          <w:numId w:val="29"/>
        </w:numPr>
        <w:spacing w:after="0" w:line="252" w:lineRule="auto"/>
        <w:ind w:left="2835" w:hanging="708"/>
        <w:jc w:val="both"/>
        <w:rPr>
          <w:rFonts w:ascii="Cambria" w:hAnsi="Cambria"/>
        </w:rPr>
      </w:pPr>
      <w:r w:rsidRPr="009B6A32">
        <w:rPr>
          <w:rFonts w:ascii="Cambria" w:hAnsi="Cambria"/>
        </w:rPr>
        <w:t>Support when the employee: Having  relative dying, relative getting married, birthday</w:t>
      </w:r>
      <w:r w:rsidR="009B75B8" w:rsidRPr="009B6A32">
        <w:rPr>
          <w:rFonts w:ascii="Cambria" w:hAnsi="Cambria"/>
        </w:rPr>
        <w:t>;</w:t>
      </w:r>
    </w:p>
    <w:p w14:paraId="71AA6EFA" w14:textId="77777777" w:rsidR="009B75B8" w:rsidRPr="009B6A32" w:rsidRDefault="009B75B8" w:rsidP="00B81394">
      <w:pPr>
        <w:pStyle w:val="ListParagraph"/>
        <w:spacing w:after="0" w:line="252" w:lineRule="auto"/>
        <w:ind w:left="2835"/>
        <w:jc w:val="both"/>
        <w:rPr>
          <w:rFonts w:ascii="Cambria" w:hAnsi="Cambria"/>
        </w:rPr>
      </w:pPr>
    </w:p>
    <w:p w14:paraId="4DB1A1DF" w14:textId="11C7933F" w:rsidR="009B75B8" w:rsidRPr="009B6A32" w:rsidRDefault="00606C55" w:rsidP="00B81394">
      <w:pPr>
        <w:pStyle w:val="ListParagraph"/>
        <w:numPr>
          <w:ilvl w:val="0"/>
          <w:numId w:val="29"/>
        </w:numPr>
        <w:spacing w:after="0" w:line="252" w:lineRule="auto"/>
        <w:ind w:left="2835" w:hanging="708"/>
        <w:jc w:val="both"/>
        <w:rPr>
          <w:rFonts w:ascii="Cambria" w:hAnsi="Cambria"/>
        </w:rPr>
      </w:pPr>
      <w:r w:rsidRPr="009B6A32">
        <w:rPr>
          <w:rFonts w:ascii="Cambria" w:hAnsi="Cambria"/>
        </w:rPr>
        <w:t>Allowance for the employees have been struggling when having occupational accidents or occupational diseases</w:t>
      </w:r>
      <w:r w:rsidR="009B75B8" w:rsidRPr="009B6A32">
        <w:rPr>
          <w:rFonts w:ascii="Cambria" w:hAnsi="Cambria"/>
        </w:rPr>
        <w:t>;</w:t>
      </w:r>
    </w:p>
    <w:p w14:paraId="1ED85DCE" w14:textId="77777777" w:rsidR="009B75B8" w:rsidRPr="009B6A32" w:rsidRDefault="009B75B8" w:rsidP="00B81394">
      <w:pPr>
        <w:pStyle w:val="ListParagraph"/>
        <w:spacing w:after="0" w:line="252" w:lineRule="auto"/>
        <w:ind w:left="2835"/>
        <w:jc w:val="both"/>
        <w:rPr>
          <w:rFonts w:ascii="Cambria" w:hAnsi="Cambria"/>
        </w:rPr>
      </w:pPr>
    </w:p>
    <w:p w14:paraId="390DE3CF" w14:textId="19549DB0" w:rsidR="00963419" w:rsidRPr="009B6A32" w:rsidRDefault="00606C55" w:rsidP="00B81394">
      <w:pPr>
        <w:pStyle w:val="ListParagraph"/>
        <w:numPr>
          <w:ilvl w:val="0"/>
          <w:numId w:val="29"/>
        </w:numPr>
        <w:spacing w:after="0" w:line="252" w:lineRule="auto"/>
        <w:ind w:left="2835" w:hanging="708"/>
        <w:jc w:val="both"/>
        <w:rPr>
          <w:rFonts w:ascii="Cambria" w:hAnsi="Cambria"/>
        </w:rPr>
      </w:pPr>
      <w:r w:rsidRPr="009B6A32">
        <w:rPr>
          <w:rFonts w:ascii="Cambria" w:hAnsi="Cambria"/>
        </w:rPr>
        <w:t>Other supports or allowances noted in a speci</w:t>
      </w:r>
      <w:r w:rsidR="0098278E" w:rsidRPr="009B6A32">
        <w:rPr>
          <w:rFonts w:ascii="Cambria" w:hAnsi="Cambria"/>
        </w:rPr>
        <w:t>fic sector</w:t>
      </w:r>
      <w:r w:rsidRPr="009B6A32">
        <w:rPr>
          <w:rFonts w:ascii="Cambria" w:hAnsi="Cambria"/>
        </w:rPr>
        <w:t xml:space="preserve"> in the labor contract </w:t>
      </w:r>
      <w:r w:rsidR="0098278E" w:rsidRPr="009B6A32">
        <w:rPr>
          <w:rFonts w:ascii="Cambria" w:hAnsi="Cambria"/>
        </w:rPr>
        <w:t>under regulation of</w:t>
      </w:r>
      <w:r w:rsidRPr="009B6A32">
        <w:rPr>
          <w:rFonts w:ascii="Cambria" w:hAnsi="Cambria"/>
        </w:rPr>
        <w:t xml:space="preserve"> </w:t>
      </w:r>
      <w:r w:rsidR="0098278E" w:rsidRPr="009B6A32">
        <w:rPr>
          <w:rFonts w:ascii="Cambria" w:hAnsi="Cambria"/>
        </w:rPr>
        <w:t>i</w:t>
      </w:r>
      <w:r w:rsidRPr="009B6A32">
        <w:rPr>
          <w:rFonts w:ascii="Cambria" w:hAnsi="Cambria"/>
        </w:rPr>
        <w:t>tem Article 3</w:t>
      </w:r>
      <w:r w:rsidR="009B6A32" w:rsidRPr="009B6A32">
        <w:rPr>
          <w:rFonts w:ascii="Cambria" w:hAnsi="Cambria"/>
        </w:rPr>
        <w:t>.5 (c2)</w:t>
      </w:r>
      <w:r w:rsidRPr="009B6A32">
        <w:rPr>
          <w:rFonts w:ascii="Cambria" w:hAnsi="Cambria"/>
        </w:rPr>
        <w:t xml:space="preserve"> of Circular 10/2020/TT-BLDTBXH</w:t>
      </w:r>
      <w:r w:rsidR="0012681C" w:rsidRPr="009B6A32">
        <w:rPr>
          <w:rFonts w:ascii="Cambria" w:hAnsi="Cambria"/>
        </w:rPr>
        <w:t>.</w:t>
      </w:r>
    </w:p>
    <w:p w14:paraId="2C940453" w14:textId="77777777" w:rsidR="00D24B1D" w:rsidRPr="00184155" w:rsidRDefault="00D24B1D" w:rsidP="00B81394">
      <w:pPr>
        <w:pStyle w:val="ListParagraph"/>
        <w:spacing w:after="0" w:line="252" w:lineRule="auto"/>
        <w:jc w:val="both"/>
        <w:rPr>
          <w:rFonts w:ascii="Cambria" w:hAnsi="Cambria"/>
          <w:b/>
          <w:bCs/>
        </w:rPr>
      </w:pPr>
    </w:p>
    <w:p w14:paraId="719DE178" w14:textId="626BCEA3" w:rsidR="00D24B1D" w:rsidRDefault="005E2CA7" w:rsidP="005E2CA7">
      <w:pPr>
        <w:pStyle w:val="ListParagraph"/>
        <w:numPr>
          <w:ilvl w:val="0"/>
          <w:numId w:val="16"/>
        </w:numPr>
        <w:spacing w:after="0" w:line="252" w:lineRule="auto"/>
        <w:ind w:hanging="720"/>
        <w:jc w:val="both"/>
        <w:rPr>
          <w:rFonts w:ascii="Cambria" w:hAnsi="Cambria"/>
          <w:b/>
          <w:bCs/>
        </w:rPr>
      </w:pPr>
      <w:r w:rsidRPr="005E2CA7">
        <w:rPr>
          <w:rFonts w:ascii="Cambria" w:hAnsi="Cambria"/>
          <w:b/>
          <w:bCs/>
        </w:rPr>
        <w:t>Registration of land use rights and ownership of land-attached assets for organizations and individuals purchasing debt in the case of land use rights and land-attached assets derived from bad debts of credit institutions.</w:t>
      </w:r>
    </w:p>
    <w:p w14:paraId="5CE32E96" w14:textId="77777777" w:rsidR="005E2CA7" w:rsidRPr="00184155" w:rsidRDefault="005E2CA7" w:rsidP="00B81394">
      <w:pPr>
        <w:pStyle w:val="ListParagraph"/>
        <w:spacing w:after="0" w:line="252" w:lineRule="auto"/>
        <w:jc w:val="both"/>
        <w:rPr>
          <w:rFonts w:ascii="Cambria" w:hAnsi="Cambria"/>
        </w:rPr>
      </w:pPr>
    </w:p>
    <w:p w14:paraId="7C3635E6" w14:textId="6DE04EF0" w:rsidR="00D24B1D" w:rsidRDefault="00C60ACB" w:rsidP="00B81394">
      <w:pPr>
        <w:pStyle w:val="ListParagraph"/>
        <w:spacing w:after="0" w:line="252" w:lineRule="auto"/>
        <w:jc w:val="both"/>
        <w:rPr>
          <w:rFonts w:ascii="Cambria" w:hAnsi="Cambria"/>
        </w:rPr>
      </w:pPr>
      <w:r w:rsidRPr="00C60ACB">
        <w:rPr>
          <w:rFonts w:ascii="Cambria" w:hAnsi="Cambria"/>
        </w:rPr>
        <w:t xml:space="preserve">Circular 09/2021/TT-BTNMT of Ministry of Natural Resources and Environment dated June 30, 2021 amending and supplementing </w:t>
      </w:r>
      <w:r>
        <w:rPr>
          <w:rFonts w:ascii="Cambria" w:hAnsi="Cambria"/>
        </w:rPr>
        <w:t>some</w:t>
      </w:r>
      <w:r w:rsidRPr="00C60ACB">
        <w:rPr>
          <w:rFonts w:ascii="Cambria" w:hAnsi="Cambria"/>
        </w:rPr>
        <w:t xml:space="preserve"> articles of Circulars guiding implementation of Land Law</w:t>
      </w:r>
      <w:r>
        <w:rPr>
          <w:rFonts w:ascii="Cambria" w:hAnsi="Cambria"/>
        </w:rPr>
        <w:t xml:space="preserve"> 2013</w:t>
      </w:r>
      <w:r w:rsidR="00515ACB">
        <w:rPr>
          <w:rFonts w:ascii="Cambria" w:hAnsi="Cambria"/>
        </w:rPr>
        <w:t>, effective from September 01, 2021.</w:t>
      </w:r>
    </w:p>
    <w:p w14:paraId="5141302B" w14:textId="658BEFA2" w:rsidR="00515ACB" w:rsidRDefault="00515ACB" w:rsidP="00B81394">
      <w:pPr>
        <w:pStyle w:val="ListParagraph"/>
        <w:spacing w:after="0" w:line="252" w:lineRule="auto"/>
        <w:jc w:val="both"/>
        <w:rPr>
          <w:rFonts w:ascii="Cambria" w:hAnsi="Cambria"/>
        </w:rPr>
      </w:pPr>
    </w:p>
    <w:p w14:paraId="4474F471" w14:textId="2F27035F" w:rsidR="00515ACB" w:rsidRDefault="00AE053C" w:rsidP="00B81394">
      <w:pPr>
        <w:pStyle w:val="ListParagraph"/>
        <w:spacing w:after="0" w:line="252" w:lineRule="auto"/>
        <w:jc w:val="both"/>
        <w:rPr>
          <w:rFonts w:ascii="Cambria" w:hAnsi="Cambria"/>
        </w:rPr>
      </w:pPr>
      <w:r w:rsidRPr="00AE053C">
        <w:rPr>
          <w:rFonts w:ascii="Cambria" w:hAnsi="Cambria"/>
        </w:rPr>
        <w:t>In which, stipulating the registration of land use rights and ownership of land-attached assets for organizations and individuals buying and selling debts</w:t>
      </w:r>
      <w:r>
        <w:rPr>
          <w:rFonts w:ascii="Cambria" w:hAnsi="Cambria"/>
        </w:rPr>
        <w:t xml:space="preserve"> </w:t>
      </w:r>
      <w:r w:rsidRPr="00AE053C">
        <w:rPr>
          <w:rFonts w:ascii="Cambria" w:hAnsi="Cambria"/>
        </w:rPr>
        <w:t>where the land use rights and land-attached assets are derived from bad debts of credit institutions, foreign bank branches according to Article 9 of Resolution No. 42/2017/QH14 dated June 21, 2017</w:t>
      </w:r>
      <w:r w:rsidR="004A5C93">
        <w:rPr>
          <w:rFonts w:ascii="Cambria" w:hAnsi="Cambria"/>
        </w:rPr>
        <w:t xml:space="preserve"> </w:t>
      </w:r>
      <w:r w:rsidR="004A5C93" w:rsidRPr="004A5C93">
        <w:rPr>
          <w:rFonts w:ascii="Cambria" w:hAnsi="Cambria"/>
        </w:rPr>
        <w:t xml:space="preserve">with the conditions of performance in the case of mortgage transactions of land use rights and assets attached to land that have been performed in accordance with the provisions of the law on land and other relevant </w:t>
      </w:r>
      <w:r w:rsidR="004A5C93" w:rsidRPr="004A5C93">
        <w:rPr>
          <w:rFonts w:ascii="Cambria" w:hAnsi="Cambria"/>
        </w:rPr>
        <w:lastRenderedPageBreak/>
        <w:t>laws; the purchase and sale of debt means the right to use land and assets attached to land as security in accordance with the law on debt trading.</w:t>
      </w:r>
    </w:p>
    <w:p w14:paraId="06B92556" w14:textId="21C786B2" w:rsidR="004A5C93" w:rsidRDefault="004A5C93" w:rsidP="00B81394">
      <w:pPr>
        <w:pStyle w:val="ListParagraph"/>
        <w:spacing w:after="0" w:line="252" w:lineRule="auto"/>
        <w:jc w:val="both"/>
        <w:rPr>
          <w:rFonts w:ascii="Cambria" w:hAnsi="Cambria"/>
        </w:rPr>
      </w:pPr>
    </w:p>
    <w:p w14:paraId="597D1495" w14:textId="52D32D78" w:rsidR="003D7798" w:rsidRDefault="004A5C93" w:rsidP="004A5C93">
      <w:pPr>
        <w:pStyle w:val="ListParagraph"/>
        <w:spacing w:after="0" w:line="252" w:lineRule="auto"/>
        <w:jc w:val="both"/>
        <w:rPr>
          <w:rFonts w:ascii="Cambria" w:hAnsi="Cambria"/>
        </w:rPr>
      </w:pPr>
      <w:r w:rsidRPr="004A5C93">
        <w:rPr>
          <w:rFonts w:ascii="Cambria" w:hAnsi="Cambria"/>
        </w:rPr>
        <w:t>A dossier of carrying out procedures for registration of land use rights and ownership of land-attached assets includes:</w:t>
      </w:r>
    </w:p>
    <w:p w14:paraId="0A84236C" w14:textId="77777777" w:rsidR="00F21247" w:rsidRPr="00F21247" w:rsidRDefault="00F21247" w:rsidP="00F21247">
      <w:pPr>
        <w:spacing w:after="0" w:line="252" w:lineRule="auto"/>
        <w:jc w:val="both"/>
        <w:rPr>
          <w:rFonts w:ascii="Cambria" w:hAnsi="Cambria"/>
        </w:rPr>
      </w:pPr>
    </w:p>
    <w:p w14:paraId="0ADA2B00" w14:textId="217A5E1C" w:rsidR="004A5C93" w:rsidRDefault="00E93BEB" w:rsidP="00E93BEB">
      <w:pPr>
        <w:pStyle w:val="ListParagraph"/>
        <w:numPr>
          <w:ilvl w:val="0"/>
          <w:numId w:val="31"/>
        </w:numPr>
        <w:spacing w:after="0" w:line="252" w:lineRule="auto"/>
        <w:ind w:hanging="720"/>
        <w:jc w:val="both"/>
        <w:rPr>
          <w:rFonts w:ascii="Cambria" w:hAnsi="Cambria"/>
        </w:rPr>
      </w:pPr>
      <w:r w:rsidRPr="00E93BEB">
        <w:rPr>
          <w:rFonts w:ascii="Cambria" w:hAnsi="Cambria"/>
        </w:rPr>
        <w:t>An application for registration of changes in land and assets attached to land, made according to Form No. 09/DK;</w:t>
      </w:r>
    </w:p>
    <w:p w14:paraId="6E791011" w14:textId="77777777" w:rsidR="00063C56" w:rsidRDefault="00063C56" w:rsidP="00063C56">
      <w:pPr>
        <w:pStyle w:val="ListParagraph"/>
        <w:spacing w:after="0" w:line="252" w:lineRule="auto"/>
        <w:ind w:left="1440"/>
        <w:jc w:val="both"/>
        <w:rPr>
          <w:rFonts w:ascii="Cambria" w:hAnsi="Cambria"/>
        </w:rPr>
      </w:pPr>
    </w:p>
    <w:p w14:paraId="11880760" w14:textId="5BBE7ACA" w:rsidR="00E93BEB" w:rsidRDefault="00063C56" w:rsidP="00E93BEB">
      <w:pPr>
        <w:pStyle w:val="ListParagraph"/>
        <w:numPr>
          <w:ilvl w:val="0"/>
          <w:numId w:val="31"/>
        </w:numPr>
        <w:spacing w:after="0" w:line="252" w:lineRule="auto"/>
        <w:ind w:hanging="720"/>
        <w:jc w:val="both"/>
        <w:rPr>
          <w:rFonts w:ascii="Cambria" w:hAnsi="Cambria"/>
        </w:rPr>
      </w:pPr>
      <w:r w:rsidRPr="00063C56">
        <w:rPr>
          <w:rFonts w:ascii="Cambria" w:hAnsi="Cambria"/>
        </w:rPr>
        <w:t>The issued original certificate of land use right, ownership of property on land (LURC)</w:t>
      </w:r>
      <w:r>
        <w:rPr>
          <w:rFonts w:ascii="Cambria" w:hAnsi="Cambria"/>
        </w:rPr>
        <w:t>;</w:t>
      </w:r>
    </w:p>
    <w:p w14:paraId="7C34BD84" w14:textId="77777777" w:rsidR="00063C56" w:rsidRPr="00063C56" w:rsidRDefault="00063C56" w:rsidP="00063C56">
      <w:pPr>
        <w:pStyle w:val="ListParagraph"/>
        <w:rPr>
          <w:rFonts w:ascii="Cambria" w:hAnsi="Cambria"/>
        </w:rPr>
      </w:pPr>
    </w:p>
    <w:p w14:paraId="35797C3D" w14:textId="4832A79B" w:rsidR="00063C56" w:rsidRDefault="00063C56" w:rsidP="00E93BEB">
      <w:pPr>
        <w:pStyle w:val="ListParagraph"/>
        <w:numPr>
          <w:ilvl w:val="0"/>
          <w:numId w:val="31"/>
        </w:numPr>
        <w:spacing w:after="0" w:line="252" w:lineRule="auto"/>
        <w:ind w:hanging="720"/>
        <w:jc w:val="both"/>
        <w:rPr>
          <w:rFonts w:ascii="Cambria" w:hAnsi="Cambria"/>
        </w:rPr>
      </w:pPr>
      <w:r w:rsidRPr="00063C56">
        <w:rPr>
          <w:rFonts w:ascii="Cambria" w:hAnsi="Cambria"/>
        </w:rPr>
        <w:t>A written agreement or mortgage contract with the content of an agreement on handling of the mortgaged property is the mortgagee, and the guarantee-receiving party is entitled to receive the security property itself;</w:t>
      </w:r>
    </w:p>
    <w:p w14:paraId="7E27AD1E" w14:textId="77777777" w:rsidR="00262CD3" w:rsidRPr="00262CD3" w:rsidRDefault="00262CD3" w:rsidP="00262CD3">
      <w:pPr>
        <w:pStyle w:val="ListParagraph"/>
        <w:rPr>
          <w:rFonts w:ascii="Cambria" w:hAnsi="Cambria"/>
        </w:rPr>
      </w:pPr>
    </w:p>
    <w:p w14:paraId="5A54CD88" w14:textId="1B8D76E3" w:rsidR="00262CD3" w:rsidRDefault="00262CD3" w:rsidP="00E93BEB">
      <w:pPr>
        <w:pStyle w:val="ListParagraph"/>
        <w:numPr>
          <w:ilvl w:val="0"/>
          <w:numId w:val="31"/>
        </w:numPr>
        <w:spacing w:after="0" w:line="252" w:lineRule="auto"/>
        <w:ind w:hanging="720"/>
        <w:jc w:val="both"/>
        <w:rPr>
          <w:rFonts w:ascii="Cambria" w:hAnsi="Cambria"/>
        </w:rPr>
      </w:pPr>
      <w:r>
        <w:rPr>
          <w:rFonts w:ascii="Cambria" w:hAnsi="Cambria"/>
        </w:rPr>
        <w:t>A</w:t>
      </w:r>
      <w:r w:rsidRPr="00262CD3">
        <w:rPr>
          <w:rFonts w:ascii="Cambria" w:hAnsi="Cambria"/>
        </w:rPr>
        <w:t xml:space="preserve"> document on debt purchase in accordance with the law on debt purchase and sale containing an agreement that the debt purchaser may inherit the rights and obligations of the mortgagee or the guarantee recipient in mortgage contracts, guarantee contracts;</w:t>
      </w:r>
    </w:p>
    <w:p w14:paraId="67D5DAC0" w14:textId="77777777" w:rsidR="00262CD3" w:rsidRPr="00262CD3" w:rsidRDefault="00262CD3" w:rsidP="00262CD3">
      <w:pPr>
        <w:pStyle w:val="ListParagraph"/>
        <w:rPr>
          <w:rFonts w:ascii="Cambria" w:hAnsi="Cambria"/>
        </w:rPr>
      </w:pPr>
    </w:p>
    <w:p w14:paraId="1D16AA79" w14:textId="676458F0" w:rsidR="00262CD3" w:rsidRPr="00262CD3" w:rsidRDefault="00262CD3" w:rsidP="00262CD3">
      <w:pPr>
        <w:pStyle w:val="ListParagraph"/>
        <w:numPr>
          <w:ilvl w:val="0"/>
          <w:numId w:val="31"/>
        </w:numPr>
        <w:spacing w:after="0" w:line="252" w:lineRule="auto"/>
        <w:ind w:hanging="720"/>
        <w:jc w:val="both"/>
        <w:rPr>
          <w:rFonts w:ascii="Cambria" w:hAnsi="Cambria"/>
        </w:rPr>
      </w:pPr>
      <w:r w:rsidRPr="00262CD3">
        <w:rPr>
          <w:rFonts w:ascii="Cambria" w:hAnsi="Cambria"/>
        </w:rPr>
        <w:t>A document on the handover of assets for sale and purchase of debt or a written settlement of a competent authority in accordance with law in case it is not possible to agree on the handover of assets</w:t>
      </w:r>
      <w:r>
        <w:rPr>
          <w:rFonts w:ascii="Cambria" w:hAnsi="Cambria"/>
        </w:rPr>
        <w:t xml:space="preserve"> for sale and purchase of debt </w:t>
      </w:r>
      <w:r w:rsidRPr="00262CD3">
        <w:rPr>
          <w:rFonts w:ascii="Cambria" w:hAnsi="Cambria"/>
        </w:rPr>
        <w:t>or record of property seizure</w:t>
      </w:r>
      <w:r>
        <w:rPr>
          <w:rFonts w:ascii="Cambria" w:hAnsi="Cambria"/>
        </w:rPr>
        <w:t xml:space="preserve"> </w:t>
      </w:r>
      <w:r w:rsidRPr="00262CD3">
        <w:rPr>
          <w:rFonts w:ascii="Cambria" w:hAnsi="Cambria"/>
        </w:rPr>
        <w:t>according to the provisions of Clause 5, Article 7 of Resolution No. 42/2017/QH14 dated June 21, 2017 of the National Assembly o</w:t>
      </w:r>
      <w:r>
        <w:rPr>
          <w:rFonts w:ascii="Cambria" w:hAnsi="Cambria"/>
        </w:rPr>
        <w:t>n piloting bad debt settlement.</w:t>
      </w:r>
    </w:p>
    <w:p w14:paraId="498CA7D5" w14:textId="77777777" w:rsidR="00063C56" w:rsidRDefault="00063C56" w:rsidP="00E93BEB">
      <w:pPr>
        <w:pStyle w:val="ListParagraph"/>
        <w:spacing w:after="0" w:line="252" w:lineRule="auto"/>
        <w:ind w:left="1440"/>
        <w:jc w:val="both"/>
        <w:rPr>
          <w:rFonts w:ascii="Cambria" w:hAnsi="Cambria"/>
        </w:rPr>
      </w:pPr>
    </w:p>
    <w:p w14:paraId="19757929" w14:textId="6C6EB146" w:rsidR="003D7798" w:rsidRPr="00F21247" w:rsidRDefault="007525EF" w:rsidP="007525EF">
      <w:pPr>
        <w:pStyle w:val="ListParagraph"/>
        <w:spacing w:after="0" w:line="252" w:lineRule="auto"/>
        <w:jc w:val="both"/>
        <w:rPr>
          <w:rFonts w:ascii="Cambria" w:hAnsi="Cambria"/>
          <w:spacing w:val="-2"/>
        </w:rPr>
      </w:pPr>
      <w:r w:rsidRPr="00F21247">
        <w:rPr>
          <w:rFonts w:ascii="Cambria" w:hAnsi="Cambria"/>
          <w:spacing w:val="-2"/>
        </w:rPr>
        <w:t>In addition, the Circular also adds cases of change of land use purpose without obtaining permission but having to register a change in land, which is amended and supplemented as follows</w:t>
      </w:r>
      <w:r w:rsidR="003D7798" w:rsidRPr="00F21247">
        <w:rPr>
          <w:rFonts w:ascii="Cambria" w:hAnsi="Cambria"/>
          <w:spacing w:val="-2"/>
        </w:rPr>
        <w:t>:</w:t>
      </w:r>
    </w:p>
    <w:p w14:paraId="2E8B751E" w14:textId="77777777" w:rsidR="003D7798" w:rsidRPr="00184155" w:rsidRDefault="003D7798" w:rsidP="00B81394">
      <w:pPr>
        <w:pStyle w:val="ListParagraph"/>
        <w:spacing w:after="0" w:line="252" w:lineRule="auto"/>
        <w:ind w:left="1440"/>
        <w:jc w:val="both"/>
        <w:rPr>
          <w:rFonts w:ascii="Cambria" w:hAnsi="Cambria"/>
        </w:rPr>
      </w:pPr>
    </w:p>
    <w:p w14:paraId="5ED5FFFE" w14:textId="4004C0E7" w:rsidR="00222571" w:rsidRPr="007525EF" w:rsidRDefault="00CC3979" w:rsidP="007525EF">
      <w:pPr>
        <w:pStyle w:val="ListParagraph"/>
        <w:numPr>
          <w:ilvl w:val="0"/>
          <w:numId w:val="35"/>
        </w:numPr>
        <w:spacing w:after="0" w:line="252" w:lineRule="auto"/>
        <w:ind w:left="1440"/>
        <w:jc w:val="both"/>
        <w:rPr>
          <w:rFonts w:ascii="Cambria" w:hAnsi="Cambria"/>
        </w:rPr>
      </w:pPr>
      <w:r w:rsidRPr="007525EF">
        <w:rPr>
          <w:rFonts w:ascii="Cambria" w:hAnsi="Cambria"/>
        </w:rPr>
        <w:t>Converting annual crops into other agricultural land, including: land used to build greenhouses and other kinds of house for cultivation purposes; land for construction of barns for raising cattle, poultry and other animals permitted by law; aquaculture for the purpose of study, research and experiment</w:t>
      </w:r>
      <w:r w:rsidR="003A068A" w:rsidRPr="007525EF">
        <w:rPr>
          <w:rFonts w:ascii="Cambria" w:hAnsi="Cambria"/>
        </w:rPr>
        <w:t>;</w:t>
      </w:r>
    </w:p>
    <w:p w14:paraId="41746D9C" w14:textId="77777777" w:rsidR="00222571" w:rsidRPr="00184155" w:rsidRDefault="00222571" w:rsidP="00B81394">
      <w:pPr>
        <w:pStyle w:val="ListParagraph"/>
        <w:spacing w:after="0" w:line="252" w:lineRule="auto"/>
        <w:ind w:left="2127"/>
        <w:jc w:val="both"/>
        <w:rPr>
          <w:rFonts w:ascii="Cambria" w:hAnsi="Cambria"/>
        </w:rPr>
      </w:pPr>
    </w:p>
    <w:p w14:paraId="4B734DCA" w14:textId="595D3400" w:rsidR="00222571" w:rsidRPr="007525EF" w:rsidRDefault="00CC3979" w:rsidP="007525EF">
      <w:pPr>
        <w:pStyle w:val="ListParagraph"/>
        <w:numPr>
          <w:ilvl w:val="0"/>
          <w:numId w:val="35"/>
        </w:numPr>
        <w:spacing w:after="0" w:line="252" w:lineRule="auto"/>
        <w:ind w:left="1440"/>
        <w:jc w:val="both"/>
        <w:rPr>
          <w:rFonts w:ascii="Cambria" w:hAnsi="Cambria"/>
          <w:i/>
          <w:spacing w:val="-4"/>
        </w:rPr>
      </w:pPr>
      <w:r w:rsidRPr="007525EF">
        <w:rPr>
          <w:rFonts w:ascii="Cambria" w:hAnsi="Cambria"/>
          <w:i/>
        </w:rPr>
        <w:t>Converting</w:t>
      </w:r>
      <w:r w:rsidRPr="007525EF">
        <w:rPr>
          <w:rFonts w:ascii="Cambria" w:hAnsi="Cambria"/>
          <w:i/>
          <w:spacing w:val="-4"/>
        </w:rPr>
        <w:t xml:space="preserve"> land for planting other annual crops or aquaculture land </w:t>
      </w:r>
      <w:r w:rsidR="00521AE8" w:rsidRPr="007525EF">
        <w:rPr>
          <w:rFonts w:ascii="Cambria" w:hAnsi="Cambria"/>
          <w:i/>
          <w:spacing w:val="-4"/>
        </w:rPr>
        <w:t>in</w:t>
      </w:r>
      <w:r w:rsidRPr="007525EF">
        <w:rPr>
          <w:rFonts w:ascii="Cambria" w:hAnsi="Cambria"/>
          <w:i/>
          <w:spacing w:val="-4"/>
        </w:rPr>
        <w:t>to planting perennial crops</w:t>
      </w:r>
      <w:r w:rsidR="003A068A" w:rsidRPr="007525EF">
        <w:rPr>
          <w:rFonts w:ascii="Cambria" w:hAnsi="Cambria"/>
          <w:i/>
          <w:spacing w:val="-4"/>
        </w:rPr>
        <w:t>;</w:t>
      </w:r>
    </w:p>
    <w:p w14:paraId="33019A20" w14:textId="77777777" w:rsidR="00222571" w:rsidRPr="007525EF" w:rsidRDefault="00222571" w:rsidP="00B81394">
      <w:pPr>
        <w:pStyle w:val="ListParagraph"/>
        <w:spacing w:after="0" w:line="252" w:lineRule="auto"/>
        <w:ind w:left="2127"/>
        <w:jc w:val="both"/>
        <w:rPr>
          <w:rFonts w:ascii="Cambria" w:hAnsi="Cambria"/>
          <w:i/>
        </w:rPr>
      </w:pPr>
    </w:p>
    <w:p w14:paraId="5601513B" w14:textId="07CB00B4" w:rsidR="00222571" w:rsidRPr="007525EF" w:rsidRDefault="00CC3979" w:rsidP="007525EF">
      <w:pPr>
        <w:pStyle w:val="ListParagraph"/>
        <w:numPr>
          <w:ilvl w:val="0"/>
          <w:numId w:val="35"/>
        </w:numPr>
        <w:spacing w:after="0" w:line="252" w:lineRule="auto"/>
        <w:ind w:left="1440"/>
        <w:jc w:val="both"/>
        <w:rPr>
          <w:rFonts w:ascii="Cambria" w:hAnsi="Cambria"/>
          <w:i/>
          <w:spacing w:val="-6"/>
        </w:rPr>
      </w:pPr>
      <w:r w:rsidRPr="007525EF">
        <w:rPr>
          <w:rFonts w:ascii="Cambria" w:hAnsi="Cambria"/>
          <w:i/>
        </w:rPr>
        <w:t>Converting</w:t>
      </w:r>
      <w:r w:rsidRPr="007525EF">
        <w:rPr>
          <w:rFonts w:ascii="Cambria" w:hAnsi="Cambria"/>
          <w:i/>
          <w:spacing w:val="-6"/>
        </w:rPr>
        <w:t xml:space="preserve"> land for growing perennial crops </w:t>
      </w:r>
      <w:r w:rsidR="00521AE8" w:rsidRPr="007525EF">
        <w:rPr>
          <w:rFonts w:ascii="Cambria" w:hAnsi="Cambria"/>
          <w:i/>
          <w:spacing w:val="-6"/>
        </w:rPr>
        <w:t>in</w:t>
      </w:r>
      <w:r w:rsidRPr="007525EF">
        <w:rPr>
          <w:rFonts w:ascii="Cambria" w:hAnsi="Cambria"/>
          <w:i/>
          <w:spacing w:val="-6"/>
        </w:rPr>
        <w:t>to land for aquaculture or annual crops</w:t>
      </w:r>
      <w:r w:rsidR="00222571" w:rsidRPr="007525EF">
        <w:rPr>
          <w:rFonts w:ascii="Cambria" w:hAnsi="Cambria"/>
          <w:i/>
          <w:spacing w:val="-6"/>
        </w:rPr>
        <w:t>;</w:t>
      </w:r>
    </w:p>
    <w:p w14:paraId="7C0739FE" w14:textId="77777777" w:rsidR="00222571" w:rsidRPr="007525EF" w:rsidRDefault="00222571" w:rsidP="00B81394">
      <w:pPr>
        <w:pStyle w:val="ListParagraph"/>
        <w:spacing w:after="0" w:line="252" w:lineRule="auto"/>
        <w:ind w:left="2127"/>
        <w:jc w:val="both"/>
        <w:rPr>
          <w:rFonts w:ascii="Cambria" w:hAnsi="Cambria"/>
          <w:i/>
        </w:rPr>
      </w:pPr>
    </w:p>
    <w:p w14:paraId="5DB8F28F" w14:textId="7CBFC961" w:rsidR="00222571" w:rsidRPr="005858AB" w:rsidRDefault="00CC3979" w:rsidP="007525EF">
      <w:pPr>
        <w:pStyle w:val="ListParagraph"/>
        <w:numPr>
          <w:ilvl w:val="0"/>
          <w:numId w:val="35"/>
        </w:numPr>
        <w:spacing w:after="0" w:line="252" w:lineRule="auto"/>
        <w:ind w:left="1440"/>
        <w:jc w:val="both"/>
        <w:rPr>
          <w:rFonts w:ascii="Cambria" w:hAnsi="Cambria"/>
          <w:spacing w:val="-2"/>
        </w:rPr>
      </w:pPr>
      <w:r w:rsidRPr="007525EF">
        <w:rPr>
          <w:rFonts w:ascii="Cambria" w:hAnsi="Cambria"/>
        </w:rPr>
        <w:t>Converting</w:t>
      </w:r>
      <w:r w:rsidRPr="005858AB">
        <w:rPr>
          <w:rFonts w:ascii="Cambria" w:hAnsi="Cambria"/>
          <w:spacing w:val="-2"/>
        </w:rPr>
        <w:t xml:space="preserve"> residential land </w:t>
      </w:r>
      <w:r w:rsidR="00521AE8" w:rsidRPr="005858AB">
        <w:rPr>
          <w:rFonts w:ascii="Cambria" w:hAnsi="Cambria"/>
          <w:spacing w:val="-2"/>
        </w:rPr>
        <w:t>in</w:t>
      </w:r>
      <w:r w:rsidRPr="005858AB">
        <w:rPr>
          <w:rFonts w:ascii="Cambria" w:hAnsi="Cambria"/>
          <w:spacing w:val="-2"/>
        </w:rPr>
        <w:t>to non-agricultural land which is not residential land</w:t>
      </w:r>
      <w:r w:rsidR="003A068A" w:rsidRPr="005858AB">
        <w:rPr>
          <w:rFonts w:ascii="Cambria" w:hAnsi="Cambria"/>
          <w:spacing w:val="-2"/>
        </w:rPr>
        <w:t>;</w:t>
      </w:r>
    </w:p>
    <w:p w14:paraId="3C9B7D76" w14:textId="77777777" w:rsidR="00222571" w:rsidRPr="00184155" w:rsidRDefault="00222571" w:rsidP="00B81394">
      <w:pPr>
        <w:pStyle w:val="ListParagraph"/>
        <w:spacing w:after="0" w:line="252" w:lineRule="auto"/>
        <w:ind w:left="2127"/>
        <w:jc w:val="both"/>
        <w:rPr>
          <w:rFonts w:ascii="Cambria" w:hAnsi="Cambria"/>
        </w:rPr>
      </w:pPr>
    </w:p>
    <w:p w14:paraId="436A81C1" w14:textId="37B53DD3" w:rsidR="003A068A" w:rsidRPr="007525EF" w:rsidRDefault="00CC3979" w:rsidP="007525EF">
      <w:pPr>
        <w:pStyle w:val="ListParagraph"/>
        <w:numPr>
          <w:ilvl w:val="0"/>
          <w:numId w:val="35"/>
        </w:numPr>
        <w:spacing w:after="0" w:line="252" w:lineRule="auto"/>
        <w:ind w:left="1440"/>
        <w:jc w:val="both"/>
        <w:rPr>
          <w:rFonts w:ascii="Cambria" w:hAnsi="Cambria"/>
          <w:i/>
        </w:rPr>
      </w:pPr>
      <w:r w:rsidRPr="007525EF">
        <w:rPr>
          <w:rFonts w:ascii="Cambria" w:hAnsi="Cambria"/>
          <w:i/>
        </w:rPr>
        <w:t xml:space="preserve">Converting commercial and service land into other kinds of land belonging to non-agricultural production and business land </w:t>
      </w:r>
      <w:r w:rsidR="0012120E" w:rsidRPr="007525EF">
        <w:rPr>
          <w:rFonts w:ascii="Cambria" w:hAnsi="Cambria"/>
          <w:i/>
        </w:rPr>
        <w:t>which</w:t>
      </w:r>
      <w:r w:rsidRPr="007525EF">
        <w:rPr>
          <w:rFonts w:ascii="Cambria" w:hAnsi="Cambria"/>
          <w:i/>
        </w:rPr>
        <w:t xml:space="preserve"> is not the land of non-agricultural production establishments (amended content); converting non-agricultural production </w:t>
      </w:r>
      <w:r w:rsidRPr="007525EF">
        <w:rPr>
          <w:rFonts w:ascii="Cambria" w:hAnsi="Cambria"/>
          <w:i/>
        </w:rPr>
        <w:lastRenderedPageBreak/>
        <w:t>and business land that is not commercial or service land or non-agricultural production establishment land into land for construction of non-business works</w:t>
      </w:r>
      <w:r w:rsidR="003A068A" w:rsidRPr="007525EF">
        <w:rPr>
          <w:rFonts w:ascii="Cambria" w:hAnsi="Cambria"/>
          <w:i/>
        </w:rPr>
        <w:t>.</w:t>
      </w:r>
    </w:p>
    <w:p w14:paraId="30CAC0CB" w14:textId="77777777" w:rsidR="003A068A" w:rsidRPr="00184155" w:rsidRDefault="003A068A" w:rsidP="00B81394">
      <w:pPr>
        <w:spacing w:after="0" w:line="252" w:lineRule="auto"/>
        <w:contextualSpacing/>
        <w:jc w:val="both"/>
        <w:rPr>
          <w:rFonts w:ascii="Cambria" w:hAnsi="Cambria"/>
        </w:rPr>
      </w:pPr>
    </w:p>
    <w:p w14:paraId="648486B7" w14:textId="0F532EE7" w:rsidR="00250DC9" w:rsidRPr="00521AE8" w:rsidRDefault="00521AE8" w:rsidP="00B81394">
      <w:pPr>
        <w:spacing w:after="0" w:line="252" w:lineRule="auto"/>
        <w:contextualSpacing/>
        <w:jc w:val="both"/>
        <w:rPr>
          <w:rFonts w:ascii="Cambria" w:eastAsia="Calibri" w:hAnsi="Cambria" w:cs="Times New Roman"/>
        </w:rPr>
      </w:pPr>
      <w:r w:rsidRPr="00521AE8">
        <w:rPr>
          <w:rFonts w:ascii="Cambria" w:hAnsi="Cambria"/>
        </w:rPr>
        <w:t>We hope you found this brief legal update informative</w:t>
      </w:r>
      <w:r w:rsidR="00250DC9" w:rsidRPr="00521AE8">
        <w:rPr>
          <w:rFonts w:ascii="Cambria" w:eastAsia="Calibri" w:hAnsi="Cambria" w:cs="Times New Roman"/>
        </w:rPr>
        <w:t>.</w:t>
      </w:r>
    </w:p>
    <w:p w14:paraId="4B3107BA" w14:textId="77777777" w:rsidR="00250DC9" w:rsidRPr="00184155" w:rsidRDefault="00250DC9" w:rsidP="00B81394">
      <w:pPr>
        <w:spacing w:after="0" w:line="252" w:lineRule="auto"/>
        <w:contextualSpacing/>
        <w:jc w:val="both"/>
        <w:rPr>
          <w:rFonts w:ascii="Cambria" w:eastAsia="Calibri" w:hAnsi="Cambria" w:cs="Times New Roman"/>
        </w:rPr>
      </w:pPr>
    </w:p>
    <w:p w14:paraId="33023DF7" w14:textId="3C7C9B5D" w:rsidR="00250DC9" w:rsidRPr="00184155" w:rsidRDefault="00521AE8" w:rsidP="00B81394">
      <w:pPr>
        <w:spacing w:after="0" w:line="252" w:lineRule="auto"/>
        <w:contextualSpacing/>
        <w:jc w:val="both"/>
        <w:rPr>
          <w:rFonts w:ascii="Cambria" w:eastAsia="Calibri" w:hAnsi="Cambria" w:cs="Times New Roman"/>
        </w:rPr>
      </w:pPr>
      <w:r>
        <w:rPr>
          <w:rFonts w:ascii="Cambria" w:eastAsia="Calibri" w:hAnsi="Cambria" w:cs="Times New Roman"/>
        </w:rPr>
        <w:t>Best Regards</w:t>
      </w:r>
      <w:r w:rsidR="00250DC9" w:rsidRPr="00184155">
        <w:rPr>
          <w:rFonts w:ascii="Cambria" w:eastAsia="Calibri" w:hAnsi="Cambria" w:cs="Times New Roman"/>
        </w:rPr>
        <w:t>.</w:t>
      </w:r>
    </w:p>
    <w:p w14:paraId="04FC5627" w14:textId="77777777" w:rsidR="00250DC9" w:rsidRPr="00184155" w:rsidRDefault="00250DC9" w:rsidP="00B81394">
      <w:pPr>
        <w:snapToGrid w:val="0"/>
        <w:spacing w:after="0" w:line="252" w:lineRule="auto"/>
        <w:contextualSpacing/>
        <w:jc w:val="both"/>
        <w:rPr>
          <w:rFonts w:ascii="Cambria" w:eastAsia="Times New Roman" w:hAnsi="Cambria" w:cs="Arial"/>
          <w:color w:val="000000"/>
          <w:lang w:val="nl-NL" w:eastAsia="en-GB"/>
        </w:rPr>
      </w:pPr>
    </w:p>
    <w:p w14:paraId="6D07FC4E" w14:textId="77777777" w:rsidR="00184173" w:rsidRPr="00184155" w:rsidRDefault="00184173" w:rsidP="00B81394">
      <w:pPr>
        <w:snapToGrid w:val="0"/>
        <w:spacing w:after="0" w:line="252" w:lineRule="auto"/>
        <w:contextualSpacing/>
        <w:jc w:val="both"/>
        <w:rPr>
          <w:rFonts w:ascii="Cambria" w:eastAsia="Times New Roman" w:hAnsi="Cambria" w:cs="Arial"/>
          <w:color w:val="000000"/>
          <w:lang w:val="nl-NL" w:eastAsia="en-GB"/>
        </w:rPr>
      </w:pPr>
    </w:p>
    <w:p w14:paraId="666737AB" w14:textId="77777777" w:rsidR="00184173" w:rsidRPr="00184155" w:rsidRDefault="00184173" w:rsidP="00B81394">
      <w:pPr>
        <w:snapToGrid w:val="0"/>
        <w:spacing w:after="0" w:line="252" w:lineRule="auto"/>
        <w:contextualSpacing/>
        <w:jc w:val="both"/>
        <w:rPr>
          <w:rFonts w:ascii="Cambria" w:eastAsia="Times New Roman" w:hAnsi="Cambria" w:cs="Arial"/>
          <w:color w:val="000000"/>
          <w:lang w:val="nl-NL" w:eastAsia="en-GB"/>
        </w:rPr>
      </w:pPr>
    </w:p>
    <w:p w14:paraId="5F95AE9B" w14:textId="77777777" w:rsidR="00EA3B11" w:rsidRPr="00184155" w:rsidRDefault="00EA3B11" w:rsidP="00B81394">
      <w:pPr>
        <w:snapToGrid w:val="0"/>
        <w:spacing w:after="0" w:line="252" w:lineRule="auto"/>
        <w:contextualSpacing/>
        <w:jc w:val="both"/>
        <w:rPr>
          <w:rFonts w:ascii="Cambria" w:eastAsia="Times New Roman" w:hAnsi="Cambria" w:cs="Arial"/>
          <w:color w:val="000000"/>
          <w:lang w:val="nl-NL" w:eastAsia="en-GB"/>
        </w:rPr>
      </w:pPr>
    </w:p>
    <w:p w14:paraId="0C585398" w14:textId="77777777" w:rsidR="00EA3B11" w:rsidRPr="00184155" w:rsidRDefault="00EA3B11" w:rsidP="00B81394">
      <w:pPr>
        <w:snapToGrid w:val="0"/>
        <w:spacing w:after="0" w:line="252" w:lineRule="auto"/>
        <w:contextualSpacing/>
        <w:jc w:val="both"/>
        <w:rPr>
          <w:rFonts w:ascii="Cambria" w:eastAsia="Times New Roman" w:hAnsi="Cambria" w:cs="Arial"/>
          <w:color w:val="000000"/>
          <w:lang w:val="nl-NL" w:eastAsia="en-GB"/>
        </w:rPr>
      </w:pPr>
    </w:p>
    <w:p w14:paraId="338B952F" w14:textId="77777777" w:rsidR="00EA3B11" w:rsidRPr="00184155" w:rsidRDefault="00EA3B11" w:rsidP="00B81394">
      <w:pPr>
        <w:snapToGrid w:val="0"/>
        <w:spacing w:after="0" w:line="252" w:lineRule="auto"/>
        <w:contextualSpacing/>
        <w:jc w:val="both"/>
        <w:rPr>
          <w:rFonts w:ascii="Cambria" w:eastAsia="Times New Roman" w:hAnsi="Cambria" w:cs="Arial"/>
          <w:color w:val="000000"/>
          <w:lang w:val="nl-NL" w:eastAsia="en-GB"/>
        </w:rPr>
      </w:pPr>
    </w:p>
    <w:p w14:paraId="5F81C96B" w14:textId="77777777" w:rsidR="00250DC9" w:rsidRPr="00184155" w:rsidRDefault="00250DC9" w:rsidP="00B81394">
      <w:pPr>
        <w:snapToGrid w:val="0"/>
        <w:spacing w:after="0" w:line="252" w:lineRule="auto"/>
        <w:ind w:left="720"/>
        <w:contextualSpacing/>
        <w:jc w:val="both"/>
        <w:rPr>
          <w:rFonts w:ascii="Cambria" w:eastAsia="Times New Roman" w:hAnsi="Cambria" w:cs="Arial"/>
          <w:color w:val="000000"/>
          <w:lang w:val="nl-NL" w:eastAsia="en-GB"/>
        </w:rPr>
      </w:pPr>
    </w:p>
    <w:tbl>
      <w:tblPr>
        <w:tblStyle w:val="TableGrid1"/>
        <w:tblpPr w:leftFromText="180" w:rightFromText="180" w:vertAnchor="text" w:horzAnchor="margin" w:tblpXSpec="center" w:tblpY="-47"/>
        <w:tblW w:w="6374" w:type="dxa"/>
        <w:tblLook w:val="04A0" w:firstRow="1" w:lastRow="0" w:firstColumn="1" w:lastColumn="0" w:noHBand="0" w:noVBand="1"/>
      </w:tblPr>
      <w:tblGrid>
        <w:gridCol w:w="6374"/>
      </w:tblGrid>
      <w:tr w:rsidR="00250DC9" w:rsidRPr="00184155" w14:paraId="18394C3B" w14:textId="77777777" w:rsidTr="00184173">
        <w:tc>
          <w:tcPr>
            <w:tcW w:w="6374" w:type="dxa"/>
            <w:tcBorders>
              <w:top w:val="double" w:sz="4" w:space="0" w:color="auto"/>
              <w:bottom w:val="double" w:sz="4" w:space="0" w:color="auto"/>
              <w:right w:val="nil"/>
            </w:tcBorders>
            <w:shd w:val="clear" w:color="auto" w:fill="D9E2F3"/>
          </w:tcPr>
          <w:p w14:paraId="23837235" w14:textId="77777777" w:rsidR="00521AE8" w:rsidRDefault="00521AE8" w:rsidP="00B81394">
            <w:pPr>
              <w:snapToGrid w:val="0"/>
              <w:spacing w:line="252" w:lineRule="auto"/>
              <w:contextualSpacing/>
              <w:jc w:val="both"/>
              <w:rPr>
                <w:rFonts w:ascii="Cambria" w:hAnsi="Cambria"/>
                <w:sz w:val="22"/>
                <w:szCs w:val="22"/>
              </w:rPr>
            </w:pPr>
            <w:r w:rsidRPr="00521AE8">
              <w:rPr>
                <w:rFonts w:ascii="Cambria" w:hAnsi="Cambria"/>
                <w:sz w:val="22"/>
                <w:szCs w:val="22"/>
              </w:rPr>
              <w:t xml:space="preserve">This document has been only prepared for general information purposes and makes no representations or warranties, express or implied, as to the accuracy, timeliness, or completeness of such information. This legal update is not intended to be relied upon as accounting, tax, legal or other professional advice. </w:t>
            </w:r>
          </w:p>
          <w:p w14:paraId="0D2BB89F" w14:textId="04C13133" w:rsidR="00521AE8" w:rsidRPr="00521AE8" w:rsidRDefault="00521AE8" w:rsidP="00B81394">
            <w:pPr>
              <w:snapToGrid w:val="0"/>
              <w:spacing w:line="252" w:lineRule="auto"/>
              <w:contextualSpacing/>
              <w:jc w:val="both"/>
              <w:rPr>
                <w:rFonts w:ascii="Cambria" w:eastAsia="Times New Roman" w:hAnsi="Cambria" w:cs="Arial"/>
                <w:color w:val="000000"/>
                <w:sz w:val="20"/>
                <w:szCs w:val="20"/>
                <w:lang w:val="nl-NL" w:eastAsia="en-GB"/>
              </w:rPr>
            </w:pPr>
            <w:r w:rsidRPr="00521AE8">
              <w:rPr>
                <w:rFonts w:ascii="Cambria" w:hAnsi="Cambria"/>
                <w:sz w:val="22"/>
                <w:szCs w:val="22"/>
              </w:rPr>
              <w:t>If you have or suspect that you may have a particular problem, you should contact us or your lawyer for specific advice on the matter</w:t>
            </w:r>
            <w:r>
              <w:rPr>
                <w:rFonts w:ascii="Cambria" w:hAnsi="Cambria"/>
                <w:sz w:val="22"/>
                <w:szCs w:val="22"/>
              </w:rPr>
              <w:t>.</w:t>
            </w:r>
          </w:p>
          <w:p w14:paraId="2B883227" w14:textId="77777777" w:rsidR="00250DC9" w:rsidRPr="00184155" w:rsidRDefault="00250DC9" w:rsidP="00B81394">
            <w:pPr>
              <w:snapToGrid w:val="0"/>
              <w:spacing w:line="252" w:lineRule="auto"/>
              <w:ind w:left="720"/>
              <w:contextualSpacing/>
              <w:jc w:val="both"/>
              <w:rPr>
                <w:rFonts w:ascii="Cambria" w:eastAsia="Times New Roman" w:hAnsi="Cambria" w:cs="Arial"/>
                <w:color w:val="000000"/>
                <w:sz w:val="22"/>
                <w:szCs w:val="22"/>
                <w:lang w:val="nl-NL" w:eastAsia="en-GB"/>
              </w:rPr>
            </w:pPr>
            <w:r w:rsidRPr="00184155">
              <w:rPr>
                <w:rFonts w:ascii="Cambria" w:eastAsia="Times New Roman" w:hAnsi="Cambria" w:cs="Arial"/>
                <w:color w:val="000000"/>
                <w:sz w:val="22"/>
                <w:szCs w:val="22"/>
                <w:lang w:val="nl-NL" w:eastAsia="en-GB"/>
              </w:rPr>
              <w:t xml:space="preserve"> </w:t>
            </w:r>
          </w:p>
          <w:p w14:paraId="22F8C60E" w14:textId="541A8228" w:rsidR="00250DC9" w:rsidRPr="00184155" w:rsidRDefault="00521AE8" w:rsidP="00521AE8">
            <w:pPr>
              <w:snapToGrid w:val="0"/>
              <w:spacing w:line="252" w:lineRule="auto"/>
              <w:ind w:left="720"/>
              <w:contextualSpacing/>
              <w:rPr>
                <w:rFonts w:ascii="Cambria" w:eastAsia="Times New Roman" w:hAnsi="Cambria" w:cs="Arial"/>
                <w:b/>
                <w:bCs/>
                <w:color w:val="000000"/>
                <w:sz w:val="22"/>
                <w:szCs w:val="22"/>
                <w:lang w:val="nl-NL" w:eastAsia="en-GB"/>
              </w:rPr>
            </w:pPr>
            <w:r>
              <w:rPr>
                <w:rFonts w:ascii="Cambria" w:eastAsia="Times New Roman" w:hAnsi="Cambria" w:cs="Arial"/>
                <w:b/>
                <w:bCs/>
                <w:color w:val="000000"/>
                <w:sz w:val="22"/>
                <w:szCs w:val="22"/>
                <w:lang w:val="nl-NL" w:eastAsia="en-GB"/>
              </w:rPr>
              <w:t xml:space="preserve">                      </w:t>
            </w:r>
            <w:r w:rsidR="00250DC9" w:rsidRPr="00184155">
              <w:rPr>
                <w:rFonts w:ascii="Cambria" w:eastAsia="Times New Roman" w:hAnsi="Cambria" w:cs="Arial"/>
                <w:b/>
                <w:bCs/>
                <w:color w:val="000000"/>
                <w:sz w:val="22"/>
                <w:szCs w:val="22"/>
                <w:lang w:val="nl-NL" w:eastAsia="en-GB"/>
              </w:rPr>
              <w:t xml:space="preserve">ADK </w:t>
            </w:r>
            <w:r>
              <w:rPr>
                <w:rFonts w:ascii="Cambria" w:eastAsia="Times New Roman" w:hAnsi="Cambria" w:cs="Arial"/>
                <w:b/>
                <w:bCs/>
                <w:color w:val="000000"/>
                <w:sz w:val="22"/>
                <w:szCs w:val="22"/>
                <w:lang w:val="nl-NL" w:eastAsia="en-GB"/>
              </w:rPr>
              <w:t>VIET</w:t>
            </w:r>
            <w:r w:rsidR="00250DC9" w:rsidRPr="00184155">
              <w:rPr>
                <w:rFonts w:ascii="Cambria" w:eastAsia="Times New Roman" w:hAnsi="Cambria" w:cs="Arial"/>
                <w:b/>
                <w:bCs/>
                <w:color w:val="000000"/>
                <w:sz w:val="22"/>
                <w:szCs w:val="22"/>
                <w:lang w:val="nl-NL" w:eastAsia="en-GB"/>
              </w:rPr>
              <w:t>NAM LAWYERS</w:t>
            </w:r>
          </w:p>
          <w:p w14:paraId="3CD2D04B" w14:textId="35B5D238" w:rsidR="00250DC9" w:rsidRPr="00521AE8" w:rsidRDefault="00521AE8" w:rsidP="00B81394">
            <w:pPr>
              <w:snapToGrid w:val="0"/>
              <w:spacing w:line="252" w:lineRule="auto"/>
              <w:contextualSpacing/>
              <w:jc w:val="both"/>
              <w:rPr>
                <w:rFonts w:ascii="Cambria" w:eastAsia="Times New Roman" w:hAnsi="Cambria" w:cs="Arial"/>
                <w:color w:val="000000"/>
                <w:sz w:val="22"/>
                <w:szCs w:val="22"/>
                <w:lang w:val="nl-NL" w:eastAsia="en-GB"/>
              </w:rPr>
            </w:pPr>
            <w:r>
              <w:rPr>
                <w:rFonts w:ascii="Cambria" w:eastAsia="Times New Roman" w:hAnsi="Cambria" w:cs="Arial"/>
                <w:color w:val="000000"/>
                <w:sz w:val="22"/>
                <w:szCs w:val="22"/>
                <w:lang w:val="nl-NL" w:eastAsia="en-GB"/>
              </w:rPr>
              <w:t>Address</w:t>
            </w:r>
            <w:r w:rsidR="00250DC9" w:rsidRPr="00184155">
              <w:rPr>
                <w:rFonts w:ascii="Cambria" w:eastAsia="Times New Roman" w:hAnsi="Cambria" w:cs="Arial"/>
                <w:color w:val="000000"/>
                <w:sz w:val="22"/>
                <w:szCs w:val="22"/>
                <w:lang w:val="nl-NL" w:eastAsia="en-GB"/>
              </w:rPr>
              <w:t xml:space="preserve">: </w:t>
            </w:r>
            <w:r w:rsidRPr="00521AE8">
              <w:rPr>
                <w:rFonts w:ascii="Cambria" w:hAnsi="Cambria"/>
                <w:sz w:val="22"/>
                <w:szCs w:val="22"/>
              </w:rPr>
              <w:t xml:space="preserve">G-01 Fl. HBT Tower, 456-458 Hai Ba </w:t>
            </w:r>
            <w:proofErr w:type="spellStart"/>
            <w:r w:rsidRPr="00521AE8">
              <w:rPr>
                <w:rFonts w:ascii="Cambria" w:hAnsi="Cambria"/>
                <w:sz w:val="22"/>
                <w:szCs w:val="22"/>
              </w:rPr>
              <w:t>Trung</w:t>
            </w:r>
            <w:proofErr w:type="spellEnd"/>
            <w:r w:rsidRPr="00521AE8">
              <w:rPr>
                <w:rFonts w:ascii="Cambria" w:hAnsi="Cambria"/>
                <w:sz w:val="22"/>
                <w:szCs w:val="22"/>
              </w:rPr>
              <w:t xml:space="preserve"> Str., Tan </w:t>
            </w:r>
            <w:proofErr w:type="spellStart"/>
            <w:r w:rsidRPr="00521AE8">
              <w:rPr>
                <w:rFonts w:ascii="Cambria" w:hAnsi="Cambria"/>
                <w:sz w:val="22"/>
                <w:szCs w:val="22"/>
              </w:rPr>
              <w:t>Dinh</w:t>
            </w:r>
            <w:proofErr w:type="spellEnd"/>
            <w:r w:rsidRPr="00521AE8">
              <w:rPr>
                <w:rFonts w:ascii="Cambria" w:hAnsi="Cambria"/>
                <w:sz w:val="22"/>
                <w:szCs w:val="22"/>
              </w:rPr>
              <w:t xml:space="preserve"> Ward, District 1, HCMC, VN</w:t>
            </w:r>
            <w:r w:rsidR="00250DC9" w:rsidRPr="00521AE8">
              <w:rPr>
                <w:rFonts w:ascii="Cambria" w:eastAsia="Times New Roman" w:hAnsi="Cambria" w:cs="Arial"/>
                <w:color w:val="000000"/>
                <w:sz w:val="22"/>
                <w:szCs w:val="22"/>
                <w:lang w:val="nl-NL" w:eastAsia="en-GB"/>
              </w:rPr>
              <w:t xml:space="preserve">. </w:t>
            </w:r>
          </w:p>
          <w:p w14:paraId="7E8D927A" w14:textId="77777777" w:rsidR="00250DC9" w:rsidRPr="00184155" w:rsidRDefault="00250DC9" w:rsidP="00B81394">
            <w:pPr>
              <w:snapToGrid w:val="0"/>
              <w:spacing w:line="252" w:lineRule="auto"/>
              <w:ind w:left="720"/>
              <w:contextualSpacing/>
              <w:jc w:val="both"/>
              <w:rPr>
                <w:rFonts w:ascii="Cambria" w:eastAsia="Times New Roman" w:hAnsi="Cambria" w:cs="Arial"/>
                <w:color w:val="000000"/>
                <w:sz w:val="22"/>
                <w:szCs w:val="22"/>
                <w:lang w:val="nl-NL" w:eastAsia="en-GB"/>
              </w:rPr>
            </w:pPr>
            <w:r w:rsidRPr="00184155">
              <w:rPr>
                <w:rFonts w:ascii="Cambria" w:eastAsia="Times New Roman" w:hAnsi="Cambria" w:cs="Arial"/>
                <w:color w:val="000000"/>
                <w:sz w:val="22"/>
                <w:szCs w:val="22"/>
                <w:lang w:val="nl-NL" w:eastAsia="en-GB"/>
              </w:rPr>
              <w:t>Hotline: (+84) 28 66 79 79 66</w:t>
            </w:r>
          </w:p>
        </w:tc>
      </w:tr>
    </w:tbl>
    <w:p w14:paraId="1F22AF13" w14:textId="77777777" w:rsidR="004A03C1" w:rsidRPr="00184155" w:rsidRDefault="004A03C1" w:rsidP="00B81394">
      <w:pPr>
        <w:spacing w:after="0" w:line="252" w:lineRule="auto"/>
        <w:contextualSpacing/>
        <w:jc w:val="both"/>
        <w:rPr>
          <w:rFonts w:ascii="Cambria" w:hAnsi="Cambria"/>
        </w:rPr>
      </w:pPr>
    </w:p>
    <w:sectPr w:rsidR="004A03C1" w:rsidRPr="00184155" w:rsidSect="0057064B">
      <w:headerReference w:type="default" r:id="rId11"/>
      <w:footerReference w:type="default" r:id="rId12"/>
      <w:pgSz w:w="12240" w:h="15840"/>
      <w:pgMar w:top="1134" w:right="1134" w:bottom="1134"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FCE18" w14:textId="77777777" w:rsidR="00CB6D2C" w:rsidRDefault="00CB6D2C">
      <w:pPr>
        <w:spacing w:after="0" w:line="240" w:lineRule="auto"/>
      </w:pPr>
      <w:r>
        <w:separator/>
      </w:r>
    </w:p>
  </w:endnote>
  <w:endnote w:type="continuationSeparator" w:id="0">
    <w:p w14:paraId="0AE84FD6" w14:textId="77777777" w:rsidR="00CB6D2C" w:rsidRDefault="00CB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688CE1DD" w14:textId="70E0AE72" w:rsidR="00015257" w:rsidRPr="00591F1C" w:rsidRDefault="00963419" w:rsidP="003F6F2A">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after="0"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&amp; Co Lawyers</w:t>
        </w:r>
      </w:p>
      <w:p w14:paraId="7FC1B9B1" w14:textId="77777777" w:rsidR="00015257" w:rsidRDefault="00CB6D2C" w:rsidP="0001525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after="0" w:line="264" w:lineRule="auto"/>
          <w:jc w:val="center"/>
        </w:pPr>
        <w:hyperlink r:id="rId1" w:history="1">
          <w:r w:rsidR="00963419" w:rsidRPr="00D644F3">
            <w:rPr>
              <w:rStyle w:val="Hyperlink"/>
              <w:rFonts w:ascii="Palatino Linotype" w:hAnsi="Palatino Linotype"/>
              <w:sz w:val="18"/>
              <w:szCs w:val="18"/>
            </w:rPr>
            <w:t>www.adk-lawyers.com</w:t>
          </w:r>
        </w:hyperlink>
      </w:p>
      <w:p w14:paraId="45FDB668" w14:textId="77777777" w:rsidR="00015257" w:rsidRDefault="00CB6D2C" w:rsidP="00015257">
        <w:pPr>
          <w:pStyle w:val="Footer"/>
          <w:jc w:val="center"/>
        </w:pPr>
      </w:p>
    </w:sdtContent>
  </w:sdt>
  <w:p w14:paraId="314B9E68" w14:textId="77777777" w:rsidR="00B375BC" w:rsidRDefault="00CB6D2C" w:rsidP="001B18D8">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E99F8" w14:textId="77777777" w:rsidR="00CB6D2C" w:rsidRDefault="00CB6D2C">
      <w:pPr>
        <w:spacing w:after="0" w:line="240" w:lineRule="auto"/>
      </w:pPr>
      <w:r>
        <w:separator/>
      </w:r>
    </w:p>
  </w:footnote>
  <w:footnote w:type="continuationSeparator" w:id="0">
    <w:p w14:paraId="08A36D87" w14:textId="77777777" w:rsidR="00CB6D2C" w:rsidRDefault="00CB6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AC358" w14:textId="77777777" w:rsidR="00B375BC" w:rsidRDefault="00963419" w:rsidP="00B375BC">
    <w:pPr>
      <w:pStyle w:val="Header"/>
      <w:ind w:left="-1440"/>
    </w:pPr>
    <w:r>
      <w:rPr>
        <w:noProof/>
      </w:rPr>
      <w:drawing>
        <wp:inline distT="0" distB="0" distL="0" distR="0" wp14:anchorId="641E6520" wp14:editId="7D1A5928">
          <wp:extent cx="7759700" cy="1479550"/>
          <wp:effectExtent l="0" t="0" r="0" b="635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260A"/>
    <w:multiLevelType w:val="hybridMultilevel"/>
    <w:tmpl w:val="755A8E50"/>
    <w:lvl w:ilvl="0" w:tplc="D1D6A57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D0768A7"/>
    <w:multiLevelType w:val="hybridMultilevel"/>
    <w:tmpl w:val="2F289BAC"/>
    <w:lvl w:ilvl="0" w:tplc="5202A44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16909D5"/>
    <w:multiLevelType w:val="hybridMultilevel"/>
    <w:tmpl w:val="25267BE8"/>
    <w:lvl w:ilvl="0" w:tplc="E3BAEFCC">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21318EC"/>
    <w:multiLevelType w:val="hybridMultilevel"/>
    <w:tmpl w:val="7F8810C8"/>
    <w:lvl w:ilvl="0" w:tplc="FF307FA0">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740E2"/>
    <w:multiLevelType w:val="hybridMultilevel"/>
    <w:tmpl w:val="807EC43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1BB77509"/>
    <w:multiLevelType w:val="hybridMultilevel"/>
    <w:tmpl w:val="128E2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E87D60"/>
    <w:multiLevelType w:val="hybridMultilevel"/>
    <w:tmpl w:val="A3509E36"/>
    <w:lvl w:ilvl="0" w:tplc="7966A726">
      <w:numFmt w:val="bullet"/>
      <w:lvlText w:val="-"/>
      <w:lvlJc w:val="left"/>
      <w:pPr>
        <w:ind w:left="1440" w:hanging="360"/>
      </w:pPr>
      <w:rPr>
        <w:rFonts w:ascii="Cambria" w:eastAsia="Calibri" w:hAnsi="Cambria"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4E7DFB"/>
    <w:multiLevelType w:val="hybridMultilevel"/>
    <w:tmpl w:val="912E148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2D1776B8"/>
    <w:multiLevelType w:val="hybridMultilevel"/>
    <w:tmpl w:val="71ECC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05540"/>
    <w:multiLevelType w:val="hybridMultilevel"/>
    <w:tmpl w:val="2D821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33BBC"/>
    <w:multiLevelType w:val="hybridMultilevel"/>
    <w:tmpl w:val="996C4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490CF2"/>
    <w:multiLevelType w:val="hybridMultilevel"/>
    <w:tmpl w:val="12407BB0"/>
    <w:lvl w:ilvl="0" w:tplc="5202A444">
      <w:start w:val="1"/>
      <w:numFmt w:val="lowerRoman"/>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3D330348"/>
    <w:multiLevelType w:val="hybridMultilevel"/>
    <w:tmpl w:val="21066978"/>
    <w:lvl w:ilvl="0" w:tplc="7966A726">
      <w:numFmt w:val="bullet"/>
      <w:lvlText w:val="-"/>
      <w:lvlJc w:val="left"/>
      <w:pPr>
        <w:ind w:left="720" w:hanging="360"/>
      </w:pPr>
      <w:rPr>
        <w:rFonts w:ascii="Cambria" w:eastAsia="Calibri" w:hAnsi="Cambria"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06600"/>
    <w:multiLevelType w:val="hybridMultilevel"/>
    <w:tmpl w:val="AB463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B05D87"/>
    <w:multiLevelType w:val="hybridMultilevel"/>
    <w:tmpl w:val="426C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CC1D53"/>
    <w:multiLevelType w:val="hybridMultilevel"/>
    <w:tmpl w:val="205493A2"/>
    <w:lvl w:ilvl="0" w:tplc="C44056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BC089A"/>
    <w:multiLevelType w:val="hybridMultilevel"/>
    <w:tmpl w:val="A0681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AD2150"/>
    <w:multiLevelType w:val="hybridMultilevel"/>
    <w:tmpl w:val="12407BB0"/>
    <w:lvl w:ilvl="0" w:tplc="5202A444">
      <w:start w:val="1"/>
      <w:numFmt w:val="lowerRoman"/>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47C801F4"/>
    <w:multiLevelType w:val="hybridMultilevel"/>
    <w:tmpl w:val="829ABA68"/>
    <w:lvl w:ilvl="0" w:tplc="51A472FA">
      <w:start w:val="2"/>
      <w:numFmt w:val="bullet"/>
      <w:lvlText w:val="-"/>
      <w:lvlJc w:val="left"/>
      <w:pPr>
        <w:ind w:left="2487" w:hanging="360"/>
      </w:pPr>
      <w:rPr>
        <w:rFonts w:ascii="Cambria" w:eastAsiaTheme="minorHAnsi" w:hAnsi="Cambria" w:cstheme="minorBidi"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9">
    <w:nsid w:val="48C61A86"/>
    <w:multiLevelType w:val="hybridMultilevel"/>
    <w:tmpl w:val="5BA2BDC2"/>
    <w:lvl w:ilvl="0" w:tplc="7966A726">
      <w:numFmt w:val="bullet"/>
      <w:lvlText w:val="-"/>
      <w:lvlJc w:val="left"/>
      <w:pPr>
        <w:ind w:left="2138" w:hanging="360"/>
      </w:pPr>
      <w:rPr>
        <w:rFonts w:ascii="Cambria" w:eastAsia="Calibri" w:hAnsi="Cambria" w:cs="Arial" w:hint="default"/>
        <w:b w:val="0"/>
        <w:i w:val="0"/>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nsid w:val="4A3A5383"/>
    <w:multiLevelType w:val="hybridMultilevel"/>
    <w:tmpl w:val="807EC43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nsid w:val="4C727168"/>
    <w:multiLevelType w:val="hybridMultilevel"/>
    <w:tmpl w:val="E7C63C10"/>
    <w:lvl w:ilvl="0" w:tplc="91107654">
      <w:start w:val="1"/>
      <w:numFmt w:val="lowerLetter"/>
      <w:lvlText w:val="%1)"/>
      <w:lvlJc w:val="left"/>
      <w:pPr>
        <w:ind w:left="1789" w:hanging="360"/>
      </w:pPr>
      <w:rPr>
        <w:rFonts w:ascii="Cambria" w:eastAsiaTheme="minorHAnsi" w:hAnsi="Cambria" w:cstheme="minorBidi"/>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2">
    <w:nsid w:val="4DE63940"/>
    <w:multiLevelType w:val="hybridMultilevel"/>
    <w:tmpl w:val="32C40A6E"/>
    <w:lvl w:ilvl="0" w:tplc="DAEC3F6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4E105D0"/>
    <w:multiLevelType w:val="hybridMultilevel"/>
    <w:tmpl w:val="CF7EA414"/>
    <w:lvl w:ilvl="0" w:tplc="7966A726">
      <w:numFmt w:val="bullet"/>
      <w:lvlText w:val="-"/>
      <w:lvlJc w:val="left"/>
      <w:pPr>
        <w:ind w:left="2138" w:hanging="360"/>
      </w:pPr>
      <w:rPr>
        <w:rFonts w:ascii="Cambria" w:eastAsia="Calibri" w:hAnsi="Cambria" w:cs="Arial" w:hint="default"/>
        <w:b w:val="0"/>
        <w:i w:val="0"/>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nsid w:val="56350261"/>
    <w:multiLevelType w:val="hybridMultilevel"/>
    <w:tmpl w:val="806E7DAC"/>
    <w:lvl w:ilvl="0" w:tplc="4C5EFFCA">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5">
    <w:nsid w:val="56F536A1"/>
    <w:multiLevelType w:val="hybridMultilevel"/>
    <w:tmpl w:val="085AA3AE"/>
    <w:lvl w:ilvl="0" w:tplc="DAEC3F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31205"/>
    <w:multiLevelType w:val="hybridMultilevel"/>
    <w:tmpl w:val="1A76A07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nsid w:val="5E2924B3"/>
    <w:multiLevelType w:val="hybridMultilevel"/>
    <w:tmpl w:val="576C4376"/>
    <w:lvl w:ilvl="0" w:tplc="7966A726">
      <w:numFmt w:val="bullet"/>
      <w:lvlText w:val="-"/>
      <w:lvlJc w:val="left"/>
      <w:pPr>
        <w:ind w:left="1440" w:hanging="360"/>
      </w:pPr>
      <w:rPr>
        <w:rFonts w:ascii="Cambria" w:eastAsia="Calibri" w:hAnsi="Cambria"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219282E"/>
    <w:multiLevelType w:val="hybridMultilevel"/>
    <w:tmpl w:val="30EC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627EAF"/>
    <w:multiLevelType w:val="hybridMultilevel"/>
    <w:tmpl w:val="C05E8FAA"/>
    <w:lvl w:ilvl="0" w:tplc="7966A726">
      <w:numFmt w:val="bullet"/>
      <w:lvlText w:val="-"/>
      <w:lvlJc w:val="left"/>
      <w:pPr>
        <w:ind w:left="720" w:hanging="360"/>
      </w:pPr>
      <w:rPr>
        <w:rFonts w:ascii="Cambria" w:eastAsia="Calibri" w:hAnsi="Cambria"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53AA6"/>
    <w:multiLevelType w:val="hybridMultilevel"/>
    <w:tmpl w:val="F0D6E7D2"/>
    <w:lvl w:ilvl="0" w:tplc="5202A44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71B4A1C"/>
    <w:multiLevelType w:val="hybridMultilevel"/>
    <w:tmpl w:val="CBCCC624"/>
    <w:lvl w:ilvl="0" w:tplc="7966A726">
      <w:numFmt w:val="bullet"/>
      <w:lvlText w:val="-"/>
      <w:lvlJc w:val="left"/>
      <w:pPr>
        <w:ind w:left="1440" w:hanging="360"/>
      </w:pPr>
      <w:rPr>
        <w:rFonts w:ascii="Cambria" w:eastAsia="Calibri" w:hAnsi="Cambria"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1A943CA"/>
    <w:multiLevelType w:val="hybridMultilevel"/>
    <w:tmpl w:val="7B40C65E"/>
    <w:lvl w:ilvl="0" w:tplc="E6BE9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580490"/>
    <w:multiLevelType w:val="hybridMultilevel"/>
    <w:tmpl w:val="5262DF68"/>
    <w:lvl w:ilvl="0" w:tplc="7EFE3BF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nsid w:val="77B116C3"/>
    <w:multiLevelType w:val="hybridMultilevel"/>
    <w:tmpl w:val="FEF6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
  </w:num>
  <w:num w:numId="3">
    <w:abstractNumId w:val="21"/>
  </w:num>
  <w:num w:numId="4">
    <w:abstractNumId w:val="24"/>
  </w:num>
  <w:num w:numId="5">
    <w:abstractNumId w:val="3"/>
  </w:num>
  <w:num w:numId="6">
    <w:abstractNumId w:val="8"/>
  </w:num>
  <w:num w:numId="7">
    <w:abstractNumId w:val="18"/>
  </w:num>
  <w:num w:numId="8">
    <w:abstractNumId w:val="15"/>
  </w:num>
  <w:num w:numId="9">
    <w:abstractNumId w:val="9"/>
  </w:num>
  <w:num w:numId="10">
    <w:abstractNumId w:val="33"/>
  </w:num>
  <w:num w:numId="11">
    <w:abstractNumId w:val="0"/>
  </w:num>
  <w:num w:numId="12">
    <w:abstractNumId w:val="13"/>
  </w:num>
  <w:num w:numId="13">
    <w:abstractNumId w:val="5"/>
  </w:num>
  <w:num w:numId="14">
    <w:abstractNumId w:val="6"/>
  </w:num>
  <w:num w:numId="15">
    <w:abstractNumId w:val="31"/>
  </w:num>
  <w:num w:numId="16">
    <w:abstractNumId w:val="28"/>
  </w:num>
  <w:num w:numId="17">
    <w:abstractNumId w:val="14"/>
  </w:num>
  <w:num w:numId="18">
    <w:abstractNumId w:val="29"/>
  </w:num>
  <w:num w:numId="19">
    <w:abstractNumId w:val="12"/>
  </w:num>
  <w:num w:numId="20">
    <w:abstractNumId w:val="10"/>
  </w:num>
  <w:num w:numId="21">
    <w:abstractNumId w:val="27"/>
  </w:num>
  <w:num w:numId="22">
    <w:abstractNumId w:val="16"/>
  </w:num>
  <w:num w:numId="23">
    <w:abstractNumId w:val="22"/>
  </w:num>
  <w:num w:numId="24">
    <w:abstractNumId w:val="25"/>
  </w:num>
  <w:num w:numId="25">
    <w:abstractNumId w:val="11"/>
  </w:num>
  <w:num w:numId="26">
    <w:abstractNumId w:val="26"/>
  </w:num>
  <w:num w:numId="27">
    <w:abstractNumId w:val="4"/>
  </w:num>
  <w:num w:numId="28">
    <w:abstractNumId w:val="23"/>
  </w:num>
  <w:num w:numId="29">
    <w:abstractNumId w:val="19"/>
  </w:num>
  <w:num w:numId="30">
    <w:abstractNumId w:val="17"/>
  </w:num>
  <w:num w:numId="31">
    <w:abstractNumId w:val="30"/>
  </w:num>
  <w:num w:numId="32">
    <w:abstractNumId w:val="20"/>
  </w:num>
  <w:num w:numId="33">
    <w:abstractNumId w:val="7"/>
  </w:num>
  <w:num w:numId="34">
    <w:abstractNumId w:val="3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19"/>
    <w:rsid w:val="00015DAD"/>
    <w:rsid w:val="00063C56"/>
    <w:rsid w:val="000C690E"/>
    <w:rsid w:val="000E07BE"/>
    <w:rsid w:val="00102321"/>
    <w:rsid w:val="0010521F"/>
    <w:rsid w:val="00117659"/>
    <w:rsid w:val="0012120E"/>
    <w:rsid w:val="0012681C"/>
    <w:rsid w:val="00146352"/>
    <w:rsid w:val="00184155"/>
    <w:rsid w:val="00184173"/>
    <w:rsid w:val="00222571"/>
    <w:rsid w:val="00250DC9"/>
    <w:rsid w:val="00262CD3"/>
    <w:rsid w:val="00297F0E"/>
    <w:rsid w:val="0038102C"/>
    <w:rsid w:val="003A068A"/>
    <w:rsid w:val="003A6315"/>
    <w:rsid w:val="003A7CAA"/>
    <w:rsid w:val="003C4A8A"/>
    <w:rsid w:val="003D46B7"/>
    <w:rsid w:val="003D7798"/>
    <w:rsid w:val="003F6F2A"/>
    <w:rsid w:val="004302A6"/>
    <w:rsid w:val="00452DB4"/>
    <w:rsid w:val="00474A98"/>
    <w:rsid w:val="004804BD"/>
    <w:rsid w:val="004A03C1"/>
    <w:rsid w:val="004A5C93"/>
    <w:rsid w:val="00515ACB"/>
    <w:rsid w:val="00521AE8"/>
    <w:rsid w:val="005858AB"/>
    <w:rsid w:val="00597097"/>
    <w:rsid w:val="005B2D89"/>
    <w:rsid w:val="005C4A70"/>
    <w:rsid w:val="005E2CA7"/>
    <w:rsid w:val="00606C55"/>
    <w:rsid w:val="006B2E73"/>
    <w:rsid w:val="006E4346"/>
    <w:rsid w:val="006F52A3"/>
    <w:rsid w:val="006F70B7"/>
    <w:rsid w:val="007525EF"/>
    <w:rsid w:val="00761EB1"/>
    <w:rsid w:val="00771EC5"/>
    <w:rsid w:val="008345BE"/>
    <w:rsid w:val="00860780"/>
    <w:rsid w:val="0086474A"/>
    <w:rsid w:val="0088356A"/>
    <w:rsid w:val="008C36A1"/>
    <w:rsid w:val="008E59C0"/>
    <w:rsid w:val="00901DD9"/>
    <w:rsid w:val="009235AE"/>
    <w:rsid w:val="00963419"/>
    <w:rsid w:val="0098278E"/>
    <w:rsid w:val="009B6A32"/>
    <w:rsid w:val="009B75B8"/>
    <w:rsid w:val="009D4D5C"/>
    <w:rsid w:val="009E721E"/>
    <w:rsid w:val="00A20841"/>
    <w:rsid w:val="00A617CD"/>
    <w:rsid w:val="00A859F0"/>
    <w:rsid w:val="00AE053C"/>
    <w:rsid w:val="00AF7D03"/>
    <w:rsid w:val="00B26A70"/>
    <w:rsid w:val="00B81394"/>
    <w:rsid w:val="00B972EF"/>
    <w:rsid w:val="00BD2D6D"/>
    <w:rsid w:val="00C13A5F"/>
    <w:rsid w:val="00C60ACB"/>
    <w:rsid w:val="00CB6D2C"/>
    <w:rsid w:val="00CC3979"/>
    <w:rsid w:val="00D15CDC"/>
    <w:rsid w:val="00D24B1D"/>
    <w:rsid w:val="00D51CF6"/>
    <w:rsid w:val="00D605C5"/>
    <w:rsid w:val="00D82060"/>
    <w:rsid w:val="00D85D4A"/>
    <w:rsid w:val="00DF1680"/>
    <w:rsid w:val="00E93BEB"/>
    <w:rsid w:val="00EA3B11"/>
    <w:rsid w:val="00ED2765"/>
    <w:rsid w:val="00EE0EA5"/>
    <w:rsid w:val="00F14F1F"/>
    <w:rsid w:val="00F21247"/>
    <w:rsid w:val="00F62C87"/>
    <w:rsid w:val="00FC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2F85"/>
  <w15:chartTrackingRefBased/>
  <w15:docId w15:val="{F251C707-7C40-4439-A303-88622C9B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419"/>
  </w:style>
  <w:style w:type="paragraph" w:styleId="Footer">
    <w:name w:val="footer"/>
    <w:basedOn w:val="Normal"/>
    <w:link w:val="FooterChar"/>
    <w:uiPriority w:val="99"/>
    <w:unhideWhenUsed/>
    <w:rsid w:val="00963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419"/>
  </w:style>
  <w:style w:type="paragraph" w:styleId="ListParagraph">
    <w:name w:val="List Paragraph"/>
    <w:basedOn w:val="Normal"/>
    <w:link w:val="ListParagraphChar"/>
    <w:uiPriority w:val="34"/>
    <w:qFormat/>
    <w:rsid w:val="00963419"/>
    <w:pPr>
      <w:ind w:left="720"/>
      <w:contextualSpacing/>
    </w:pPr>
  </w:style>
  <w:style w:type="character" w:styleId="Hyperlink">
    <w:name w:val="Hyperlink"/>
    <w:basedOn w:val="DefaultParagraphFont"/>
    <w:uiPriority w:val="99"/>
    <w:unhideWhenUsed/>
    <w:rsid w:val="00963419"/>
    <w:rPr>
      <w:color w:val="0000FF"/>
      <w:u w:val="single"/>
    </w:rPr>
  </w:style>
  <w:style w:type="table" w:styleId="TableGrid">
    <w:name w:val="Table Grid"/>
    <w:basedOn w:val="TableNormal"/>
    <w:uiPriority w:val="59"/>
    <w:rsid w:val="00963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63419"/>
  </w:style>
  <w:style w:type="table" w:customStyle="1" w:styleId="TableGrid1">
    <w:name w:val="Table Grid1"/>
    <w:basedOn w:val="TableNormal"/>
    <w:next w:val="TableGrid"/>
    <w:uiPriority w:val="39"/>
    <w:rsid w:val="00250DC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E07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3994">
      <w:bodyDiv w:val="1"/>
      <w:marLeft w:val="0"/>
      <w:marRight w:val="0"/>
      <w:marTop w:val="0"/>
      <w:marBottom w:val="0"/>
      <w:divBdr>
        <w:top w:val="none" w:sz="0" w:space="0" w:color="auto"/>
        <w:left w:val="none" w:sz="0" w:space="0" w:color="auto"/>
        <w:bottom w:val="none" w:sz="0" w:space="0" w:color="auto"/>
        <w:right w:val="none" w:sz="0" w:space="0" w:color="auto"/>
      </w:divBdr>
    </w:div>
    <w:div w:id="1006860012">
      <w:bodyDiv w:val="1"/>
      <w:marLeft w:val="0"/>
      <w:marRight w:val="0"/>
      <w:marTop w:val="0"/>
      <w:marBottom w:val="0"/>
      <w:divBdr>
        <w:top w:val="none" w:sz="0" w:space="0" w:color="auto"/>
        <w:left w:val="none" w:sz="0" w:space="0" w:color="auto"/>
        <w:bottom w:val="none" w:sz="0" w:space="0" w:color="auto"/>
        <w:right w:val="none" w:sz="0" w:space="0" w:color="auto"/>
      </w:divBdr>
    </w:div>
    <w:div w:id="1207332797">
      <w:bodyDiv w:val="1"/>
      <w:marLeft w:val="0"/>
      <w:marRight w:val="0"/>
      <w:marTop w:val="0"/>
      <w:marBottom w:val="0"/>
      <w:divBdr>
        <w:top w:val="none" w:sz="0" w:space="0" w:color="auto"/>
        <w:left w:val="none" w:sz="0" w:space="0" w:color="auto"/>
        <w:bottom w:val="none" w:sz="0" w:space="0" w:color="auto"/>
        <w:right w:val="none" w:sz="0" w:space="0" w:color="auto"/>
      </w:divBdr>
    </w:div>
    <w:div w:id="16993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C678621EEAF4A91430F0527C1C4C5" ma:contentTypeVersion="13" ma:contentTypeDescription="Create a new document." ma:contentTypeScope="" ma:versionID="1ee8422807278e0323460f519b8ae44d">
  <xsd:schema xmlns:xsd="http://www.w3.org/2001/XMLSchema" xmlns:xs="http://www.w3.org/2001/XMLSchema" xmlns:p="http://schemas.microsoft.com/office/2006/metadata/properties" xmlns:ns3="99fe56c0-0e80-4d76-93a9-1b75d5b0030c" xmlns:ns4="f3b597b2-ea49-41c7-9ae6-40105e89909a" targetNamespace="http://schemas.microsoft.com/office/2006/metadata/properties" ma:root="true" ma:fieldsID="e41787344e708508f9c6f28fc943533f" ns3:_="" ns4:_="">
    <xsd:import namespace="99fe56c0-0e80-4d76-93a9-1b75d5b0030c"/>
    <xsd:import namespace="f3b597b2-ea49-41c7-9ae6-40105e8990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e56c0-0e80-4d76-93a9-1b75d5b00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597b2-ea49-41c7-9ae6-40105e8990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97AEA-D646-49B4-9678-EA74BBF80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848E7-23F8-4039-8C62-DDF6E6ECFDB3}">
  <ds:schemaRefs>
    <ds:schemaRef ds:uri="http://schemas.microsoft.com/sharepoint/v3/contenttype/forms"/>
  </ds:schemaRefs>
</ds:datastoreItem>
</file>

<file path=customXml/itemProps3.xml><?xml version="1.0" encoding="utf-8"?>
<ds:datastoreItem xmlns:ds="http://schemas.openxmlformats.org/officeDocument/2006/customXml" ds:itemID="{E55EE2DE-0CB6-4C0E-9029-7D5ECF0AC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e56c0-0e80-4d76-93a9-1b75d5b0030c"/>
    <ds:schemaRef ds:uri="f3b597b2-ea49-41c7-9ae6-40105e899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1846C-BDC7-4BC1-8143-B11FF46B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Pham (ADK Lawyers)</dc:creator>
  <cp:keywords/>
  <dc:description/>
  <cp:lastModifiedBy>Windows User</cp:lastModifiedBy>
  <cp:revision>7</cp:revision>
  <dcterms:created xsi:type="dcterms:W3CDTF">2021-08-03T05:11:00Z</dcterms:created>
  <dcterms:modified xsi:type="dcterms:W3CDTF">2021-08-03T13:56:00Z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0x0101008D8C678621EEAF4A91430F0527C1C4C5</vt:lpwstr>
  </property>
</Properties>
</file>