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B5A" w:rsidRDefault="00964A5A">
      <w:pPr>
        <w:rPr>
          <w:rFonts w:ascii="Garamond" w:hAnsi="Garamond"/>
          <w:b/>
          <w:sz w:val="24"/>
          <w:szCs w:val="24"/>
        </w:rPr>
      </w:pPr>
      <w:r>
        <w:rPr>
          <w:rFonts w:ascii="Garamond" w:hAnsi="Garamond"/>
          <w:b/>
          <w:sz w:val="24"/>
          <w:szCs w:val="24"/>
        </w:rPr>
        <w:tab/>
        <w:t xml:space="preserve">    </w:t>
      </w:r>
      <w:r w:rsidR="009600AC">
        <w:rPr>
          <w:rFonts w:ascii="Garamond" w:hAnsi="Garamond"/>
          <w:b/>
          <w:sz w:val="24"/>
          <w:szCs w:val="24"/>
        </w:rPr>
        <w:t xml:space="preserve">INTRIGUING </w:t>
      </w:r>
      <w:r w:rsidR="000253DC">
        <w:rPr>
          <w:rFonts w:ascii="Garamond" w:hAnsi="Garamond"/>
          <w:b/>
          <w:sz w:val="24"/>
          <w:szCs w:val="24"/>
        </w:rPr>
        <w:t>FACTS/</w:t>
      </w:r>
      <w:r w:rsidR="009600AC">
        <w:rPr>
          <w:rFonts w:ascii="Garamond" w:hAnsi="Garamond"/>
          <w:b/>
          <w:sz w:val="24"/>
          <w:szCs w:val="24"/>
        </w:rPr>
        <w:t xml:space="preserve">QUESTION’S </w:t>
      </w:r>
      <w:r w:rsidR="009600AC">
        <w:rPr>
          <w:rFonts w:ascii="Garamond" w:hAnsi="Garamond"/>
          <w:b/>
          <w:sz w:val="24"/>
          <w:szCs w:val="24"/>
        </w:rPr>
        <w:t>ABOUT RECEIVERSHIP</w:t>
      </w:r>
    </w:p>
    <w:p w:rsidR="000F0B5A" w:rsidRDefault="009600AC">
      <w:pPr>
        <w:rPr>
          <w:rFonts w:ascii="Garamond" w:hAnsi="Garamond"/>
          <w:sz w:val="24"/>
          <w:szCs w:val="24"/>
        </w:rPr>
      </w:pPr>
      <w:r>
        <w:rPr>
          <w:rFonts w:ascii="Garamond" w:hAnsi="Garamond"/>
          <w:sz w:val="24"/>
          <w:szCs w:val="24"/>
        </w:rPr>
        <w:t xml:space="preserve">Have you ever questioned the meaning of a ‘receivership’ the implications and duties of the </w:t>
      </w:r>
      <w:r>
        <w:rPr>
          <w:rFonts w:ascii="Garamond" w:hAnsi="Garamond"/>
          <w:sz w:val="24"/>
          <w:szCs w:val="24"/>
        </w:rPr>
        <w:t>receiver/manager? Do you know if the owner’s rights are preserved or not?</w:t>
      </w:r>
    </w:p>
    <w:p w:rsidR="000F0B5A" w:rsidRDefault="009600AC">
      <w:pPr>
        <w:rPr>
          <w:rFonts w:ascii="Garamond" w:hAnsi="Garamond"/>
          <w:sz w:val="24"/>
          <w:szCs w:val="24"/>
        </w:rPr>
      </w:pPr>
      <w:r>
        <w:rPr>
          <w:rFonts w:ascii="Garamond" w:hAnsi="Garamond"/>
          <w:sz w:val="24"/>
          <w:szCs w:val="24"/>
        </w:rPr>
        <w:t>Over the years many Companies have entered into receivership and as such the phrase is not new. In 2017one of the Air giants in Nigeria Aviation Industry Ark Air entered into receive</w:t>
      </w:r>
      <w:r>
        <w:rPr>
          <w:rFonts w:ascii="Garamond" w:hAnsi="Garamond"/>
          <w:sz w:val="24"/>
          <w:szCs w:val="24"/>
        </w:rPr>
        <w:t>rship due to its inability to pay workers and creditors.</w:t>
      </w:r>
      <w:r>
        <w:rPr>
          <w:rStyle w:val="FootnoteReference"/>
          <w:rFonts w:ascii="Garamond" w:hAnsi="Garamond"/>
          <w:sz w:val="24"/>
          <w:szCs w:val="24"/>
        </w:rPr>
        <w:footnoteReference w:id="2"/>
      </w:r>
      <w:r>
        <w:rPr>
          <w:rFonts w:ascii="Garamond" w:hAnsi="Garamond"/>
          <w:sz w:val="24"/>
          <w:szCs w:val="24"/>
        </w:rPr>
        <w:t>This led to the Nigerian government taking</w:t>
      </w:r>
      <w:r w:rsidR="00E947DA">
        <w:rPr>
          <w:rFonts w:ascii="Garamond" w:hAnsi="Garamond"/>
          <w:sz w:val="24"/>
          <w:szCs w:val="24"/>
        </w:rPr>
        <w:t xml:space="preserve"> </w:t>
      </w:r>
      <w:r>
        <w:rPr>
          <w:rFonts w:ascii="Garamond" w:hAnsi="Garamond"/>
          <w:sz w:val="24"/>
          <w:szCs w:val="24"/>
        </w:rPr>
        <w:t>control of the company via the state-owned ‘bad bank’ Asset Management Corporation of Nigeria, known as AMCON.</w:t>
      </w:r>
      <w:r>
        <w:rPr>
          <w:rStyle w:val="FootnoteReference"/>
          <w:rFonts w:ascii="Garamond" w:hAnsi="Garamond"/>
          <w:sz w:val="24"/>
          <w:szCs w:val="24"/>
        </w:rPr>
        <w:footnoteReference w:id="3"/>
      </w:r>
      <w:r>
        <w:rPr>
          <w:rFonts w:ascii="Garamond" w:hAnsi="Garamond"/>
          <w:sz w:val="24"/>
          <w:szCs w:val="24"/>
        </w:rPr>
        <w:t xml:space="preserve"> This precarious situation led many </w:t>
      </w:r>
      <w:r w:rsidR="00011A0D">
        <w:rPr>
          <w:rFonts w:ascii="Garamond" w:hAnsi="Garamond"/>
          <w:sz w:val="24"/>
          <w:szCs w:val="24"/>
        </w:rPr>
        <w:t xml:space="preserve">then and even </w:t>
      </w:r>
      <w:r w:rsidR="00D04B0E">
        <w:rPr>
          <w:rFonts w:ascii="Garamond" w:hAnsi="Garamond"/>
          <w:sz w:val="24"/>
          <w:szCs w:val="24"/>
        </w:rPr>
        <w:t xml:space="preserve">now </w:t>
      </w:r>
      <w:r w:rsidR="00011A0D">
        <w:rPr>
          <w:rFonts w:ascii="Garamond" w:hAnsi="Garamond"/>
          <w:sz w:val="24"/>
          <w:szCs w:val="24"/>
        </w:rPr>
        <w:t xml:space="preserve">those whose properties and companies have entered into receivership </w:t>
      </w:r>
      <w:r>
        <w:rPr>
          <w:rFonts w:ascii="Garamond" w:hAnsi="Garamond"/>
          <w:sz w:val="24"/>
          <w:szCs w:val="24"/>
        </w:rPr>
        <w:t>to the que</w:t>
      </w:r>
      <w:r>
        <w:rPr>
          <w:rFonts w:ascii="Garamond" w:hAnsi="Garamond"/>
          <w:sz w:val="24"/>
          <w:szCs w:val="24"/>
        </w:rPr>
        <w:t xml:space="preserve">stion, who is a receiver and what are the limits to a receiver’s power. Below are answers to the intriguing facts/questions about receiver/manager and receivership. </w:t>
      </w:r>
    </w:p>
    <w:p w:rsidR="000F0B5A" w:rsidRDefault="009600AC">
      <w:pPr>
        <w:rPr>
          <w:rFonts w:ascii="Garamond" w:hAnsi="Garamond"/>
          <w:b/>
          <w:sz w:val="24"/>
          <w:szCs w:val="24"/>
        </w:rPr>
      </w:pPr>
      <w:r>
        <w:rPr>
          <w:rFonts w:ascii="Garamond" w:hAnsi="Garamond"/>
          <w:b/>
          <w:sz w:val="24"/>
          <w:szCs w:val="24"/>
        </w:rPr>
        <w:t>Who is a "receiver" and under what circumstances are they appointed.</w:t>
      </w:r>
    </w:p>
    <w:p w:rsidR="000F0B5A" w:rsidRDefault="009600AC">
      <w:pPr>
        <w:rPr>
          <w:rFonts w:ascii="Garamond" w:hAnsi="Garamond"/>
          <w:sz w:val="24"/>
          <w:szCs w:val="24"/>
        </w:rPr>
      </w:pPr>
      <w:r>
        <w:rPr>
          <w:rFonts w:ascii="Garamond" w:hAnsi="Garamond"/>
          <w:sz w:val="24"/>
          <w:szCs w:val="24"/>
        </w:rPr>
        <w:t>The concept of receiv</w:t>
      </w:r>
      <w:r>
        <w:rPr>
          <w:rFonts w:ascii="Garamond" w:hAnsi="Garamond"/>
          <w:sz w:val="24"/>
          <w:szCs w:val="24"/>
        </w:rPr>
        <w:t xml:space="preserve">ership is very important in corporate practice. Though not defined </w:t>
      </w:r>
      <w:r w:rsidR="00D04B0E">
        <w:rPr>
          <w:rFonts w:ascii="Garamond" w:hAnsi="Garamond"/>
          <w:sz w:val="24"/>
          <w:szCs w:val="24"/>
        </w:rPr>
        <w:t>in the Companies</w:t>
      </w:r>
      <w:r>
        <w:rPr>
          <w:rFonts w:ascii="Garamond" w:hAnsi="Garamond"/>
          <w:sz w:val="24"/>
          <w:szCs w:val="24"/>
        </w:rPr>
        <w:t xml:space="preserve"> and Allied Matters Act</w:t>
      </w:r>
      <w:r w:rsidR="00F5499E">
        <w:rPr>
          <w:rFonts w:ascii="Garamond" w:hAnsi="Garamond"/>
          <w:sz w:val="24"/>
          <w:szCs w:val="24"/>
        </w:rPr>
        <w:t xml:space="preserve"> or AMCON Act</w:t>
      </w:r>
      <w:r w:rsidR="00F5499E">
        <w:rPr>
          <w:rStyle w:val="FootnoteReference"/>
          <w:rFonts w:ascii="Garamond" w:hAnsi="Garamond"/>
          <w:b/>
          <w:sz w:val="24"/>
          <w:szCs w:val="24"/>
        </w:rPr>
        <w:footnoteReference w:id="4"/>
      </w:r>
      <w:r w:rsidR="00D04B0E">
        <w:rPr>
          <w:rFonts w:ascii="Garamond" w:hAnsi="Garamond"/>
          <w:sz w:val="24"/>
          <w:szCs w:val="24"/>
        </w:rPr>
        <w:t>,</w:t>
      </w:r>
      <w:r>
        <w:rPr>
          <w:rFonts w:ascii="Garamond" w:hAnsi="Garamond"/>
          <w:sz w:val="24"/>
          <w:szCs w:val="24"/>
        </w:rPr>
        <w:t xml:space="preserve"> it however states in section 650 </w:t>
      </w:r>
      <w:r w:rsidR="00F5499E">
        <w:rPr>
          <w:rFonts w:ascii="Garamond" w:hAnsi="Garamond"/>
          <w:sz w:val="24"/>
          <w:szCs w:val="24"/>
        </w:rPr>
        <w:t xml:space="preserve">of CAMA state </w:t>
      </w:r>
      <w:r>
        <w:rPr>
          <w:rFonts w:ascii="Garamond" w:hAnsi="Garamond"/>
          <w:sz w:val="24"/>
          <w:szCs w:val="24"/>
        </w:rPr>
        <w:t>that “receiver includes manager.” While the Blacks Law Dictionary</w:t>
      </w:r>
      <w:r>
        <w:rPr>
          <w:rStyle w:val="FootnoteReference"/>
          <w:rFonts w:ascii="Garamond" w:hAnsi="Garamond"/>
          <w:sz w:val="24"/>
          <w:szCs w:val="24"/>
        </w:rPr>
        <w:footnoteReference w:id="5"/>
      </w:r>
      <w:r w:rsidR="000662C0">
        <w:rPr>
          <w:rFonts w:ascii="Garamond" w:hAnsi="Garamond"/>
          <w:sz w:val="24"/>
          <w:szCs w:val="24"/>
        </w:rPr>
        <w:t xml:space="preserve"> </w:t>
      </w:r>
      <w:r>
        <w:rPr>
          <w:rFonts w:ascii="Garamond" w:hAnsi="Garamond"/>
          <w:sz w:val="24"/>
          <w:szCs w:val="24"/>
        </w:rPr>
        <w:t>defines the term receiver to mean person  appointed by</w:t>
      </w:r>
      <w:r>
        <w:rPr>
          <w:rFonts w:ascii="Garamond" w:hAnsi="Garamond"/>
          <w:sz w:val="24"/>
          <w:szCs w:val="24"/>
        </w:rPr>
        <w:t xml:space="preserve"> court for th</w:t>
      </w:r>
      <w:r w:rsidR="000662C0">
        <w:rPr>
          <w:rFonts w:ascii="Garamond" w:hAnsi="Garamond"/>
          <w:sz w:val="24"/>
          <w:szCs w:val="24"/>
        </w:rPr>
        <w:t>e purpose of preserving properties</w:t>
      </w:r>
      <w:r>
        <w:rPr>
          <w:rFonts w:ascii="Garamond" w:hAnsi="Garamond"/>
          <w:sz w:val="24"/>
          <w:szCs w:val="24"/>
        </w:rPr>
        <w:t xml:space="preserve"> of a d</w:t>
      </w:r>
      <w:r w:rsidR="00343012">
        <w:rPr>
          <w:rFonts w:ascii="Garamond" w:hAnsi="Garamond"/>
          <w:sz w:val="24"/>
          <w:szCs w:val="24"/>
        </w:rPr>
        <w:t>ebtor pending an action against</w:t>
      </w:r>
      <w:r>
        <w:rPr>
          <w:rFonts w:ascii="Garamond" w:hAnsi="Garamond"/>
          <w:sz w:val="24"/>
          <w:szCs w:val="24"/>
        </w:rPr>
        <w:t xml:space="preserve"> him, or applying the property in sat</w:t>
      </w:r>
      <w:r w:rsidR="00343012">
        <w:rPr>
          <w:rFonts w:ascii="Garamond" w:hAnsi="Garamond"/>
          <w:sz w:val="24"/>
          <w:szCs w:val="24"/>
        </w:rPr>
        <w:t>isfaction of a creditor’s claim whenever there is danger that</w:t>
      </w:r>
      <w:r>
        <w:rPr>
          <w:rFonts w:ascii="Garamond" w:hAnsi="Garamond"/>
          <w:sz w:val="24"/>
          <w:szCs w:val="24"/>
        </w:rPr>
        <w:t xml:space="preserve"> in the absence of such appointment, the property will be lost, removed</w:t>
      </w:r>
      <w:r>
        <w:rPr>
          <w:rFonts w:ascii="Garamond" w:hAnsi="Garamond"/>
          <w:sz w:val="24"/>
          <w:szCs w:val="24"/>
        </w:rPr>
        <w:t xml:space="preserve"> or injured. Simply put a Receiver is a person appointed as custodian of a property, finances, general assets, or business operations.</w:t>
      </w:r>
      <w:r>
        <w:rPr>
          <w:rStyle w:val="FootnoteReference"/>
          <w:rFonts w:ascii="Garamond" w:hAnsi="Garamond"/>
          <w:sz w:val="24"/>
          <w:szCs w:val="24"/>
        </w:rPr>
        <w:footnoteReference w:id="6"/>
      </w:r>
    </w:p>
    <w:p w:rsidR="000F0B5A" w:rsidRDefault="009600AC">
      <w:pPr>
        <w:rPr>
          <w:rFonts w:ascii="Garamond" w:hAnsi="Garamond"/>
          <w:sz w:val="24"/>
          <w:szCs w:val="24"/>
        </w:rPr>
      </w:pPr>
      <w:r>
        <w:rPr>
          <w:rFonts w:ascii="Garamond" w:hAnsi="Garamond"/>
          <w:sz w:val="24"/>
          <w:szCs w:val="24"/>
        </w:rPr>
        <w:t>Receivers may be appointed in two ways; that is by the debenture holders where the debenture provides so</w:t>
      </w:r>
      <w:r>
        <w:rPr>
          <w:rStyle w:val="FootnoteReference"/>
          <w:rFonts w:ascii="Garamond" w:hAnsi="Garamond"/>
          <w:sz w:val="24"/>
          <w:szCs w:val="24"/>
        </w:rPr>
        <w:footnoteReference w:id="7"/>
      </w:r>
      <w:r>
        <w:rPr>
          <w:rFonts w:ascii="Garamond" w:hAnsi="Garamond"/>
          <w:sz w:val="24"/>
          <w:szCs w:val="24"/>
        </w:rPr>
        <w:t>or by the court</w:t>
      </w:r>
      <w:r>
        <w:rPr>
          <w:rFonts w:ascii="Garamond" w:hAnsi="Garamond"/>
          <w:sz w:val="24"/>
          <w:szCs w:val="24"/>
        </w:rPr>
        <w:t xml:space="preserve"> on the application of an interested person.</w:t>
      </w:r>
      <w:r>
        <w:rPr>
          <w:rStyle w:val="FootnoteReference"/>
          <w:rFonts w:ascii="Garamond" w:hAnsi="Garamond"/>
          <w:sz w:val="24"/>
          <w:szCs w:val="24"/>
        </w:rPr>
        <w:footnoteReference w:id="8"/>
      </w:r>
      <w:r w:rsidR="00D36A5A">
        <w:rPr>
          <w:rFonts w:ascii="Garamond" w:hAnsi="Garamond"/>
          <w:sz w:val="24"/>
          <w:szCs w:val="24"/>
        </w:rPr>
        <w:t xml:space="preserve"> </w:t>
      </w:r>
      <w:r>
        <w:rPr>
          <w:rFonts w:ascii="Garamond" w:hAnsi="Garamond"/>
          <w:sz w:val="24"/>
          <w:szCs w:val="24"/>
        </w:rPr>
        <w:t>When a receiver is appointed, a company is said to be "in receivership."</w:t>
      </w:r>
    </w:p>
    <w:p w:rsidR="000F0B5A" w:rsidRDefault="009600AC">
      <w:pPr>
        <w:rPr>
          <w:rFonts w:ascii="Garamond" w:hAnsi="Garamond"/>
          <w:b/>
          <w:sz w:val="24"/>
          <w:szCs w:val="24"/>
        </w:rPr>
      </w:pPr>
      <w:r>
        <w:rPr>
          <w:rFonts w:ascii="Garamond" w:hAnsi="Garamond"/>
          <w:b/>
          <w:sz w:val="24"/>
          <w:szCs w:val="24"/>
        </w:rPr>
        <w:t>Duties of a Receiver</w:t>
      </w:r>
    </w:p>
    <w:p w:rsidR="000F0B5A" w:rsidRDefault="009600AC">
      <w:pPr>
        <w:pStyle w:val="ListParagraph"/>
        <w:numPr>
          <w:ilvl w:val="0"/>
          <w:numId w:val="4"/>
        </w:numPr>
        <w:ind w:left="360" w:firstLine="0"/>
        <w:rPr>
          <w:rFonts w:ascii="Garamond" w:hAnsi="Garamond"/>
          <w:sz w:val="24"/>
          <w:szCs w:val="24"/>
        </w:rPr>
      </w:pPr>
      <w:r>
        <w:rPr>
          <w:rFonts w:ascii="Garamond" w:hAnsi="Garamond"/>
          <w:sz w:val="24"/>
          <w:szCs w:val="24"/>
        </w:rPr>
        <w:t>To realize the debt on behalf of the person who appoints him.</w:t>
      </w:r>
      <w:r>
        <w:rPr>
          <w:rStyle w:val="FootnoteReference"/>
          <w:rFonts w:ascii="Garamond" w:hAnsi="Garamond"/>
          <w:sz w:val="24"/>
          <w:szCs w:val="24"/>
        </w:rPr>
        <w:footnoteReference w:id="9"/>
      </w:r>
    </w:p>
    <w:p w:rsidR="00142E09" w:rsidRDefault="009600AC">
      <w:pPr>
        <w:pStyle w:val="ListParagraph"/>
        <w:numPr>
          <w:ilvl w:val="0"/>
          <w:numId w:val="4"/>
        </w:numPr>
        <w:ind w:left="360" w:firstLine="0"/>
        <w:rPr>
          <w:rFonts w:ascii="Garamond" w:hAnsi="Garamond"/>
          <w:sz w:val="24"/>
          <w:szCs w:val="24"/>
        </w:rPr>
      </w:pPr>
      <w:r>
        <w:rPr>
          <w:rFonts w:ascii="Garamond" w:hAnsi="Garamond"/>
          <w:sz w:val="24"/>
          <w:szCs w:val="24"/>
        </w:rPr>
        <w:t>To manage the company over which he has been appointed</w:t>
      </w:r>
      <w:r>
        <w:rPr>
          <w:rFonts w:ascii="Garamond" w:hAnsi="Garamond"/>
          <w:sz w:val="24"/>
          <w:szCs w:val="24"/>
        </w:rPr>
        <w:t>, in the interest of the</w:t>
      </w:r>
    </w:p>
    <w:p w:rsidR="000F0B5A" w:rsidRDefault="00142E09" w:rsidP="00142E09">
      <w:pPr>
        <w:pStyle w:val="ListParagraph"/>
        <w:ind w:left="800"/>
        <w:rPr>
          <w:rFonts w:ascii="Garamond" w:hAnsi="Garamond"/>
          <w:sz w:val="24"/>
          <w:szCs w:val="24"/>
        </w:rPr>
      </w:pPr>
      <w:r>
        <w:rPr>
          <w:rFonts w:ascii="Garamond" w:hAnsi="Garamond"/>
          <w:sz w:val="24"/>
          <w:szCs w:val="24"/>
        </w:rPr>
        <w:t>company, and for the benefit of all interests concerned.</w:t>
      </w:r>
      <w:r>
        <w:rPr>
          <w:rStyle w:val="FootnoteReference"/>
          <w:rFonts w:ascii="Garamond" w:hAnsi="Garamond"/>
          <w:sz w:val="24"/>
          <w:szCs w:val="24"/>
        </w:rPr>
        <w:footnoteReference w:id="10"/>
      </w:r>
      <w:r w:rsidR="009600AC">
        <w:rPr>
          <w:rFonts w:ascii="Garamond" w:hAnsi="Garamond"/>
          <w:sz w:val="24"/>
          <w:szCs w:val="24"/>
        </w:rPr>
        <w:t xml:space="preserve"> </w:t>
      </w:r>
    </w:p>
    <w:p w:rsidR="000F0B5A" w:rsidRDefault="009600AC">
      <w:pPr>
        <w:pStyle w:val="ListParagraph"/>
        <w:numPr>
          <w:ilvl w:val="0"/>
          <w:numId w:val="4"/>
        </w:numPr>
        <w:ind w:left="360" w:firstLine="0"/>
        <w:rPr>
          <w:rFonts w:ascii="Garamond" w:hAnsi="Garamond"/>
          <w:sz w:val="24"/>
          <w:szCs w:val="24"/>
        </w:rPr>
      </w:pPr>
      <w:r>
        <w:rPr>
          <w:rFonts w:ascii="Garamond" w:hAnsi="Garamond"/>
          <w:sz w:val="24"/>
          <w:szCs w:val="24"/>
        </w:rPr>
        <w:t>Duty of care and skill.</w:t>
      </w:r>
      <w:r>
        <w:rPr>
          <w:rStyle w:val="FootnoteReference"/>
          <w:rFonts w:ascii="Garamond" w:hAnsi="Garamond"/>
          <w:sz w:val="24"/>
          <w:szCs w:val="24"/>
        </w:rPr>
        <w:footnoteReference w:id="11"/>
      </w:r>
    </w:p>
    <w:p w:rsidR="000F0B5A" w:rsidRDefault="009600AC">
      <w:pPr>
        <w:pStyle w:val="ListParagraph"/>
        <w:numPr>
          <w:ilvl w:val="0"/>
          <w:numId w:val="4"/>
        </w:numPr>
        <w:ind w:left="360" w:firstLine="0"/>
        <w:rPr>
          <w:rFonts w:ascii="Garamond" w:hAnsi="Garamond"/>
          <w:sz w:val="24"/>
          <w:szCs w:val="24"/>
        </w:rPr>
      </w:pPr>
      <w:r>
        <w:rPr>
          <w:rFonts w:ascii="Garamond" w:hAnsi="Garamond"/>
          <w:sz w:val="24"/>
          <w:szCs w:val="24"/>
        </w:rPr>
        <w:t>Duty to institute and defend actions.</w:t>
      </w:r>
      <w:r>
        <w:rPr>
          <w:rStyle w:val="FootnoteReference"/>
          <w:rFonts w:ascii="Garamond" w:hAnsi="Garamond"/>
          <w:sz w:val="24"/>
          <w:szCs w:val="24"/>
        </w:rPr>
        <w:footnoteReference w:id="12"/>
      </w:r>
    </w:p>
    <w:p w:rsidR="000F0B5A" w:rsidRDefault="009600AC">
      <w:pPr>
        <w:pStyle w:val="ListParagraph"/>
        <w:numPr>
          <w:ilvl w:val="0"/>
          <w:numId w:val="4"/>
        </w:numPr>
        <w:ind w:left="360" w:firstLine="0"/>
        <w:rPr>
          <w:rFonts w:ascii="Garamond" w:hAnsi="Garamond"/>
          <w:sz w:val="24"/>
          <w:szCs w:val="24"/>
        </w:rPr>
      </w:pPr>
      <w:r>
        <w:rPr>
          <w:rFonts w:ascii="Garamond" w:hAnsi="Garamond"/>
          <w:sz w:val="24"/>
          <w:szCs w:val="24"/>
        </w:rPr>
        <w:lastRenderedPageBreak/>
        <w:t xml:space="preserve">Take possession of the security </w:t>
      </w:r>
    </w:p>
    <w:p w:rsidR="000F0B5A" w:rsidRDefault="009600AC">
      <w:pPr>
        <w:pStyle w:val="ListParagraph"/>
        <w:numPr>
          <w:ilvl w:val="0"/>
          <w:numId w:val="4"/>
        </w:numPr>
        <w:ind w:left="360" w:firstLine="0"/>
        <w:rPr>
          <w:rFonts w:ascii="Garamond" w:hAnsi="Garamond"/>
          <w:sz w:val="24"/>
          <w:szCs w:val="24"/>
        </w:rPr>
      </w:pPr>
      <w:r>
        <w:rPr>
          <w:rFonts w:ascii="Garamond" w:hAnsi="Garamond" w:cs="Garamond"/>
          <w:sz w:val="24"/>
          <w:szCs w:val="24"/>
        </w:rPr>
        <w:t>Receive income, Pay outgoing service, taxes and rates</w:t>
      </w:r>
    </w:p>
    <w:p w:rsidR="000F0B5A" w:rsidRDefault="009600AC">
      <w:pPr>
        <w:pStyle w:val="ListParagraph"/>
        <w:numPr>
          <w:ilvl w:val="0"/>
          <w:numId w:val="4"/>
        </w:numPr>
        <w:ind w:left="360" w:firstLine="0"/>
        <w:rPr>
          <w:rFonts w:ascii="Garamond" w:hAnsi="Garamond"/>
          <w:sz w:val="24"/>
          <w:szCs w:val="24"/>
        </w:rPr>
      </w:pPr>
      <w:r>
        <w:rPr>
          <w:rFonts w:ascii="Garamond" w:hAnsi="Garamond" w:cs="Garamond"/>
          <w:sz w:val="24"/>
          <w:szCs w:val="24"/>
        </w:rPr>
        <w:t>He must act in good f</w:t>
      </w:r>
      <w:r>
        <w:rPr>
          <w:rFonts w:ascii="Garamond" w:hAnsi="Garamond" w:cs="Garamond"/>
          <w:sz w:val="24"/>
          <w:szCs w:val="24"/>
        </w:rPr>
        <w:t xml:space="preserve">aith </w:t>
      </w:r>
    </w:p>
    <w:p w:rsidR="000F0B5A" w:rsidRDefault="009600AC">
      <w:pPr>
        <w:pStyle w:val="ListParagraph"/>
        <w:numPr>
          <w:ilvl w:val="0"/>
          <w:numId w:val="4"/>
        </w:numPr>
        <w:ind w:left="360" w:firstLine="0"/>
        <w:rPr>
          <w:rFonts w:ascii="Garamond" w:hAnsi="Garamond"/>
          <w:sz w:val="24"/>
          <w:szCs w:val="24"/>
        </w:rPr>
      </w:pPr>
      <w:r>
        <w:rPr>
          <w:rFonts w:ascii="Garamond" w:hAnsi="Garamond" w:cs="Garamond"/>
          <w:sz w:val="24"/>
          <w:szCs w:val="24"/>
        </w:rPr>
        <w:t xml:space="preserve">Must act within his scope of authority </w:t>
      </w:r>
    </w:p>
    <w:p w:rsidR="000F0B5A" w:rsidRDefault="009600AC">
      <w:pPr>
        <w:pStyle w:val="ListParagraph"/>
        <w:numPr>
          <w:ilvl w:val="0"/>
          <w:numId w:val="4"/>
        </w:numPr>
        <w:ind w:left="360" w:firstLine="0"/>
        <w:rPr>
          <w:rFonts w:ascii="Garamond" w:hAnsi="Garamond"/>
          <w:sz w:val="24"/>
          <w:szCs w:val="24"/>
        </w:rPr>
      </w:pPr>
      <w:r>
        <w:rPr>
          <w:rFonts w:ascii="Garamond" w:hAnsi="Garamond" w:cs="Garamond"/>
          <w:sz w:val="24"/>
          <w:szCs w:val="24"/>
        </w:rPr>
        <w:t>Avoid collusion</w:t>
      </w:r>
    </w:p>
    <w:p w:rsidR="000F0B5A" w:rsidRPr="006D5B30" w:rsidRDefault="009600AC" w:rsidP="006D5B30">
      <w:pPr>
        <w:pStyle w:val="ListParagraph"/>
        <w:numPr>
          <w:ilvl w:val="0"/>
          <w:numId w:val="4"/>
        </w:numPr>
        <w:ind w:left="360" w:firstLine="0"/>
        <w:rPr>
          <w:rFonts w:ascii="Garamond" w:hAnsi="Garamond"/>
          <w:sz w:val="24"/>
          <w:szCs w:val="24"/>
        </w:rPr>
      </w:pPr>
      <w:r>
        <w:rPr>
          <w:rFonts w:ascii="Garamond" w:hAnsi="Garamond"/>
          <w:sz w:val="24"/>
          <w:szCs w:val="24"/>
        </w:rPr>
        <w:t>Duty to give account. Etc</w:t>
      </w:r>
    </w:p>
    <w:p w:rsidR="000F0B5A" w:rsidRDefault="009600AC">
      <w:pPr>
        <w:rPr>
          <w:rFonts w:ascii="Garamond" w:hAnsi="Garamond"/>
          <w:sz w:val="24"/>
          <w:szCs w:val="24"/>
        </w:rPr>
      </w:pPr>
      <w:r>
        <w:rPr>
          <w:rFonts w:ascii="Garamond" w:hAnsi="Garamond"/>
          <w:sz w:val="24"/>
          <w:szCs w:val="24"/>
        </w:rPr>
        <w:t xml:space="preserve">Given the duties and powers assigned to a receiver, some intriguing questions as stated below may arise. They are: </w:t>
      </w:r>
    </w:p>
    <w:p w:rsidR="000F0B5A" w:rsidRDefault="009600AC">
      <w:pPr>
        <w:rPr>
          <w:rFonts w:ascii="Garamond" w:hAnsi="Garamond"/>
          <w:b/>
          <w:sz w:val="24"/>
          <w:szCs w:val="24"/>
        </w:rPr>
      </w:pPr>
      <w:r>
        <w:rPr>
          <w:rFonts w:ascii="Garamond" w:hAnsi="Garamond"/>
          <w:b/>
          <w:sz w:val="24"/>
          <w:szCs w:val="24"/>
        </w:rPr>
        <w:t>Whether a receiver can be held to be liable for t</w:t>
      </w:r>
      <w:r>
        <w:rPr>
          <w:rFonts w:ascii="Garamond" w:hAnsi="Garamond"/>
          <w:b/>
          <w:sz w:val="24"/>
          <w:szCs w:val="24"/>
        </w:rPr>
        <w:t>respass where he deals with the assets of a company not in receivership</w:t>
      </w:r>
    </w:p>
    <w:p w:rsidR="000F0B5A" w:rsidRDefault="009600AC">
      <w:pPr>
        <w:rPr>
          <w:rFonts w:ascii="Garamond" w:hAnsi="Garamond"/>
          <w:sz w:val="24"/>
          <w:szCs w:val="24"/>
        </w:rPr>
      </w:pPr>
      <w:r>
        <w:rPr>
          <w:rFonts w:ascii="Garamond" w:hAnsi="Garamond"/>
          <w:sz w:val="24"/>
          <w:szCs w:val="24"/>
        </w:rPr>
        <w:t xml:space="preserve">A receiver is merely accountable for assets of the bankrupt debenture holder. As such where he deals with the assets of the company not in receivership he would be liable in trespass. </w:t>
      </w:r>
      <w:r>
        <w:rPr>
          <w:rFonts w:ascii="Garamond" w:hAnsi="Garamond"/>
          <w:sz w:val="24"/>
          <w:szCs w:val="24"/>
        </w:rPr>
        <w:t>This was illustrated in the case of Re Goldburg</w:t>
      </w:r>
      <w:r>
        <w:rPr>
          <w:rStyle w:val="FootnoteReference"/>
          <w:rFonts w:ascii="Garamond" w:hAnsi="Garamond"/>
          <w:sz w:val="24"/>
          <w:szCs w:val="24"/>
        </w:rPr>
        <w:footnoteReference w:id="13"/>
      </w:r>
      <w:r>
        <w:rPr>
          <w:rFonts w:ascii="Garamond" w:hAnsi="Garamond"/>
          <w:sz w:val="24"/>
          <w:szCs w:val="24"/>
        </w:rPr>
        <w:t xml:space="preserve">, it was held that where a receiver is appointed by </w:t>
      </w:r>
      <w:r w:rsidR="00984413">
        <w:rPr>
          <w:rFonts w:ascii="Garamond" w:hAnsi="Garamond"/>
          <w:sz w:val="24"/>
          <w:szCs w:val="24"/>
        </w:rPr>
        <w:t xml:space="preserve">a </w:t>
      </w:r>
      <w:r>
        <w:rPr>
          <w:rFonts w:ascii="Garamond" w:hAnsi="Garamond"/>
          <w:sz w:val="24"/>
          <w:szCs w:val="24"/>
        </w:rPr>
        <w:t>debenture holders he and the debenture holders are liable as trespassers if he deals with the assets which are not property of the company because it was th</w:t>
      </w:r>
      <w:r>
        <w:rPr>
          <w:rFonts w:ascii="Garamond" w:hAnsi="Garamond"/>
          <w:sz w:val="24"/>
          <w:szCs w:val="24"/>
        </w:rPr>
        <w:t xml:space="preserve">rough </w:t>
      </w:r>
      <w:r w:rsidR="00984413">
        <w:rPr>
          <w:rFonts w:ascii="Garamond" w:hAnsi="Garamond"/>
          <w:sz w:val="24"/>
          <w:szCs w:val="24"/>
        </w:rPr>
        <w:t>the act of the debenture holder</w:t>
      </w:r>
      <w:r>
        <w:rPr>
          <w:rFonts w:ascii="Garamond" w:hAnsi="Garamond"/>
          <w:sz w:val="24"/>
          <w:szCs w:val="24"/>
        </w:rPr>
        <w:t xml:space="preserve"> that he came in possession of the assets of the company.</w:t>
      </w:r>
    </w:p>
    <w:p w:rsidR="000F0B5A" w:rsidRDefault="009600AC">
      <w:pPr>
        <w:rPr>
          <w:rFonts w:ascii="Garamond" w:hAnsi="Garamond"/>
          <w:b/>
          <w:sz w:val="24"/>
          <w:szCs w:val="24"/>
        </w:rPr>
      </w:pPr>
      <w:r>
        <w:rPr>
          <w:rFonts w:ascii="Garamond" w:hAnsi="Garamond"/>
          <w:b/>
          <w:sz w:val="24"/>
          <w:szCs w:val="24"/>
        </w:rPr>
        <w:t>Whether the directors of a company in receivership have the right to deal with the assets of the company during Receivership?</w:t>
      </w:r>
    </w:p>
    <w:p w:rsidR="000F0B5A" w:rsidRDefault="009600AC">
      <w:pPr>
        <w:rPr>
          <w:rFonts w:ascii="Garamond" w:hAnsi="Garamond"/>
          <w:sz w:val="24"/>
          <w:szCs w:val="24"/>
        </w:rPr>
      </w:pPr>
      <w:r>
        <w:rPr>
          <w:rFonts w:ascii="Garamond" w:hAnsi="Garamond"/>
          <w:sz w:val="24"/>
          <w:szCs w:val="24"/>
        </w:rPr>
        <w:t>The directors of a company are not</w:t>
      </w:r>
      <w:r>
        <w:rPr>
          <w:rFonts w:ascii="Garamond" w:hAnsi="Garamond"/>
          <w:sz w:val="24"/>
          <w:szCs w:val="24"/>
        </w:rPr>
        <w:t xml:space="preserve"> by virtue of receivership rendered functus officio for all purposes. A company by mere fact of receivership does not loose its identity or its title to her goods in receivership. The right of the directors of the company in receivership to deal with its a</w:t>
      </w:r>
      <w:r>
        <w:rPr>
          <w:rFonts w:ascii="Garamond" w:hAnsi="Garamond"/>
          <w:sz w:val="24"/>
          <w:szCs w:val="24"/>
        </w:rPr>
        <w:t xml:space="preserve">ssets not in receivership and other matters not suspended are not affected by the appointment of a receiver over the assets in receivership. This was the position in </w:t>
      </w:r>
      <w:r>
        <w:rPr>
          <w:rFonts w:ascii="Garamond" w:hAnsi="Garamond"/>
          <w:i/>
          <w:sz w:val="24"/>
          <w:szCs w:val="24"/>
        </w:rPr>
        <w:t>Robinson Printing Co Ltd vs Chic Ltd</w:t>
      </w:r>
      <w:r>
        <w:rPr>
          <w:rFonts w:ascii="Garamond" w:hAnsi="Garamond"/>
          <w:sz w:val="24"/>
          <w:szCs w:val="24"/>
        </w:rPr>
        <w:t>,</w:t>
      </w:r>
      <w:r>
        <w:rPr>
          <w:rStyle w:val="FootnoteReference"/>
          <w:rFonts w:ascii="Garamond" w:hAnsi="Garamond"/>
          <w:sz w:val="24"/>
          <w:szCs w:val="24"/>
        </w:rPr>
        <w:footnoteReference w:id="14"/>
      </w:r>
      <w:r w:rsidR="007907D4">
        <w:rPr>
          <w:rFonts w:ascii="Garamond" w:hAnsi="Garamond"/>
          <w:sz w:val="24"/>
          <w:szCs w:val="24"/>
        </w:rPr>
        <w:t xml:space="preserve"> </w:t>
      </w:r>
      <w:r>
        <w:rPr>
          <w:rFonts w:ascii="Garamond" w:hAnsi="Garamond"/>
          <w:sz w:val="24"/>
          <w:szCs w:val="24"/>
        </w:rPr>
        <w:t>where the court held that the directors of a company are at liberty to deal with the assets of the company not in receivership.</w:t>
      </w:r>
    </w:p>
    <w:p w:rsidR="000F0B5A" w:rsidRDefault="009600AC">
      <w:pPr>
        <w:rPr>
          <w:rFonts w:ascii="Garamond" w:hAnsi="Garamond"/>
          <w:b/>
          <w:sz w:val="24"/>
          <w:szCs w:val="24"/>
        </w:rPr>
      </w:pPr>
      <w:r>
        <w:rPr>
          <w:rFonts w:ascii="Garamond" w:hAnsi="Garamond"/>
          <w:b/>
          <w:sz w:val="24"/>
          <w:szCs w:val="24"/>
        </w:rPr>
        <w:t>Whether a company will have the locus standi to sue where it has entered receivership?</w:t>
      </w:r>
    </w:p>
    <w:p w:rsidR="000F0B5A" w:rsidRDefault="009600AC">
      <w:pPr>
        <w:rPr>
          <w:rFonts w:ascii="Garamond" w:hAnsi="Garamond"/>
          <w:sz w:val="24"/>
          <w:szCs w:val="24"/>
        </w:rPr>
      </w:pPr>
      <w:r>
        <w:rPr>
          <w:rFonts w:ascii="Garamond" w:hAnsi="Garamond"/>
          <w:sz w:val="24"/>
          <w:szCs w:val="24"/>
        </w:rPr>
        <w:t>No Company has any locus standi to sue where it has entered receivership. It is the Receiver/Manager, who, by operation of law, should sue on behalf of the Company. Indeed the powers of the Directors of the Company become paralyzed because of the appointme</w:t>
      </w:r>
      <w:r>
        <w:rPr>
          <w:rFonts w:ascii="Garamond" w:hAnsi="Garamond"/>
          <w:sz w:val="24"/>
          <w:szCs w:val="24"/>
        </w:rPr>
        <w:t>nt of the Receiver /Manager. The Assets of the Company remain with the Receiver/Manager and he alone has the right to deal with these assets as long as he remains the Receiver Manager.</w:t>
      </w:r>
    </w:p>
    <w:p w:rsidR="000F0B5A" w:rsidRDefault="009600AC">
      <w:pPr>
        <w:rPr>
          <w:rFonts w:ascii="Garamond" w:hAnsi="Garamond"/>
          <w:b/>
          <w:sz w:val="24"/>
          <w:szCs w:val="24"/>
        </w:rPr>
      </w:pPr>
      <w:r>
        <w:rPr>
          <w:rFonts w:ascii="Garamond" w:hAnsi="Garamond"/>
          <w:b/>
          <w:sz w:val="24"/>
          <w:szCs w:val="24"/>
        </w:rPr>
        <w:t>Whether a Receiver/Manager can maintain an action in his own name</w:t>
      </w:r>
    </w:p>
    <w:p w:rsidR="000F0B5A" w:rsidRDefault="009600AC">
      <w:pPr>
        <w:rPr>
          <w:rFonts w:ascii="Garamond" w:hAnsi="Garamond"/>
          <w:sz w:val="24"/>
          <w:szCs w:val="24"/>
        </w:rPr>
      </w:pPr>
      <w:r>
        <w:rPr>
          <w:rFonts w:ascii="Garamond" w:hAnsi="Garamond"/>
          <w:sz w:val="24"/>
          <w:szCs w:val="24"/>
        </w:rPr>
        <w:t>In ge</w:t>
      </w:r>
      <w:r>
        <w:rPr>
          <w:rFonts w:ascii="Garamond" w:hAnsi="Garamond"/>
          <w:sz w:val="24"/>
          <w:szCs w:val="24"/>
        </w:rPr>
        <w:t>neral a Receiver/Manager cannot maintain an action in his own name to recover goods or money to the possession of which he is entitled by virtue of his appointment as a Receiver.</w:t>
      </w:r>
      <w:r>
        <w:rPr>
          <w:rStyle w:val="FootnoteReference"/>
          <w:rFonts w:ascii="Garamond" w:hAnsi="Garamond"/>
          <w:sz w:val="24"/>
          <w:szCs w:val="24"/>
        </w:rPr>
        <w:footnoteReference w:id="15"/>
      </w:r>
    </w:p>
    <w:p w:rsidR="000F0B5A" w:rsidRDefault="009600AC">
      <w:pPr>
        <w:rPr>
          <w:rFonts w:ascii="Garamond" w:hAnsi="Garamond"/>
          <w:sz w:val="24"/>
          <w:szCs w:val="24"/>
        </w:rPr>
      </w:pPr>
      <w:r>
        <w:rPr>
          <w:rFonts w:ascii="Garamond" w:hAnsi="Garamond"/>
          <w:sz w:val="24"/>
          <w:szCs w:val="24"/>
        </w:rPr>
        <w:t>A receiver can only sue in the name of the company under the receivership to</w:t>
      </w:r>
      <w:r>
        <w:rPr>
          <w:rFonts w:ascii="Garamond" w:hAnsi="Garamond"/>
          <w:sz w:val="24"/>
          <w:szCs w:val="24"/>
        </w:rPr>
        <w:t xml:space="preserve"> recover the property charged</w:t>
      </w:r>
      <w:r w:rsidR="00830BD6">
        <w:rPr>
          <w:rFonts w:ascii="Garamond" w:hAnsi="Garamond"/>
          <w:sz w:val="24"/>
          <w:szCs w:val="24"/>
        </w:rPr>
        <w:t>.</w:t>
      </w:r>
    </w:p>
    <w:p w:rsidR="000F0B5A" w:rsidRDefault="009600AC">
      <w:pPr>
        <w:rPr>
          <w:rFonts w:ascii="Garamond" w:hAnsi="Garamond"/>
          <w:b/>
          <w:sz w:val="24"/>
          <w:szCs w:val="24"/>
        </w:rPr>
      </w:pPr>
      <w:r>
        <w:rPr>
          <w:rFonts w:ascii="Garamond" w:hAnsi="Garamond"/>
          <w:b/>
          <w:sz w:val="24"/>
          <w:szCs w:val="24"/>
        </w:rPr>
        <w:lastRenderedPageBreak/>
        <w:t>Whether a judgment creditor can levy execution against the properties of the judgment debtor already in receivership?</w:t>
      </w:r>
    </w:p>
    <w:p w:rsidR="000F0B5A" w:rsidRDefault="009600AC">
      <w:pPr>
        <w:rPr>
          <w:rFonts w:ascii="Garamond" w:hAnsi="Garamond"/>
          <w:sz w:val="24"/>
          <w:szCs w:val="24"/>
        </w:rPr>
      </w:pPr>
      <w:r>
        <w:rPr>
          <w:rFonts w:ascii="Garamond" w:hAnsi="Garamond"/>
          <w:sz w:val="24"/>
          <w:szCs w:val="24"/>
        </w:rPr>
        <w:t>A judgment creditor cannot levy execution against the properties of the judgment debtor already under receiv</w:t>
      </w:r>
      <w:r>
        <w:rPr>
          <w:rFonts w:ascii="Garamond" w:hAnsi="Garamond"/>
          <w:sz w:val="24"/>
          <w:szCs w:val="24"/>
        </w:rPr>
        <w:t>ership.</w:t>
      </w:r>
      <w:r>
        <w:rPr>
          <w:rStyle w:val="FootnoteReference"/>
          <w:rFonts w:ascii="Garamond" w:hAnsi="Garamond"/>
          <w:sz w:val="24"/>
          <w:szCs w:val="24"/>
        </w:rPr>
        <w:footnoteReference w:id="16"/>
      </w:r>
      <w:r>
        <w:rPr>
          <w:rFonts w:ascii="Garamond" w:hAnsi="Garamond"/>
          <w:sz w:val="24"/>
          <w:szCs w:val="24"/>
        </w:rPr>
        <w:t xml:space="preserve">This is so because a debenture holder already exercises her </w:t>
      </w:r>
      <w:r w:rsidR="00CF734F">
        <w:rPr>
          <w:rFonts w:ascii="Garamond" w:hAnsi="Garamond"/>
          <w:sz w:val="24"/>
          <w:szCs w:val="24"/>
        </w:rPr>
        <w:t xml:space="preserve">right </w:t>
      </w:r>
      <w:r>
        <w:rPr>
          <w:rFonts w:ascii="Garamond" w:hAnsi="Garamond"/>
          <w:sz w:val="24"/>
          <w:szCs w:val="24"/>
        </w:rPr>
        <w:t>over such assets/properties.</w:t>
      </w:r>
    </w:p>
    <w:p w:rsidR="000F0B5A" w:rsidRDefault="009600AC">
      <w:pPr>
        <w:rPr>
          <w:rFonts w:ascii="Garamond" w:hAnsi="Garamond"/>
          <w:b/>
          <w:sz w:val="24"/>
          <w:szCs w:val="24"/>
        </w:rPr>
      </w:pPr>
      <w:r>
        <w:rPr>
          <w:rFonts w:ascii="Garamond" w:hAnsi="Garamond"/>
          <w:b/>
          <w:sz w:val="24"/>
          <w:szCs w:val="24"/>
        </w:rPr>
        <w:t>Difference Between Receivership and Liquidation?</w:t>
      </w:r>
    </w:p>
    <w:p w:rsidR="000F0B5A" w:rsidRDefault="009600AC">
      <w:pPr>
        <w:pStyle w:val="NormalWeb"/>
        <w:jc w:val="both"/>
        <w:rPr>
          <w:rFonts w:ascii="Garamond" w:hAnsi="Garamond"/>
        </w:rPr>
      </w:pPr>
      <w:r>
        <w:rPr>
          <w:rFonts w:ascii="Garamond" w:hAnsi="Garamond"/>
          <w:b/>
        </w:rPr>
        <w:t>R</w:t>
      </w:r>
      <w:r>
        <w:rPr>
          <w:rStyle w:val="Strong"/>
          <w:rFonts w:ascii="Garamond" w:hAnsi="Garamond"/>
          <w:b w:val="0"/>
        </w:rPr>
        <w:t xml:space="preserve">eceivership </w:t>
      </w:r>
      <w:r>
        <w:rPr>
          <w:rFonts w:ascii="Garamond" w:hAnsi="Garamond"/>
        </w:rPr>
        <w:t>simply is a debt restructuring process, a process wherein a neutral third-party (professional) is</w:t>
      </w:r>
      <w:r>
        <w:rPr>
          <w:rFonts w:ascii="Garamond" w:hAnsi="Garamond"/>
        </w:rPr>
        <w:t xml:space="preserve"> appointed to manage the company's assets in other to repay creditors or debenture holders and for the company to resume profitable operations.</w:t>
      </w:r>
      <w:r>
        <w:rPr>
          <w:rStyle w:val="FootnoteReference"/>
          <w:rFonts w:ascii="Garamond" w:hAnsi="Garamond"/>
        </w:rPr>
        <w:footnoteReference w:id="17"/>
      </w:r>
    </w:p>
    <w:p w:rsidR="000F0B5A" w:rsidRDefault="009600AC">
      <w:pPr>
        <w:pStyle w:val="NormalWeb"/>
        <w:jc w:val="both"/>
        <w:rPr>
          <w:rFonts w:ascii="Garamond" w:hAnsi="Garamond"/>
        </w:rPr>
      </w:pPr>
      <w:r>
        <w:rPr>
          <w:rStyle w:val="Strong"/>
          <w:rFonts w:ascii="Garamond" w:hAnsi="Garamond"/>
          <w:b w:val="0"/>
        </w:rPr>
        <w:t>Liquidation</w:t>
      </w:r>
      <w:r>
        <w:rPr>
          <w:rFonts w:ascii="Garamond" w:hAnsi="Garamond"/>
        </w:rPr>
        <w:t xml:space="preserve"> on the other hand is the process of selling the assets.  That is a process in which a liquidator co</w:t>
      </w:r>
      <w:r>
        <w:rPr>
          <w:rFonts w:ascii="Garamond" w:hAnsi="Garamond"/>
        </w:rPr>
        <w:t>llects and sells the company's assets and then distributes the proceeds among the creditors to pay off debts owed.</w:t>
      </w:r>
      <w:r>
        <w:rPr>
          <w:rStyle w:val="FootnoteReference"/>
          <w:rFonts w:ascii="Garamond" w:hAnsi="Garamond"/>
        </w:rPr>
        <w:footnoteReference w:id="18"/>
      </w:r>
    </w:p>
    <w:p w:rsidR="00CA2871" w:rsidRDefault="00CA2871">
      <w:pPr>
        <w:pStyle w:val="NormalWeb"/>
        <w:jc w:val="both"/>
        <w:rPr>
          <w:rFonts w:ascii="Garamond" w:hAnsi="Garamond"/>
          <w:b/>
        </w:rPr>
      </w:pPr>
      <w:r>
        <w:rPr>
          <w:rFonts w:ascii="Garamond" w:hAnsi="Garamond"/>
          <w:b/>
        </w:rPr>
        <w:t>Difference Between</w:t>
      </w:r>
      <w:r w:rsidRPr="00CA2871">
        <w:rPr>
          <w:rFonts w:ascii="Garamond" w:hAnsi="Garamond"/>
          <w:b/>
        </w:rPr>
        <w:t xml:space="preserve"> Receiver and a Receiver/Manager?</w:t>
      </w:r>
    </w:p>
    <w:p w:rsidR="00C4388A" w:rsidRDefault="00CA2871">
      <w:pPr>
        <w:pStyle w:val="NormalWeb"/>
        <w:jc w:val="both"/>
        <w:rPr>
          <w:rFonts w:ascii="Garamond" w:hAnsi="Garamond"/>
        </w:rPr>
      </w:pPr>
      <w:r>
        <w:rPr>
          <w:rFonts w:ascii="Garamond" w:hAnsi="Garamond"/>
        </w:rPr>
        <w:t>The only real difference between a receiver and a receiver/manager lies in the extent of their power.</w:t>
      </w:r>
      <w:r w:rsidR="008800EE">
        <w:rPr>
          <w:rFonts w:ascii="Garamond" w:hAnsi="Garamond"/>
        </w:rPr>
        <w:t xml:space="preserve"> </w:t>
      </w:r>
      <w:r w:rsidR="004C78D1">
        <w:rPr>
          <w:rFonts w:ascii="Garamond" w:hAnsi="Garamond"/>
        </w:rPr>
        <w:t xml:space="preserve">Under general law it is when the appointee, whether court-appointed or appointed under </w:t>
      </w:r>
      <w:r w:rsidR="00927A6E">
        <w:rPr>
          <w:rFonts w:ascii="Garamond" w:hAnsi="Garamond"/>
        </w:rPr>
        <w:t xml:space="preserve">an </w:t>
      </w:r>
      <w:r w:rsidR="004C78D1">
        <w:rPr>
          <w:rFonts w:ascii="Garamond" w:hAnsi="Garamond"/>
        </w:rPr>
        <w:t xml:space="preserve">instrument, is given a power to manage the business of the company that the appointee is called a “receiver and manager”. </w:t>
      </w:r>
      <w:r w:rsidR="00B9217C">
        <w:rPr>
          <w:rFonts w:ascii="Garamond" w:hAnsi="Garamond"/>
        </w:rPr>
        <w:t>A rece</w:t>
      </w:r>
      <w:r w:rsidR="00927A6E">
        <w:rPr>
          <w:rFonts w:ascii="Garamond" w:hAnsi="Garamond"/>
        </w:rPr>
        <w:t xml:space="preserve">iver and manager, who is </w:t>
      </w:r>
      <w:r w:rsidR="00B9217C">
        <w:rPr>
          <w:rFonts w:ascii="Garamond" w:hAnsi="Garamond"/>
        </w:rPr>
        <w:t xml:space="preserve">a receiver with extended power, is to be distinguished from a person called a “manager” who may </w:t>
      </w:r>
      <w:r w:rsidR="00EC2409">
        <w:rPr>
          <w:rFonts w:ascii="Garamond" w:hAnsi="Garamond"/>
        </w:rPr>
        <w:t xml:space="preserve">be appointed by a secured party/debenture holder </w:t>
      </w:r>
      <w:r w:rsidR="00B9217C">
        <w:rPr>
          <w:rFonts w:ascii="Garamond" w:hAnsi="Garamond"/>
        </w:rPr>
        <w:t>to act for the secured party when the secured party itself takes possession of the secured property, either because it has the legal title or the security agreement gives power to take possession.</w:t>
      </w:r>
      <w:r w:rsidR="00927A6E">
        <w:rPr>
          <w:rStyle w:val="FootnoteReference"/>
          <w:rFonts w:ascii="Garamond" w:hAnsi="Garamond"/>
        </w:rPr>
        <w:footnoteReference w:id="19"/>
      </w:r>
    </w:p>
    <w:p w:rsidR="00CA2871" w:rsidRPr="007C5F79" w:rsidRDefault="007C5F79">
      <w:pPr>
        <w:pStyle w:val="NormalWeb"/>
        <w:jc w:val="both"/>
        <w:rPr>
          <w:rFonts w:ascii="Garamond" w:hAnsi="Garamond"/>
        </w:rPr>
      </w:pPr>
      <w:r>
        <w:rPr>
          <w:rFonts w:ascii="Garamond" w:hAnsi="Garamond"/>
        </w:rPr>
        <w:t>Usually, a receiver is appointed where the loan agreement is secured by a fixed charge; while a receiver/manager is appointed when the loan agreement is secured by charges including a floating charge over a part or the whole of the company’s assets.</w:t>
      </w:r>
    </w:p>
    <w:p w:rsidR="000F0B5A" w:rsidRDefault="009600AC">
      <w:pPr>
        <w:rPr>
          <w:rFonts w:ascii="Garamond" w:hAnsi="Garamond"/>
          <w:b/>
          <w:sz w:val="24"/>
          <w:szCs w:val="24"/>
        </w:rPr>
      </w:pPr>
      <w:r>
        <w:rPr>
          <w:rFonts w:ascii="Garamond" w:hAnsi="Garamond"/>
          <w:b/>
          <w:sz w:val="24"/>
          <w:szCs w:val="24"/>
        </w:rPr>
        <w:t>Conclusion</w:t>
      </w:r>
    </w:p>
    <w:p w:rsidR="000F0B5A" w:rsidRDefault="009600AC">
      <w:pPr>
        <w:rPr>
          <w:rFonts w:ascii="Garamond" w:hAnsi="Garamond" w:cs="Times New Roman"/>
          <w:sz w:val="24"/>
          <w:szCs w:val="24"/>
        </w:rPr>
      </w:pPr>
      <w:r>
        <w:rPr>
          <w:rFonts w:ascii="Garamond" w:hAnsi="Garamond" w:cs="Times New Roman"/>
          <w:sz w:val="24"/>
          <w:szCs w:val="24"/>
        </w:rPr>
        <w:t>The work has successfully examined receivership, duties, implications, and took a look at several intriguing questions as it rela</w:t>
      </w:r>
      <w:r>
        <w:rPr>
          <w:rFonts w:ascii="Garamond" w:hAnsi="Garamond" w:cs="Times New Roman"/>
          <w:sz w:val="24"/>
          <w:szCs w:val="24"/>
        </w:rPr>
        <w:t>te to receivership.</w:t>
      </w:r>
    </w:p>
    <w:p w:rsidR="000F0B5A" w:rsidRDefault="000F0B5A">
      <w:pPr>
        <w:rPr>
          <w:rFonts w:ascii="Garamond" w:hAnsi="Garamond" w:cs="Times New Roman"/>
          <w:sz w:val="24"/>
          <w:szCs w:val="24"/>
        </w:rPr>
      </w:pPr>
    </w:p>
    <w:p w:rsidR="000F0B5A" w:rsidRDefault="009600AC">
      <w:pPr>
        <w:spacing w:after="0"/>
        <w:rPr>
          <w:rFonts w:ascii="Garamond" w:hAnsi="Garamond" w:cs="Times New Roman"/>
          <w:sz w:val="24"/>
          <w:szCs w:val="24"/>
        </w:rPr>
      </w:pPr>
      <w:r>
        <w:rPr>
          <w:rFonts w:ascii="Garamond" w:hAnsi="Garamond" w:cs="Times New Roman"/>
          <w:sz w:val="24"/>
          <w:szCs w:val="24"/>
        </w:rPr>
        <w:t>By Emmanuel Agherario Esq</w:t>
      </w:r>
    </w:p>
    <w:p w:rsidR="000F0B5A" w:rsidRDefault="009600AC">
      <w:pPr>
        <w:spacing w:after="0" w:line="240" w:lineRule="auto"/>
        <w:rPr>
          <w:rFonts w:ascii="Garamond" w:hAnsi="Garamond" w:cs="Times New Roman"/>
          <w:sz w:val="24"/>
          <w:szCs w:val="24"/>
        </w:rPr>
      </w:pPr>
      <w:r>
        <w:rPr>
          <w:rFonts w:ascii="Garamond" w:hAnsi="Garamond" w:cs="Times New Roman"/>
          <w:sz w:val="24"/>
          <w:szCs w:val="24"/>
        </w:rPr>
        <w:t xml:space="preserve">Email: </w:t>
      </w:r>
      <w:hyperlink r:id="rId8" w:history="1">
        <w:r>
          <w:rPr>
            <w:rStyle w:val="Hyperlink"/>
            <w:rFonts w:ascii="Garamond" w:hAnsi="Garamond" w:cs="Times New Roman"/>
            <w:sz w:val="24"/>
            <w:szCs w:val="24"/>
          </w:rPr>
          <w:t>Agherarioemmanuel@gmail.com</w:t>
        </w:r>
      </w:hyperlink>
    </w:p>
    <w:p w:rsidR="000F0B5A" w:rsidRDefault="009600AC">
      <w:pPr>
        <w:spacing w:after="0" w:line="240" w:lineRule="auto"/>
        <w:rPr>
          <w:rFonts w:ascii="Garamond" w:hAnsi="Garamond"/>
          <w:sz w:val="24"/>
          <w:szCs w:val="24"/>
        </w:rPr>
      </w:pPr>
      <w:r>
        <w:rPr>
          <w:rFonts w:ascii="Garamond" w:hAnsi="Garamond" w:cs="Times New Roman"/>
          <w:sz w:val="24"/>
          <w:szCs w:val="24"/>
        </w:rPr>
        <w:t>Phone No. 08065757650</w:t>
      </w:r>
    </w:p>
    <w:p w:rsidR="000F0B5A" w:rsidRDefault="000F0B5A">
      <w:pPr>
        <w:spacing w:after="0"/>
        <w:rPr>
          <w:rFonts w:ascii="Garamond" w:hAnsi="Garamond"/>
          <w:sz w:val="24"/>
          <w:szCs w:val="24"/>
        </w:rPr>
      </w:pPr>
    </w:p>
    <w:p w:rsidR="000F0B5A" w:rsidRDefault="000F0B5A"/>
    <w:p w:rsidR="000F0B5A" w:rsidRDefault="009600AC">
      <w:pPr>
        <w:tabs>
          <w:tab w:val="left" w:pos="2835"/>
        </w:tabs>
      </w:pPr>
      <w:r>
        <w:tab/>
      </w:r>
    </w:p>
    <w:sectPr w:rsidR="000F0B5A" w:rsidSect="000F0B5A">
      <w:headerReference w:type="even" r:id="rId9"/>
      <w:headerReference w:type="default" r:id="rId10"/>
      <w:footerReference w:type="even" r:id="rId11"/>
      <w:footerReference w:type="default" r:id="rId12"/>
      <w:headerReference w:type="first" r:id="rId13"/>
      <w:footerReference w:type="first" r:id="rId14"/>
      <w:pgSz w:w="11906" w:h="16838"/>
      <w:pgMar w:top="1701" w:right="1440" w:bottom="450" w:left="1440" w:header="708" w:footer="708" w:gutter="0"/>
      <w:cols w:space="720"/>
      <w:docGrid w:linePitch="360" w:charSpace="471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0AC" w:rsidRDefault="009600AC" w:rsidP="000F0B5A">
      <w:pPr>
        <w:spacing w:after="0" w:line="240" w:lineRule="auto"/>
      </w:pPr>
      <w:r>
        <w:separator/>
      </w:r>
    </w:p>
  </w:endnote>
  <w:endnote w:type="continuationSeparator" w:id="1">
    <w:p w:rsidR="009600AC" w:rsidRDefault="009600AC" w:rsidP="000F0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numGothic">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5A" w:rsidRDefault="000F0B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5A" w:rsidRDefault="000F0B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5A" w:rsidRDefault="000F0B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0AC" w:rsidRDefault="009600AC">
      <w:r>
        <w:separator/>
      </w:r>
    </w:p>
  </w:footnote>
  <w:footnote w:type="continuationSeparator" w:id="1">
    <w:p w:rsidR="009600AC" w:rsidRDefault="009600AC">
      <w:r>
        <w:continuationSeparator/>
      </w:r>
    </w:p>
  </w:footnote>
  <w:footnote w:id="2">
    <w:p w:rsidR="000F0B5A" w:rsidRDefault="009600AC" w:rsidP="002D5A8A">
      <w:pPr>
        <w:pStyle w:val="Heading1"/>
        <w:spacing w:before="0" w:after="240" w:afterAutospacing="0"/>
        <w:rPr>
          <w:rFonts w:ascii="Garamond" w:hAnsi="Garamond"/>
          <w:i/>
          <w:sz w:val="20"/>
          <w:szCs w:val="20"/>
        </w:rPr>
      </w:pPr>
      <w:r>
        <w:rPr>
          <w:rStyle w:val="FootnoteReference"/>
          <w:rFonts w:ascii="Garamond" w:hAnsi="Garamond"/>
          <w:sz w:val="20"/>
          <w:szCs w:val="20"/>
        </w:rPr>
        <w:footnoteRef/>
      </w:r>
      <w:hyperlink r:id="rId1" w:history="1">
        <w:r>
          <w:rPr>
            <w:rStyle w:val="Hyperlink"/>
            <w:rFonts w:ascii="Garamond" w:hAnsi="Garamond"/>
            <w:b w:val="0"/>
            <w:color w:val="auto"/>
            <w:sz w:val="18"/>
            <w:szCs w:val="18"/>
            <w:u w:val="none"/>
          </w:rPr>
          <w:t>Uwadiae</w:t>
        </w:r>
      </w:hyperlink>
      <w:r>
        <w:rPr>
          <w:rFonts w:ascii="Garamond" w:hAnsi="Garamond"/>
          <w:b w:val="0"/>
          <w:sz w:val="20"/>
          <w:szCs w:val="20"/>
        </w:rPr>
        <w:t xml:space="preserve"> A. 2017 Arik: Fixing the wings of a giant bird. </w:t>
      </w:r>
      <w:r>
        <w:rPr>
          <w:rStyle w:val="time"/>
          <w:rFonts w:ascii="Garamond" w:eastAsia="NanumGothic" w:hAnsi="Garamond"/>
          <w:b w:val="0"/>
          <w:sz w:val="20"/>
          <w:szCs w:val="20"/>
        </w:rPr>
        <w:t>Feb 23, 201</w:t>
      </w:r>
      <w:r>
        <w:rPr>
          <w:rStyle w:val="time"/>
          <w:rFonts w:ascii="Garamond" w:hAnsi="Garamond"/>
          <w:b w:val="0"/>
          <w:sz w:val="20"/>
          <w:szCs w:val="20"/>
        </w:rPr>
        <w:t>7 Business day News</w:t>
      </w:r>
      <w:r>
        <w:rPr>
          <w:rFonts w:ascii="Garamond" w:hAnsi="Garamond"/>
          <w:b w:val="0"/>
          <w:sz w:val="20"/>
          <w:szCs w:val="20"/>
        </w:rPr>
        <w:t xml:space="preserve">retrievedon </w:t>
      </w:r>
      <w:r>
        <w:rPr>
          <w:rStyle w:val="time"/>
          <w:rFonts w:ascii="Garamond" w:eastAsia="NanumGothic" w:hAnsi="Garamond"/>
          <w:b w:val="0"/>
          <w:sz w:val="20"/>
          <w:szCs w:val="20"/>
        </w:rPr>
        <w:t>August 18, 201</w:t>
      </w:r>
      <w:r>
        <w:rPr>
          <w:rStyle w:val="time"/>
          <w:rFonts w:ascii="Garamond" w:hAnsi="Garamond"/>
          <w:b w:val="0"/>
          <w:sz w:val="20"/>
          <w:szCs w:val="20"/>
        </w:rPr>
        <w:t>7 from https://businessday.ng/opinion/article/arik-fixing-wings-giant-bird/</w:t>
      </w:r>
    </w:p>
  </w:footnote>
  <w:footnote w:id="3">
    <w:p w:rsidR="000F0B5A" w:rsidRPr="002D5A8A" w:rsidRDefault="009600AC" w:rsidP="002D5A8A">
      <w:pPr>
        <w:pStyle w:val="Heading1"/>
        <w:spacing w:before="0" w:after="0" w:afterAutospacing="0"/>
        <w:rPr>
          <w:rFonts w:ascii="Garamond" w:hAnsi="Garamond"/>
          <w:b w:val="0"/>
          <w:i/>
          <w:sz w:val="20"/>
          <w:szCs w:val="20"/>
        </w:rPr>
      </w:pPr>
      <w:r w:rsidRPr="002D5A8A">
        <w:rPr>
          <w:rStyle w:val="FootnoteReference"/>
          <w:rFonts w:ascii="Garamond" w:hAnsi="Garamond"/>
          <w:b w:val="0"/>
          <w:i/>
          <w:sz w:val="20"/>
          <w:szCs w:val="20"/>
        </w:rPr>
        <w:footnoteRef/>
      </w:r>
      <w:r w:rsidRPr="002D5A8A">
        <w:rPr>
          <w:rFonts w:ascii="Garamond" w:hAnsi="Garamond"/>
          <w:b w:val="0"/>
          <w:sz w:val="20"/>
          <w:szCs w:val="20"/>
        </w:rPr>
        <w:t>Summerfield</w:t>
      </w:r>
      <w:r w:rsidRPr="002D5A8A">
        <w:rPr>
          <w:rFonts w:ascii="Garamond" w:hAnsi="Garamond"/>
          <w:b w:val="0"/>
          <w:i/>
          <w:sz w:val="20"/>
          <w:szCs w:val="20"/>
        </w:rPr>
        <w:t xml:space="preserve"> R. 2017 Arik Air enters receivership April 207 </w:t>
      </w:r>
      <w:r w:rsidRPr="002D5A8A">
        <w:rPr>
          <w:rStyle w:val="Emphasis"/>
          <w:rFonts w:ascii="Garamond" w:hAnsi="Garamond"/>
          <w:b w:val="0"/>
          <w:i w:val="0"/>
          <w:sz w:val="20"/>
          <w:szCs w:val="20"/>
        </w:rPr>
        <w:t>Financier World</w:t>
      </w:r>
      <w:r w:rsidR="002D5A8A">
        <w:rPr>
          <w:rStyle w:val="Emphasis"/>
          <w:rFonts w:ascii="Garamond" w:hAnsi="Garamond"/>
          <w:b w:val="0"/>
          <w:i w:val="0"/>
          <w:sz w:val="20"/>
          <w:szCs w:val="20"/>
        </w:rPr>
        <w:t xml:space="preserve">wide Magazine retrieved from </w:t>
      </w:r>
      <w:r w:rsidRPr="002D5A8A">
        <w:rPr>
          <w:rStyle w:val="Emphasis"/>
          <w:rFonts w:ascii="Garamond" w:hAnsi="Garamond"/>
          <w:b w:val="0"/>
          <w:i w:val="0"/>
          <w:sz w:val="20"/>
          <w:szCs w:val="20"/>
        </w:rPr>
        <w:t>https://www.financierworldwide.com/arik-air-enters-receivership#.XzudqUDgums</w:t>
      </w:r>
    </w:p>
  </w:footnote>
  <w:footnote w:id="4">
    <w:p w:rsidR="00F5499E" w:rsidRPr="00F5499E" w:rsidRDefault="00F5499E" w:rsidP="00F5499E">
      <w:pPr>
        <w:pStyle w:val="FootnoteText"/>
        <w:rPr>
          <w:rFonts w:ascii="Garamond" w:hAnsi="Garamond"/>
        </w:rPr>
      </w:pPr>
      <w:r>
        <w:rPr>
          <w:rStyle w:val="FootnoteReference"/>
        </w:rPr>
        <w:footnoteRef/>
      </w:r>
      <w:r>
        <w:t xml:space="preserve"> </w:t>
      </w:r>
      <w:r w:rsidRPr="00F5499E">
        <w:rPr>
          <w:rFonts w:ascii="Garamond" w:hAnsi="Garamond"/>
        </w:rPr>
        <w:t xml:space="preserve">See Section 48 of </w:t>
      </w:r>
      <w:r w:rsidR="0082398E">
        <w:rPr>
          <w:rFonts w:ascii="Garamond" w:hAnsi="Garamond"/>
        </w:rPr>
        <w:t>the AMCON Act, 2010 as amended</w:t>
      </w:r>
      <w:r w:rsidRPr="00F5499E">
        <w:rPr>
          <w:rFonts w:ascii="Garamond" w:hAnsi="Garamond"/>
        </w:rPr>
        <w:t xml:space="preserve"> </w:t>
      </w:r>
      <w:r w:rsidR="0082398E">
        <w:rPr>
          <w:rFonts w:ascii="Garamond" w:hAnsi="Garamond"/>
        </w:rPr>
        <w:t xml:space="preserve">by </w:t>
      </w:r>
      <w:r w:rsidRPr="00F5499E">
        <w:rPr>
          <w:rFonts w:ascii="Garamond" w:hAnsi="Garamond"/>
        </w:rPr>
        <w:t>Section 6 of the AMCON (Amendment) Act, 2015 empowers AMCON to either act as a receiver or appoint a receiver for a debtor company whose assets have been charged, mortgage or pledge as security for an eligible bank asset acquired by the Corporation.</w:t>
      </w:r>
    </w:p>
  </w:footnote>
  <w:footnote w:id="5">
    <w:p w:rsidR="000F0B5A" w:rsidRDefault="009600AC">
      <w:pPr>
        <w:pStyle w:val="FootnoteText"/>
        <w:rPr>
          <w:rFonts w:ascii="Garamond" w:hAnsi="Garamond"/>
        </w:rPr>
      </w:pPr>
      <w:r>
        <w:rPr>
          <w:rStyle w:val="FootnoteReference"/>
        </w:rPr>
        <w:footnoteRef/>
      </w:r>
      <w:r>
        <w:rPr>
          <w:rFonts w:ascii="Garamond" w:hAnsi="Garamond"/>
        </w:rPr>
        <w:t>Bryan A.,G., Blacks Law Dictionary 9th Edition (USA:West Publishing Co.(2009) P.1383</w:t>
      </w:r>
    </w:p>
  </w:footnote>
  <w:footnote w:id="6">
    <w:p w:rsidR="000F0B5A" w:rsidRDefault="009600AC">
      <w:pPr>
        <w:pStyle w:val="FootnoteText"/>
      </w:pPr>
      <w:r>
        <w:rPr>
          <w:rStyle w:val="FootnoteReference"/>
        </w:rPr>
        <w:footnoteRef/>
      </w:r>
      <w:r>
        <w:rPr>
          <w:rFonts w:ascii="Garamond" w:hAnsi="Garamond"/>
        </w:rPr>
        <w:t>UWAKWE v. ODOGWU(1989) 5 NWLRPT.123 AT 562 AT 579</w:t>
      </w:r>
    </w:p>
  </w:footnote>
  <w:footnote w:id="7">
    <w:p w:rsidR="000F0B5A" w:rsidRDefault="009600AC">
      <w:pPr>
        <w:pStyle w:val="FootnoteText"/>
        <w:rPr>
          <w:rFonts w:ascii="Garamond" w:hAnsi="Garamond"/>
        </w:rPr>
      </w:pPr>
      <w:r>
        <w:rPr>
          <w:rStyle w:val="FootnoteReference"/>
        </w:rPr>
        <w:footnoteRef/>
      </w:r>
      <w:r>
        <w:rPr>
          <w:rFonts w:ascii="Garamond" w:hAnsi="Garamond"/>
        </w:rPr>
        <w:t>See section 209 (1) (b) Companies and Allied Matters Act 2020 (CAMA)</w:t>
      </w:r>
    </w:p>
  </w:footnote>
  <w:footnote w:id="8">
    <w:p w:rsidR="000F0B5A" w:rsidRDefault="009600AC">
      <w:pPr>
        <w:pStyle w:val="FootnoteText"/>
      </w:pPr>
      <w:r>
        <w:rPr>
          <w:rStyle w:val="FootnoteReference"/>
          <w:rFonts w:ascii="Garamond" w:hAnsi="Garamond"/>
        </w:rPr>
        <w:footnoteRef/>
      </w:r>
      <w:r>
        <w:rPr>
          <w:rFonts w:ascii="Garamond" w:hAnsi="Garamond"/>
        </w:rPr>
        <w:t xml:space="preserve"> See section 389 (1) Companies and Allied Matters Act 2020 (CAMA)</w:t>
      </w:r>
    </w:p>
  </w:footnote>
  <w:footnote w:id="9">
    <w:p w:rsidR="000F0B5A" w:rsidRDefault="009600AC">
      <w:pPr>
        <w:pStyle w:val="FootnoteText"/>
      </w:pPr>
      <w:r>
        <w:rPr>
          <w:rStyle w:val="FootnoteReference"/>
        </w:rPr>
        <w:footnoteRef/>
      </w:r>
      <w:r>
        <w:t xml:space="preserve"> See Section 393 </w:t>
      </w:r>
      <w:r>
        <w:rPr>
          <w:rFonts w:ascii="Garamond" w:hAnsi="Garamond"/>
        </w:rPr>
        <w:t>Companies and Allied Matters Act 2020 (CAMA)</w:t>
      </w:r>
    </w:p>
  </w:footnote>
  <w:footnote w:id="10">
    <w:p w:rsidR="00142E09" w:rsidRDefault="00142E09" w:rsidP="00142E09">
      <w:pPr>
        <w:pStyle w:val="FootnoteText"/>
      </w:pPr>
      <w:r>
        <w:rPr>
          <w:rStyle w:val="FootnoteReference"/>
        </w:rPr>
        <w:footnoteRef/>
      </w:r>
      <w:r>
        <w:rPr>
          <w:rFonts w:ascii="Garamond" w:hAnsi="Garamond"/>
        </w:rPr>
        <w:t>See Section 390 Companies and Allied Matters Act 2020 (CAMA)</w:t>
      </w:r>
    </w:p>
  </w:footnote>
  <w:footnote w:id="11">
    <w:p w:rsidR="000F0B5A" w:rsidRDefault="009600AC">
      <w:pPr>
        <w:pStyle w:val="FootnoteText"/>
      </w:pPr>
      <w:r>
        <w:rPr>
          <w:rStyle w:val="FootnoteReference"/>
        </w:rPr>
        <w:footnoteRef/>
      </w:r>
      <w:r>
        <w:t xml:space="preserve"> See Section 390(2)</w:t>
      </w:r>
      <w:r>
        <w:rPr>
          <w:rFonts w:ascii="Garamond" w:hAnsi="Garamond"/>
        </w:rPr>
        <w:t>Companies and Allied Matters Act 2020 (CAMA)</w:t>
      </w:r>
    </w:p>
  </w:footnote>
  <w:footnote w:id="12">
    <w:p w:rsidR="000F0B5A" w:rsidRDefault="009600AC">
      <w:pPr>
        <w:pStyle w:val="FootnoteText"/>
      </w:pPr>
      <w:r>
        <w:rPr>
          <w:rStyle w:val="FootnoteReference"/>
        </w:rPr>
        <w:footnoteRef/>
      </w:r>
      <w:r>
        <w:t>See S</w:t>
      </w:r>
      <w:r>
        <w:rPr>
          <w:rFonts w:ascii="Garamond" w:hAnsi="Garamond"/>
        </w:rPr>
        <w:t xml:space="preserve">ection 393(3) refers to Schedule 11 to CAMA as indicative of the powers and duties conferred on a receiver. Paragraph 5 of that Schedule provides that the receiver/manager has the </w:t>
      </w:r>
      <w:r>
        <w:rPr>
          <w:rFonts w:ascii="Garamond" w:hAnsi="Garamond"/>
        </w:rPr>
        <w:t>power to bring or defend any legal proceedings in the name and on behalf of the company.</w:t>
      </w:r>
    </w:p>
  </w:footnote>
  <w:footnote w:id="13">
    <w:p w:rsidR="000F0B5A" w:rsidRDefault="009600AC">
      <w:pPr>
        <w:pStyle w:val="FootnoteText"/>
      </w:pPr>
      <w:r>
        <w:rPr>
          <w:rStyle w:val="FootnoteReference"/>
        </w:rPr>
        <w:footnoteRef/>
      </w:r>
      <w:r>
        <w:rPr>
          <w:rFonts w:ascii="Garamond" w:hAnsi="Garamond"/>
        </w:rPr>
        <w:t>(No.2) Ex parte Page (1912) 1 K.B606</w:t>
      </w:r>
    </w:p>
  </w:footnote>
  <w:footnote w:id="14">
    <w:p w:rsidR="000F0B5A" w:rsidRDefault="009600AC">
      <w:pPr>
        <w:pStyle w:val="FootnoteText"/>
        <w:rPr>
          <w:rFonts w:ascii="Garamond" w:hAnsi="Garamond"/>
        </w:rPr>
      </w:pPr>
      <w:r>
        <w:rPr>
          <w:rStyle w:val="FootnoteReference"/>
        </w:rPr>
        <w:footnoteRef/>
      </w:r>
      <w:r>
        <w:rPr>
          <w:rFonts w:ascii="Garamond" w:hAnsi="Garamond"/>
        </w:rPr>
        <w:t>(1905) 2 Ch. D 123</w:t>
      </w:r>
    </w:p>
  </w:footnote>
  <w:footnote w:id="15">
    <w:p w:rsidR="000F0B5A" w:rsidRDefault="009600AC">
      <w:pPr>
        <w:pStyle w:val="FootnoteText"/>
      </w:pPr>
      <w:r>
        <w:rPr>
          <w:rStyle w:val="FootnoteReference"/>
          <w:rFonts w:ascii="Garamond" w:hAnsi="Garamond"/>
        </w:rPr>
        <w:footnoteRef/>
      </w:r>
      <w:r>
        <w:rPr>
          <w:rFonts w:ascii="Garamond" w:hAnsi="Garamond"/>
        </w:rPr>
        <w:t xml:space="preserve"> See In Re Satori's Estate, (1892) 1 Ch. 11 at p.14 and D. Owen &amp; Co. v. Cronk; (1895) Q.B. 265</w:t>
      </w:r>
    </w:p>
  </w:footnote>
  <w:footnote w:id="16">
    <w:p w:rsidR="000F0B5A" w:rsidRDefault="009600AC">
      <w:pPr>
        <w:spacing w:after="0"/>
        <w:rPr>
          <w:rFonts w:ascii="Garamond" w:hAnsi="Garamond"/>
          <w:sz w:val="20"/>
          <w:szCs w:val="20"/>
        </w:rPr>
      </w:pPr>
      <w:r>
        <w:rPr>
          <w:rStyle w:val="FootnoteReference"/>
          <w:rFonts w:ascii="Garamond" w:hAnsi="Garamond"/>
          <w:sz w:val="20"/>
          <w:szCs w:val="20"/>
        </w:rPr>
        <w:footnoteRef/>
      </w:r>
      <w:r>
        <w:rPr>
          <w:rFonts w:ascii="Garamond" w:hAnsi="Garamond"/>
          <w:sz w:val="20"/>
          <w:szCs w:val="20"/>
        </w:rPr>
        <w:t xml:space="preserve">See: Krans </w:t>
      </w:r>
      <w:r>
        <w:rPr>
          <w:rFonts w:ascii="Garamond" w:hAnsi="Garamond"/>
          <w:sz w:val="20"/>
          <w:szCs w:val="20"/>
        </w:rPr>
        <w:t>v. Bright Oridami, reported in Digest of Supreme Court cases 1956 - 84 Vol.9 pages 474; Lancaster Motor Co. (London) Ltd.v. Bremith Ltd. (1941) 1KB 675, Spence v. Coleman (1901) 2 KB 199.</w:t>
      </w:r>
    </w:p>
  </w:footnote>
  <w:footnote w:id="17">
    <w:p w:rsidR="000F0B5A" w:rsidRDefault="009600AC">
      <w:pPr>
        <w:pStyle w:val="FootnoteText"/>
      </w:pPr>
      <w:r>
        <w:rPr>
          <w:rStyle w:val="FootnoteReference"/>
        </w:rPr>
        <w:footnoteRef/>
      </w:r>
      <w:r>
        <w:rPr>
          <w:rFonts w:ascii="Garamond" w:hAnsi="Garamond"/>
        </w:rPr>
        <w:t xml:space="preserve"> https://www.firstreport.co.uk/Difference-Between-Liquidation-and-R</w:t>
      </w:r>
      <w:r>
        <w:rPr>
          <w:rFonts w:ascii="Garamond" w:hAnsi="Garamond"/>
        </w:rPr>
        <w:t>eceivership.aspx</w:t>
      </w:r>
    </w:p>
  </w:footnote>
  <w:footnote w:id="18">
    <w:p w:rsidR="000F0B5A" w:rsidRDefault="009600AC">
      <w:pPr>
        <w:pStyle w:val="FootnoteText"/>
      </w:pPr>
      <w:r>
        <w:rPr>
          <w:rStyle w:val="FootnoteReference"/>
        </w:rPr>
        <w:footnoteRef/>
      </w:r>
      <w:r>
        <w:t>https://www.dottoreco.com/blog/what-is-the-difference-between-receivership-liquidation-19813</w:t>
      </w:r>
    </w:p>
  </w:footnote>
  <w:footnote w:id="19">
    <w:p w:rsidR="00927A6E" w:rsidRPr="00927A6E" w:rsidRDefault="00927A6E">
      <w:pPr>
        <w:pStyle w:val="FootnoteText"/>
      </w:pPr>
      <w:r>
        <w:rPr>
          <w:rStyle w:val="FootnoteReference"/>
        </w:rPr>
        <w:footnoteRef/>
      </w:r>
      <w:r>
        <w:t xml:space="preserve"> </w:t>
      </w:r>
      <w:hyperlink r:id="rId2" w:history="1">
        <w:r w:rsidRPr="00927A6E">
          <w:rPr>
            <w:rStyle w:val="Hyperlink"/>
            <w:u w:val="none"/>
          </w:rPr>
          <w:t>https://www.navado.com.au/sydney/lawyers-solicitors/bankruptcy-and-insolvency-law/a-receiver-or</w:t>
        </w:r>
      </w:hyperlink>
      <w:r w:rsidRPr="00927A6E">
        <w:t xml:space="preserve"> </w:t>
      </w:r>
    </w:p>
    <w:p w:rsidR="00927A6E" w:rsidRDefault="00927A6E" w:rsidP="00927A6E">
      <w:pPr>
        <w:pStyle w:val="FootnoteText"/>
      </w:pPr>
      <w:r>
        <w:t>-manager.htmll</w:t>
      </w:r>
    </w:p>
    <w:p w:rsidR="00927A6E" w:rsidRDefault="00927A6E">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5A" w:rsidRDefault="000F0B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5A" w:rsidRDefault="000F0B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5A" w:rsidRDefault="000F0B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0"/>
    <w:multiLevelType w:val="hybridMultilevel"/>
    <w:tmpl w:val="29331877"/>
    <w:lvl w:ilvl="0" w:tplc="C4488BE6">
      <w:start w:val="1"/>
      <w:numFmt w:val="decimal"/>
      <w:lvlText w:val="%1."/>
      <w:lvlJc w:val="left"/>
      <w:pPr>
        <w:ind w:left="720" w:hanging="360"/>
      </w:pPr>
      <w:rPr>
        <w:rFonts w:hint="default"/>
      </w:rPr>
    </w:lvl>
    <w:lvl w:ilvl="1" w:tplc="6576FF06">
      <w:start w:val="1"/>
      <w:numFmt w:val="lowerLetter"/>
      <w:lvlText w:val="%2."/>
      <w:lvlJc w:val="left"/>
      <w:pPr>
        <w:ind w:left="1440" w:hanging="360"/>
      </w:pPr>
    </w:lvl>
    <w:lvl w:ilvl="2" w:tplc="2BA6EC54">
      <w:start w:val="1"/>
      <w:numFmt w:val="lowerRoman"/>
      <w:lvlText w:val="%3."/>
      <w:lvlJc w:val="right"/>
      <w:pPr>
        <w:ind w:left="2160" w:hanging="180"/>
      </w:pPr>
    </w:lvl>
    <w:lvl w:ilvl="3" w:tplc="0CB6F674">
      <w:start w:val="1"/>
      <w:numFmt w:val="decimal"/>
      <w:lvlText w:val="%4."/>
      <w:lvlJc w:val="left"/>
      <w:pPr>
        <w:ind w:left="2880" w:hanging="360"/>
      </w:pPr>
    </w:lvl>
    <w:lvl w:ilvl="4" w:tplc="8A427056">
      <w:start w:val="1"/>
      <w:numFmt w:val="lowerLetter"/>
      <w:lvlText w:val="%5."/>
      <w:lvlJc w:val="left"/>
      <w:pPr>
        <w:ind w:left="3600" w:hanging="360"/>
      </w:pPr>
    </w:lvl>
    <w:lvl w:ilvl="5" w:tplc="315613AA">
      <w:start w:val="1"/>
      <w:numFmt w:val="lowerRoman"/>
      <w:lvlText w:val="%6."/>
      <w:lvlJc w:val="right"/>
      <w:pPr>
        <w:ind w:left="4320" w:hanging="180"/>
      </w:pPr>
    </w:lvl>
    <w:lvl w:ilvl="6" w:tplc="E3282A08">
      <w:start w:val="1"/>
      <w:numFmt w:val="decimal"/>
      <w:lvlText w:val="%7."/>
      <w:lvlJc w:val="left"/>
      <w:pPr>
        <w:ind w:left="5040" w:hanging="360"/>
      </w:pPr>
    </w:lvl>
    <w:lvl w:ilvl="7" w:tplc="D70CA344">
      <w:start w:val="1"/>
      <w:numFmt w:val="lowerLetter"/>
      <w:lvlText w:val="%8."/>
      <w:lvlJc w:val="left"/>
      <w:pPr>
        <w:ind w:left="5760" w:hanging="360"/>
      </w:pPr>
    </w:lvl>
    <w:lvl w:ilvl="8" w:tplc="D0FCFA0E">
      <w:start w:val="1"/>
      <w:numFmt w:val="lowerRoman"/>
      <w:lvlText w:val="%9."/>
      <w:lvlJc w:val="right"/>
      <w:pPr>
        <w:ind w:left="6480" w:hanging="180"/>
      </w:pPr>
    </w:lvl>
  </w:abstractNum>
  <w:abstractNum w:abstractNumId="1">
    <w:nsid w:val="2F000001"/>
    <w:multiLevelType w:val="hybridMultilevel"/>
    <w:tmpl w:val="378ECD07"/>
    <w:lvl w:ilvl="0" w:tplc="C178C64C">
      <w:start w:val="1"/>
      <w:numFmt w:val="decimal"/>
      <w:lvlText w:val="%1."/>
      <w:lvlJc w:val="left"/>
      <w:pPr>
        <w:ind w:left="720" w:hanging="360"/>
      </w:pPr>
      <w:rPr>
        <w:rFonts w:hint="default"/>
      </w:rPr>
    </w:lvl>
    <w:lvl w:ilvl="1" w:tplc="F67484E0">
      <w:start w:val="1"/>
      <w:numFmt w:val="lowerLetter"/>
      <w:lvlText w:val="%2."/>
      <w:lvlJc w:val="left"/>
      <w:pPr>
        <w:ind w:left="1440" w:hanging="360"/>
      </w:pPr>
    </w:lvl>
    <w:lvl w:ilvl="2" w:tplc="0BB2E686">
      <w:start w:val="1"/>
      <w:numFmt w:val="lowerRoman"/>
      <w:lvlText w:val="%3."/>
      <w:lvlJc w:val="right"/>
      <w:pPr>
        <w:ind w:left="2160" w:hanging="180"/>
      </w:pPr>
    </w:lvl>
    <w:lvl w:ilvl="3" w:tplc="3798097E">
      <w:start w:val="1"/>
      <w:numFmt w:val="decimal"/>
      <w:lvlText w:val="%4."/>
      <w:lvlJc w:val="left"/>
      <w:pPr>
        <w:ind w:left="2880" w:hanging="360"/>
      </w:pPr>
    </w:lvl>
    <w:lvl w:ilvl="4" w:tplc="86E22FEA">
      <w:start w:val="1"/>
      <w:numFmt w:val="lowerLetter"/>
      <w:lvlText w:val="%5."/>
      <w:lvlJc w:val="left"/>
      <w:pPr>
        <w:ind w:left="3600" w:hanging="360"/>
      </w:pPr>
    </w:lvl>
    <w:lvl w:ilvl="5" w:tplc="879A89C4">
      <w:start w:val="1"/>
      <w:numFmt w:val="lowerRoman"/>
      <w:lvlText w:val="%6."/>
      <w:lvlJc w:val="right"/>
      <w:pPr>
        <w:ind w:left="4320" w:hanging="180"/>
      </w:pPr>
    </w:lvl>
    <w:lvl w:ilvl="6" w:tplc="9A10E710">
      <w:start w:val="1"/>
      <w:numFmt w:val="decimal"/>
      <w:lvlText w:val="%7."/>
      <w:lvlJc w:val="left"/>
      <w:pPr>
        <w:ind w:left="5040" w:hanging="360"/>
      </w:pPr>
    </w:lvl>
    <w:lvl w:ilvl="7" w:tplc="F1200C9E">
      <w:start w:val="1"/>
      <w:numFmt w:val="lowerLetter"/>
      <w:lvlText w:val="%8."/>
      <w:lvlJc w:val="left"/>
      <w:pPr>
        <w:ind w:left="5760" w:hanging="360"/>
      </w:pPr>
    </w:lvl>
    <w:lvl w:ilvl="8" w:tplc="52A4DFEE">
      <w:start w:val="1"/>
      <w:numFmt w:val="lowerRoman"/>
      <w:lvlText w:val="%9."/>
      <w:lvlJc w:val="right"/>
      <w:pPr>
        <w:ind w:left="6480" w:hanging="180"/>
      </w:pPr>
    </w:lvl>
  </w:abstractNum>
  <w:abstractNum w:abstractNumId="2">
    <w:nsid w:val="2F000002"/>
    <w:multiLevelType w:val="hybridMultilevel"/>
    <w:tmpl w:val="4B396A68"/>
    <w:lvl w:ilvl="0" w:tplc="D436945A">
      <w:start w:val="1"/>
      <w:numFmt w:val="bullet"/>
      <w:lvlText w:val="·"/>
      <w:lvlJc w:val="left"/>
      <w:pPr>
        <w:ind w:left="720" w:hanging="360"/>
      </w:pPr>
      <w:rPr>
        <w:rFonts w:ascii="Symbol" w:hAnsi="Symbol" w:hint="default"/>
      </w:rPr>
    </w:lvl>
    <w:lvl w:ilvl="1" w:tplc="B9DA69F0">
      <w:start w:val="1"/>
      <w:numFmt w:val="bullet"/>
      <w:lvlText w:val="o"/>
      <w:lvlJc w:val="left"/>
      <w:pPr>
        <w:ind w:left="1440" w:hanging="360"/>
      </w:pPr>
      <w:rPr>
        <w:rFonts w:ascii="Courier New" w:hAnsi="Courier New" w:cs="Courier New" w:hint="default"/>
      </w:rPr>
    </w:lvl>
    <w:lvl w:ilvl="2" w:tplc="A9A0D9AC">
      <w:start w:val="1"/>
      <w:numFmt w:val="bullet"/>
      <w:lvlText w:val="§"/>
      <w:lvlJc w:val="left"/>
      <w:pPr>
        <w:ind w:left="2160" w:hanging="360"/>
      </w:pPr>
      <w:rPr>
        <w:rFonts w:ascii="Wingdings" w:hAnsi="Wingdings" w:hint="default"/>
      </w:rPr>
    </w:lvl>
    <w:lvl w:ilvl="3" w:tplc="48380F18">
      <w:start w:val="1"/>
      <w:numFmt w:val="bullet"/>
      <w:lvlText w:val="·"/>
      <w:lvlJc w:val="left"/>
      <w:pPr>
        <w:ind w:left="2880" w:hanging="360"/>
      </w:pPr>
      <w:rPr>
        <w:rFonts w:ascii="Symbol" w:hAnsi="Symbol" w:hint="default"/>
      </w:rPr>
    </w:lvl>
    <w:lvl w:ilvl="4" w:tplc="7D4C2BBE">
      <w:start w:val="1"/>
      <w:numFmt w:val="bullet"/>
      <w:lvlText w:val="o"/>
      <w:lvlJc w:val="left"/>
      <w:pPr>
        <w:ind w:left="3600" w:hanging="360"/>
      </w:pPr>
      <w:rPr>
        <w:rFonts w:ascii="Courier New" w:hAnsi="Courier New" w:cs="Courier New" w:hint="default"/>
      </w:rPr>
    </w:lvl>
    <w:lvl w:ilvl="5" w:tplc="66182192">
      <w:start w:val="1"/>
      <w:numFmt w:val="bullet"/>
      <w:lvlText w:val="§"/>
      <w:lvlJc w:val="left"/>
      <w:pPr>
        <w:ind w:left="4320" w:hanging="360"/>
      </w:pPr>
      <w:rPr>
        <w:rFonts w:ascii="Wingdings" w:hAnsi="Wingdings" w:hint="default"/>
      </w:rPr>
    </w:lvl>
    <w:lvl w:ilvl="6" w:tplc="6794F376">
      <w:start w:val="1"/>
      <w:numFmt w:val="bullet"/>
      <w:lvlText w:val="·"/>
      <w:lvlJc w:val="left"/>
      <w:pPr>
        <w:ind w:left="5040" w:hanging="360"/>
      </w:pPr>
      <w:rPr>
        <w:rFonts w:ascii="Symbol" w:hAnsi="Symbol" w:hint="default"/>
      </w:rPr>
    </w:lvl>
    <w:lvl w:ilvl="7" w:tplc="8E84E734">
      <w:start w:val="1"/>
      <w:numFmt w:val="bullet"/>
      <w:lvlText w:val="o"/>
      <w:lvlJc w:val="left"/>
      <w:pPr>
        <w:ind w:left="5760" w:hanging="360"/>
      </w:pPr>
      <w:rPr>
        <w:rFonts w:ascii="Courier New" w:hAnsi="Courier New" w:cs="Courier New" w:hint="default"/>
      </w:rPr>
    </w:lvl>
    <w:lvl w:ilvl="8" w:tplc="31FE2816">
      <w:start w:val="1"/>
      <w:numFmt w:val="bullet"/>
      <w:lvlText w:val="§"/>
      <w:lvlJc w:val="left"/>
      <w:pPr>
        <w:ind w:left="6480" w:hanging="360"/>
      </w:pPr>
      <w:rPr>
        <w:rFonts w:ascii="Wingdings" w:hAnsi="Wingdings" w:hint="default"/>
      </w:rPr>
    </w:lvl>
  </w:abstractNum>
  <w:abstractNum w:abstractNumId="3">
    <w:nsid w:val="2F000003"/>
    <w:multiLevelType w:val="hybridMultilevel"/>
    <w:tmpl w:val="22C4582D"/>
    <w:lvl w:ilvl="0" w:tplc="2AA2DD88">
      <w:start w:val="1"/>
      <w:numFmt w:val="bullet"/>
      <w:lvlText w:val="·"/>
      <w:lvlJc w:val="left"/>
      <w:pPr>
        <w:ind w:left="720" w:hanging="360"/>
      </w:pPr>
      <w:rPr>
        <w:rFonts w:ascii="Symbol" w:hAnsi="Symbol" w:hint="default"/>
      </w:rPr>
    </w:lvl>
    <w:lvl w:ilvl="1" w:tplc="46D6F08A">
      <w:start w:val="1"/>
      <w:numFmt w:val="bullet"/>
      <w:lvlText w:val="o"/>
      <w:lvlJc w:val="left"/>
      <w:pPr>
        <w:ind w:left="1440" w:hanging="360"/>
      </w:pPr>
      <w:rPr>
        <w:rFonts w:ascii="Courier New" w:hAnsi="Courier New" w:cs="Courier New" w:hint="default"/>
      </w:rPr>
    </w:lvl>
    <w:lvl w:ilvl="2" w:tplc="A0B85FD4">
      <w:start w:val="1"/>
      <w:numFmt w:val="bullet"/>
      <w:lvlText w:val="§"/>
      <w:lvlJc w:val="left"/>
      <w:pPr>
        <w:ind w:left="2160" w:hanging="360"/>
      </w:pPr>
      <w:rPr>
        <w:rFonts w:ascii="Wingdings" w:hAnsi="Wingdings" w:hint="default"/>
      </w:rPr>
    </w:lvl>
    <w:lvl w:ilvl="3" w:tplc="DB6C445C">
      <w:start w:val="1"/>
      <w:numFmt w:val="bullet"/>
      <w:lvlText w:val="·"/>
      <w:lvlJc w:val="left"/>
      <w:pPr>
        <w:ind w:left="2880" w:hanging="360"/>
      </w:pPr>
      <w:rPr>
        <w:rFonts w:ascii="Symbol" w:hAnsi="Symbol" w:hint="default"/>
      </w:rPr>
    </w:lvl>
    <w:lvl w:ilvl="4" w:tplc="F6B065BE">
      <w:start w:val="1"/>
      <w:numFmt w:val="bullet"/>
      <w:lvlText w:val="o"/>
      <w:lvlJc w:val="left"/>
      <w:pPr>
        <w:ind w:left="3600" w:hanging="360"/>
      </w:pPr>
      <w:rPr>
        <w:rFonts w:ascii="Courier New" w:hAnsi="Courier New" w:cs="Courier New" w:hint="default"/>
      </w:rPr>
    </w:lvl>
    <w:lvl w:ilvl="5" w:tplc="A6F44EF2">
      <w:start w:val="1"/>
      <w:numFmt w:val="bullet"/>
      <w:lvlText w:val="§"/>
      <w:lvlJc w:val="left"/>
      <w:pPr>
        <w:ind w:left="4320" w:hanging="360"/>
      </w:pPr>
      <w:rPr>
        <w:rFonts w:ascii="Wingdings" w:hAnsi="Wingdings" w:hint="default"/>
      </w:rPr>
    </w:lvl>
    <w:lvl w:ilvl="6" w:tplc="F0FE02D4">
      <w:start w:val="1"/>
      <w:numFmt w:val="bullet"/>
      <w:lvlText w:val="·"/>
      <w:lvlJc w:val="left"/>
      <w:pPr>
        <w:ind w:left="5040" w:hanging="360"/>
      </w:pPr>
      <w:rPr>
        <w:rFonts w:ascii="Symbol" w:hAnsi="Symbol" w:hint="default"/>
      </w:rPr>
    </w:lvl>
    <w:lvl w:ilvl="7" w:tplc="F0B87B9C">
      <w:start w:val="1"/>
      <w:numFmt w:val="bullet"/>
      <w:lvlText w:val="o"/>
      <w:lvlJc w:val="left"/>
      <w:pPr>
        <w:ind w:left="5760" w:hanging="360"/>
      </w:pPr>
      <w:rPr>
        <w:rFonts w:ascii="Courier New" w:hAnsi="Courier New" w:cs="Courier New" w:hint="default"/>
      </w:rPr>
    </w:lvl>
    <w:lvl w:ilvl="8" w:tplc="705E26AE">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balanceSingleByteDoubleByteWidth/>
  </w:compat>
  <w:rsids>
    <w:rsidRoot w:val="000F0B5A"/>
    <w:rsid w:val="00011A0D"/>
    <w:rsid w:val="000253DC"/>
    <w:rsid w:val="000662C0"/>
    <w:rsid w:val="000F0B5A"/>
    <w:rsid w:val="00142E09"/>
    <w:rsid w:val="002D5A8A"/>
    <w:rsid w:val="00343012"/>
    <w:rsid w:val="004C78D1"/>
    <w:rsid w:val="006D5B30"/>
    <w:rsid w:val="007028C2"/>
    <w:rsid w:val="007907D4"/>
    <w:rsid w:val="007C5F79"/>
    <w:rsid w:val="007C6A55"/>
    <w:rsid w:val="0082398E"/>
    <w:rsid w:val="00830BD6"/>
    <w:rsid w:val="00866FBF"/>
    <w:rsid w:val="008800EE"/>
    <w:rsid w:val="008A111A"/>
    <w:rsid w:val="00927A6E"/>
    <w:rsid w:val="009600AC"/>
    <w:rsid w:val="00964A5A"/>
    <w:rsid w:val="00984413"/>
    <w:rsid w:val="009B1BF3"/>
    <w:rsid w:val="00A50B62"/>
    <w:rsid w:val="00B9217C"/>
    <w:rsid w:val="00C00872"/>
    <w:rsid w:val="00C4388A"/>
    <w:rsid w:val="00CA2871"/>
    <w:rsid w:val="00CC483E"/>
    <w:rsid w:val="00CF734F"/>
    <w:rsid w:val="00D04B0E"/>
    <w:rsid w:val="00D36A5A"/>
    <w:rsid w:val="00E3373C"/>
    <w:rsid w:val="00E947DA"/>
    <w:rsid w:val="00EC2409"/>
    <w:rsid w:val="00EC51CD"/>
    <w:rsid w:val="00F5499E"/>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0B5A"/>
    <w:pPr>
      <w:autoSpaceDE w:val="0"/>
      <w:autoSpaceDN w:val="0"/>
      <w:spacing w:line="259" w:lineRule="auto"/>
      <w:jc w:val="both"/>
    </w:pPr>
    <w:rPr>
      <w:rFonts w:ascii="NanumGothic" w:eastAsia="NanumGothic" w:hAnsi="NanumGothic" w:cs="NanumGothic"/>
    </w:rPr>
  </w:style>
  <w:style w:type="paragraph" w:styleId="Heading1">
    <w:name w:val="heading 1"/>
    <w:basedOn w:val="Normal"/>
    <w:link w:val="Heading1Char"/>
    <w:uiPriority w:val="7"/>
    <w:qFormat/>
    <w:rsid w:val="000F0B5A"/>
    <w:pPr>
      <w:autoSpaceDE/>
      <w:autoSpaceDN/>
      <w:spacing w:before="100" w:beforeAutospacing="1" w:after="100" w:afterAutospacing="1" w:line="240" w:lineRule="auto"/>
      <w:jc w:val="left"/>
      <w:outlineLvl w:val="0"/>
    </w:pPr>
    <w:rPr>
      <w:rFonts w:ascii="Times New Roman" w:eastAsia="Times New Roman" w:hAnsi="Times New Roman" w:cs="Times New Roman"/>
      <w:b/>
      <w:sz w:val="48"/>
      <w:szCs w:val="48"/>
    </w:rPr>
  </w:style>
  <w:style w:type="paragraph" w:styleId="Heading4">
    <w:name w:val="heading 4"/>
    <w:basedOn w:val="Normal"/>
    <w:next w:val="Normal"/>
    <w:link w:val="Heading4Char"/>
    <w:uiPriority w:val="10"/>
    <w:semiHidden/>
    <w:unhideWhenUsed/>
    <w:qFormat/>
    <w:rsid w:val="000F0B5A"/>
    <w:pPr>
      <w:spacing w:before="200" w:after="0"/>
      <w:outlineLvl w:val="3"/>
    </w:pPr>
    <w:rPr>
      <w:rFonts w:asciiTheme="majorHAnsi" w:eastAsiaTheme="majorEastAsia" w:hAnsiTheme="majorHAnsi" w:cstheme="majorBidi"/>
      <w:b/>
      <w: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8"/>
    <w:qFormat/>
    <w:rsid w:val="000F0B5A"/>
    <w:rPr>
      <w:i/>
    </w:rPr>
  </w:style>
  <w:style w:type="character" w:styleId="Strong">
    <w:name w:val="Strong"/>
    <w:basedOn w:val="DefaultParagraphFont"/>
    <w:uiPriority w:val="20"/>
    <w:qFormat/>
    <w:rsid w:val="000F0B5A"/>
    <w:rPr>
      <w:b/>
    </w:rPr>
  </w:style>
  <w:style w:type="paragraph" w:styleId="ListParagraph">
    <w:name w:val="List Paragraph"/>
    <w:basedOn w:val="Normal"/>
    <w:uiPriority w:val="26"/>
    <w:qFormat/>
    <w:rsid w:val="000F0B5A"/>
    <w:pPr>
      <w:ind w:left="720"/>
      <w:contextualSpacing/>
    </w:pPr>
  </w:style>
  <w:style w:type="paragraph" w:styleId="FootnoteText">
    <w:name w:val="footnote text"/>
    <w:basedOn w:val="Normal"/>
    <w:link w:val="FootnoteTextChar"/>
    <w:semiHidden/>
    <w:unhideWhenUsed/>
    <w:rsid w:val="000F0B5A"/>
    <w:pPr>
      <w:spacing w:after="0" w:line="240" w:lineRule="auto"/>
    </w:pPr>
    <w:rPr>
      <w:sz w:val="20"/>
      <w:szCs w:val="20"/>
    </w:rPr>
  </w:style>
  <w:style w:type="character" w:customStyle="1" w:styleId="FootnoteTextChar">
    <w:name w:val="Footnote Text Char"/>
    <w:basedOn w:val="DefaultParagraphFont"/>
    <w:link w:val="FootnoteText"/>
    <w:semiHidden/>
    <w:rsid w:val="000F0B5A"/>
    <w:rPr>
      <w:rFonts w:ascii="NanumGothic" w:eastAsia="NanumGothic" w:hAnsi="NanumGothic" w:cs="NanumGothic"/>
      <w:sz w:val="20"/>
      <w:szCs w:val="20"/>
    </w:rPr>
  </w:style>
  <w:style w:type="character" w:styleId="FootnoteReference">
    <w:name w:val="footnote reference"/>
    <w:basedOn w:val="DefaultParagraphFont"/>
    <w:semiHidden/>
    <w:unhideWhenUsed/>
    <w:rsid w:val="000F0B5A"/>
    <w:rPr>
      <w:vertAlign w:val="superscript"/>
    </w:rPr>
  </w:style>
  <w:style w:type="character" w:styleId="Hyperlink">
    <w:name w:val="Hyperlink"/>
    <w:basedOn w:val="DefaultParagraphFont"/>
    <w:unhideWhenUsed/>
    <w:rsid w:val="000F0B5A"/>
    <w:rPr>
      <w:color w:val="0000FF"/>
      <w:u w:val="single"/>
    </w:rPr>
  </w:style>
  <w:style w:type="character" w:customStyle="1" w:styleId="time">
    <w:name w:val="time"/>
    <w:basedOn w:val="DefaultParagraphFont"/>
    <w:rsid w:val="000F0B5A"/>
  </w:style>
  <w:style w:type="character" w:customStyle="1" w:styleId="Heading1Char">
    <w:name w:val="Heading 1 Char"/>
    <w:basedOn w:val="DefaultParagraphFont"/>
    <w:link w:val="Heading1"/>
    <w:rsid w:val="000F0B5A"/>
    <w:rPr>
      <w:b/>
      <w:sz w:val="48"/>
      <w:szCs w:val="48"/>
    </w:rPr>
  </w:style>
  <w:style w:type="character" w:customStyle="1" w:styleId="post-title">
    <w:name w:val="post-title"/>
    <w:basedOn w:val="DefaultParagraphFont"/>
    <w:rsid w:val="000F0B5A"/>
  </w:style>
  <w:style w:type="paragraph" w:customStyle="1" w:styleId="text-align-right">
    <w:name w:val="text-align-right"/>
    <w:basedOn w:val="Normal"/>
    <w:rsid w:val="000F0B5A"/>
    <w:pPr>
      <w:autoSpaceDE/>
      <w:autoSpaceDN/>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0F0B5A"/>
    <w:rPr>
      <w:rFonts w:asciiTheme="majorHAnsi" w:eastAsiaTheme="majorEastAsia" w:hAnsiTheme="majorHAnsi" w:cstheme="majorBidi"/>
      <w:b/>
      <w:i/>
      <w:color w:val="5B9BD5" w:themeColor="accent1"/>
    </w:rPr>
  </w:style>
  <w:style w:type="paragraph" w:customStyle="1" w:styleId="price">
    <w:name w:val="price"/>
    <w:basedOn w:val="Normal"/>
    <w:rsid w:val="000F0B5A"/>
    <w:pPr>
      <w:autoSpaceDE/>
      <w:autoSpaceDN/>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woocommerce-price-amount">
    <w:name w:val="woocommerce-price-amount"/>
    <w:basedOn w:val="DefaultParagraphFont"/>
    <w:rsid w:val="000F0B5A"/>
  </w:style>
  <w:style w:type="character" w:customStyle="1" w:styleId="woocommerce-price-currencysymbol">
    <w:name w:val="woocommerce-price-currencysymbol"/>
    <w:basedOn w:val="DefaultParagraphFont"/>
    <w:rsid w:val="000F0B5A"/>
  </w:style>
  <w:style w:type="paragraph" w:styleId="NormalWeb">
    <w:name w:val="Normal (Web)"/>
    <w:basedOn w:val="Normal"/>
    <w:unhideWhenUsed/>
    <w:rsid w:val="000F0B5A"/>
    <w:pPr>
      <w:autoSpaceDE/>
      <w:autoSpaceDN/>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font-family">
    <w:name w:val="font-family"/>
    <w:basedOn w:val="DefaultParagraphFont"/>
    <w:rsid w:val="000F0B5A"/>
  </w:style>
  <w:style w:type="paragraph" w:styleId="Header">
    <w:name w:val="header"/>
    <w:basedOn w:val="Normal"/>
    <w:link w:val="HeaderChar"/>
    <w:unhideWhenUsed/>
    <w:rsid w:val="000F0B5A"/>
    <w:pPr>
      <w:tabs>
        <w:tab w:val="center" w:pos="4680"/>
        <w:tab w:val="right" w:pos="9360"/>
      </w:tabs>
      <w:spacing w:after="0" w:line="240" w:lineRule="auto"/>
    </w:pPr>
  </w:style>
  <w:style w:type="character" w:customStyle="1" w:styleId="HeaderChar">
    <w:name w:val="Header Char"/>
    <w:basedOn w:val="DefaultParagraphFont"/>
    <w:link w:val="Header"/>
    <w:rsid w:val="000F0B5A"/>
    <w:rPr>
      <w:rFonts w:ascii="NanumGothic" w:eastAsia="NanumGothic" w:hAnsi="NanumGothic" w:cs="NanumGothic"/>
    </w:rPr>
  </w:style>
  <w:style w:type="paragraph" w:styleId="Footer">
    <w:name w:val="footer"/>
    <w:basedOn w:val="Normal"/>
    <w:link w:val="FooterChar"/>
    <w:unhideWhenUsed/>
    <w:rsid w:val="000F0B5A"/>
    <w:pPr>
      <w:tabs>
        <w:tab w:val="center" w:pos="4680"/>
        <w:tab w:val="right" w:pos="9360"/>
      </w:tabs>
      <w:spacing w:after="0" w:line="240" w:lineRule="auto"/>
    </w:pPr>
  </w:style>
  <w:style w:type="character" w:customStyle="1" w:styleId="FooterChar">
    <w:name w:val="Footer Char"/>
    <w:basedOn w:val="DefaultParagraphFont"/>
    <w:link w:val="Footer"/>
    <w:rsid w:val="000F0B5A"/>
    <w:rPr>
      <w:rFonts w:ascii="NanumGothic" w:eastAsia="NanumGothic" w:hAnsi="NanumGothic" w:cs="NanumGothi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herarioemmanuel@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navado.com.au/sydney/lawyers-solicitors/bankruptcy-and-insolvency-law/a-receiver-or" TargetMode="External"/><Relationship Id="rId1" Type="http://schemas.openxmlformats.org/officeDocument/2006/relationships/hyperlink" Target="https://businessday.ng/author/ad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07F15-F8C7-468B-AC80-44E730BF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1038</Words>
  <Characters>5918</Characters>
  <Application>Microsoft Office Word</Application>
  <DocSecurity>0</DocSecurity>
  <Lines>49</Lines>
  <Paragraphs>13</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NNPC</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Polaris Office</dc:creator>
  <cp:lastModifiedBy>USER</cp:lastModifiedBy>
  <cp:revision>40</cp:revision>
  <dcterms:created xsi:type="dcterms:W3CDTF">2021-02-06T20:33:00Z</dcterms:created>
  <dcterms:modified xsi:type="dcterms:W3CDTF">2021-02-06T22:17:00Z</dcterms:modified>
</cp:coreProperties>
</file>